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82364d8k.htm"/>
      <w:bookmarkStart w:id="1" w:name="ksd38236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CERENOME,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001-34375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33-0827593</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6420 LEVIT GREEN BOULEVARD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310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Houston,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77021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(737) 255-7194</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145"/>
        <w:gridCol w:w="60"/>
        <w:gridCol w:w="740"/>
        <w:gridCol w:w="60"/>
        <w:gridCol w:w="228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CNSY</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Senior Secured Convertible Note Financing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2026, Cerenome, Inc., a Delaware corporation (the “Company”), entered into a securities purchase agreement (the “Securities Purchase Agreement”) with an institutional investor (the “Investor”), pursuant to which, subject to the satisfaction or waiver of the conditions set forth therein, the Company agreed to issue and sell to the Investor, and the Investor agreed to purchase from the Company, senior secured convertible notes issued by the Company (each, a “Note,” and such financing, the “Note Financing”) in the aggregate original principal amount of $21,276,596 consisting of (i) Notes in the aggregate original principal amount of $3,191,489 (the “Initial Notes”), (ii) Notes in the aggregate original principal amount of $2,127,660 (the “Second Notes”) and (iii) Notes (the “Additional Notes”) in the aggregate original principal amount of $15,957,447. The Notes are convertible into shares of the Company’s common stock, par value $0.001 per share (“Common Stock”). The initial closing of the Note Financing is expected to occur on or about September 10, 2026, following satisfaction or waiver of the applicable closing conditions set forth in the Securities Purchase Agreement (the actual date of such initial closing, the “Initial Closing Date”). The Second Notes will be purchased and issued upon effectiveness of the registration statement covering the resale of the shares of Common Stock issuable upon conversion of the Initial Notes and the Second Notes, following satisfaction or waiver of the other applicable closing conditions set forth in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shares of Common Stock issuable upon conversion thereof) were offered pursuant to an exemption from the registration requirements of the Securities Act of 1933, as amended (the “Securities Act”) provided in Section 4(a)(2) thereof and/or Rule 506(b) promulgated thereunder and will not be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Purchase Agreement, the Investor may, subject to the satisfaction of specified conditions, elect to purchase the Additional Notes in one or more future closings. In addition, subject to the satisfaction of specified eligibility and closing conditions, including limitations based on the amount of Notes then outstanding and the effectiveness of the applicable registration statement, the Company may require the Investor to purchase Additional Notes in one or more future closings. The rights of the Investor and the Company to effect such additional closings expire on the 18-month anniversary of the Initial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On the Initial Closing Date, the Company expects to receive gross proceeds from the Note Financing of $3,000,000, before deducting legal fees and transaction expenses. Subject to the satisfaction of certain conditions contained in the Securities Purchase Agreement, the Company may receive additional gross proceeds upon the issuance of Additional Notes. The Company intends to use the net proceeds from the Note Financing for working capital and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warranties, and covenants of the Company and the Investor. </w:t>
      </w:r>
    </w:p>
    <w:p>
      <w:pPr>
        <w:pStyle w:val="TextBody"/>
        <w:bidi w:val="0"/>
        <w:spacing w:before="360" w:after="0"/>
        <w:jc w:val="left"/>
        <w:rPr>
          <w:rFonts w:ascii="Times New Roman" w:hAnsi="Times New Roman"/>
          <w:i/>
          <w:sz w:val="20"/>
        </w:rPr>
      </w:pPr>
      <w:r>
        <w:rPr>
          <w:rFonts w:ascii="Times New Roman" w:hAnsi="Times New Roman"/>
          <w:i/>
          <w:sz w:val="20"/>
        </w:rPr>
        <w:t xml:space="preserve">Royalty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Initial Closing Date, the Company and CNSide are expected to enter into a royalty agreement with the Investor (the “Royalty Agreement”), pursuant to which, during the term of the Royalty Agreement, CNSide will be required to pay the Investor a quarterly royalty equal to 2.5% of CNSide’s gross revenues received from its business goods and services (the “Royalty”), subject to certain customary exclusions and a quarterly cap equal to 2.5% of the aggregate unpaid balance then outstanding under the Notes. The Royalty will be payable within 30 days following the end of each calendar quarter. The Royalty Agreement will remain in effect until all principal, accrued and unpaid interest, fees, expenses and other amounts owed under the Notes have been paid in full and the Notes have been terminated or cancelled. CNSide’s obligations under the Royalty Agreement will be guaranteed by the Company pursuant to the terms thereof. </w:t>
      </w:r>
    </w:p>
    <w:p>
      <w:pPr>
        <w:pStyle w:val="TextBody"/>
        <w:bidi w:val="0"/>
        <w:spacing w:before="360" w:after="0"/>
        <w:jc w:val="left"/>
        <w:rPr>
          <w:rFonts w:ascii="Times New Roman" w:hAnsi="Times New Roman"/>
          <w:i/>
          <w:sz w:val="20"/>
        </w:rPr>
      </w:pPr>
      <w:r>
        <w:rPr>
          <w:rFonts w:ascii="Times New Roman" w:hAnsi="Times New Roman"/>
          <w:i/>
          <w:sz w:val="20"/>
        </w:rPr>
        <w:t xml:space="preserve">Description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Securities Purchase Agreement, each of the Notes, when issued, will be issued with an original issue discount of 6.0% and will accrue interest at a rate of 8.0% per annum, except upon the occurrence (and during the continuance) of an Event of Default (as defined in the Notes), in which case the Note will accrue interest at a rate equal to the lesser of (i) eighteen percent (18%) per annum and (ii) the maximum legal rate of the then-outstanding Principal Amount. Each of the Notes matures on the one-year anniversary of its issuance date (the “Maturity Date”), unless extended pursuant to the terms thereof. Interest on each of the Notes is guaranteed through the Maturity Date regardless of whether the Note is earlier converted or redeemed. The Notes will be secured by a first-priority security interest in substantially all of the present and future assets of the Company and CNSide Diagnostics, LLC, a Delaware limited liability company and wholly-owned subsidiary of the Company (“CNSide”), including a pledge of equity interests in CNSide, subject to certain customary exclusions. </w:t>
      </w:r>
    </w:p>
    <w:p>
      <w:pPr>
        <w:pStyle w:val="TextBody"/>
        <w:bidi w:val="0"/>
        <w:spacing w:before="240" w:after="0"/>
        <w:jc w:val="left"/>
        <w:rPr>
          <w:rFonts w:ascii="Times New Roman" w:hAnsi="Times New Roman"/>
          <w:sz w:val="20"/>
        </w:rPr>
      </w:pPr>
      <w:r>
        <w:rPr>
          <w:rFonts w:ascii="Times New Roman" w:hAnsi="Times New Roman"/>
          <w:sz w:val="20"/>
        </w:rPr>
        <w:t xml:space="preserve">Each of the Notes will be convertible (in whole or in part) by the holder thereof at any time after its issuance date into a number of shares of Common Stock equal to (x) the applicable amount of conversion (the “Conversion Amount”) up to the entire outstanding principal balance of the Note and any of all accrued and unpaid amounts thereunder, including interest and late charges, if any (such shares issuable upon conversion of the Notes, the “Conversion Shares”). The initial conversion price of the Initial Notes will be equal to $2.74 per share, subject to adjustment as provided in the Initial Notes.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price of each of the Notes will be subject to a floor price of $0.50 (the “Floor Price”).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no time may the Investor hold or be required to take more than 4.99% (or up to 9.99% at the election of the Investor pursuant to the Notes) of the outstanding shares of Common Stock. In addition, each of the Notes contains an exchange cap limitation intended to comply with applicable Nasdaq rules, subject to stockholder approval or a satisfactory opinion of counsel that such approval is not required.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 Event of Default (as defined in the Notes) has occurred, the Investor will be able to elect to convert the applicable Conversion Amount into shares of Common Stock at an alternate conversion price equal to the lowest of (i) the then-applicable Conversion Price, (ii) 85% of the VWAP of the Common Stock on the trading day immediately preceding the delivery of the applicable Conversion Notice and (iii) the greater of the Floor Price then in effect and the lesser of (A) 85% of the VWAP of the Common Stock on the trading day of delivery of the applicable Conversion Notice and (B) 85% of the lowest VWAP of the Common Stock during the ten consecutive trading day period ending on the trading day immediately preceding delivery of the applicable Conversion Notice.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an Event of Default, the Company will be required to deliver written notice to the Investor within one business day (an “Event of Default Notice”). At any time after the earlier of (a) the Investor’s receipt of an Event of Default Notice and (b) the Investor becoming aware of an Event of Default, the Investor will be able to require the Company to redeem all or any portion of the Notes at the applicable Event of Default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 Change of Control (as defined in the Notes), the Investor will have the right to require the Company to redeem all or any portion of the Notes for cash at the applicable Change of Control redemption price, which includes a 120% redemption premium and is calculated in accordance with the terms of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Initial Closing Date, in connection with the Company’s entry into the Securities Purchase Agreement, the Company is expected to enter into a Registration Rights Agreement with the Investor (the “Registration Rights Agreement”). Pursuant to the Registration Rights Agreement, the Company will agree to (a) confidentially submit to the SEC, within six (6) business days of the Initial Closing Date, a registration statement covering the resale of the Conversion Shares underlying the Initial Notes and the Second Notes, and (b) confidentially submit to the SEC, within five (5) business days following the date of any additional closing notice delivered in accordance with the Securities Purchase Agreement, a registration statement covering the resale of the Conversion Shares underlying the Additional Notes covered by the additional closing notice. Pursuant to the Registration Rights Agreement, the Company is required to use best efforts to have such registration statement declared effective by the SEC within the time period set forth in the Registration Rights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Initial Closing Date, the Company and CNSide are expected to enter into a Security and Pledge Agreement (the “Security Agreement”) in favor of the Investor as collateral agent for the benefit of the holders of the Notes. Pursuant to the Security Agreement, the Company and CNSide will grant a first-priority security interest in substantially all of their present and future assets, including accounts, deposit accounts, inventory, equipment, securities, equity interests in subsidiaries, intellectual property and proceeds thereof, subject to certain customary exclusions. The Security Agreement will also require, within 30 days after the Initial Closing Date, the establishment of deposit account control arrangements with respect to specified accounts and will secure the obligations of the Company and CNSide under the Securities Purchase Agreement, the Notes and the other documents entered into in connection with the Note Financing.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summaries of the terms of the various documents do not purport to be complete and are subject to, and qualified in their entirety by, the full text of such documents or forms of documents, each of which are attached as exhibits to this Current Report on Form 8-K and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of this Current Report on Form 8-K is incorporated by reference into this Item 2.03.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965"/>
        <w:gridCol w:w="3350"/>
      </w:tblGrid>
      <w:tr>
        <w:trPr/>
        <w:tc>
          <w:tcPr>
            <w:tcW w:w="965" w:type="dxa"/>
            <w:tcBorders/>
            <w:vAlign w:val="center"/>
          </w:tcPr>
          <w:p>
            <w:pPr>
              <w:pStyle w:val="TableContents"/>
              <w:bidi w:val="0"/>
              <w:spacing w:before="0" w:after="283"/>
              <w:jc w:val="left"/>
              <w:rPr>
                <w:b/>
              </w:rPr>
            </w:pPr>
            <w:r>
              <w:rPr>
                <w:b/>
              </w:rPr>
              <w:t>Item 3.02</w:t>
            </w:r>
          </w:p>
        </w:tc>
        <w:tc>
          <w:tcPr>
            <w:tcW w:w="3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of this Current Report on Form 8-K with respect to the proposed issuance of the Notes and the potential issuance of shares of Common Stock upon conversion thereof is hereby incorporated by reference into this Item 3.02.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10, 2026, the Company issued a press release announcing its entry into the Securities Purchase Agreement, the proposed Note Financing and the related transactions contemplated thereby. The press release contains statements intended as “forward-looking statements” which are subject to the cautionary statements about forward-looking statements set forth therein. The press release is filed as Exhibit 99.1 to this Current Report on Form 8-K and incorporated herein by reference, except that the information contained on the websites referenced in the press release is not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attached as exhibits to this Current Report on Form 8-K: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Exhibit 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82364dex41.htm">
              <w:r>
                <w:rPr>
                  <w:rStyle w:val="InternetLink"/>
                </w:rPr>
                <w:t xml:space="preserve">Form of Senior Secured Convertible Note.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82364dex101.htm">
              <w:r>
                <w:rPr>
                  <w:rStyle w:val="InternetLink"/>
                </w:rPr>
                <w:t xml:space="preserve">Securities Purchase Agreement, dated September 4,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82364dex102.htm">
              <w:r>
                <w:rPr>
                  <w:rStyle w:val="InternetLink"/>
                </w:rPr>
                <w:t xml:space="preserve">Form of Registration Rights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82364dex103.htm">
              <w:r>
                <w:rPr>
                  <w:rStyle w:val="InternetLink"/>
                </w:rPr>
                <w:t xml:space="preserve">Form of Security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82364dex104.htm">
              <w:r>
                <w:rPr>
                  <w:rStyle w:val="InternetLink"/>
                </w:rPr>
                <w:t xml:space="preserve">Form of Royalty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82364dex991.htm">
              <w:r>
                <w:rPr>
                  <w:rStyle w:val="InternetLink"/>
                </w:rPr>
                <w:t xml:space="preserve">Press Release, dated September 10,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1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CERENOME,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H. Hedrick, M.D.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xml:space="preserve">Marc H. Hedrick, M.D. </w:t>
              <w:br/>
              <w:t>President and Chief Executive Officer</w:t>
            </w:r>
          </w:p>
        </w:tc>
      </w:tr>
    </w:tbl>
    <w:p>
      <w:pPr>
        <w:pStyle w:val="TextBody"/>
        <w:bidi w:val="0"/>
        <w:spacing w:before="0" w:after="0"/>
        <w:jc w:val="right"/>
        <w:rPr>
          <w:rFonts w:ascii="Times New Roman" w:hAnsi="Times New Roman"/>
          <w:b/>
          <w:sz w:val="20"/>
        </w:rPr>
      </w:pPr>
      <w:bookmarkStart w:id="2" w:name="d382364dex41.htm"/>
      <w:bookmarkStart w:id="3" w:name="ksd382364dex41"/>
      <w:bookmarkEnd w:id="2"/>
      <w:bookmarkEnd w:id="3"/>
      <w:r>
        <w:rPr>
          <w:rFonts w:ascii="Times New Roman" w:hAnsi="Times New Roman"/>
          <w:b/>
          <w:sz w:val="20"/>
        </w:rPr>
        <w:t xml:space="preserve">Exhibit 4.1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SENIOR SECURED CONVERTIBLE NOTE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ISSUANCE AND SALE OF THE SECURITIES REPRESENTED BY THIS NOTE NOR THE SECURITIES INTO WHICH THIS NOTE IS CONVERTIBLE HAVE BEEN REGISTERED UNDER THE SECURITIES ACT OF 1933, AS AMENDED (THE “SECURITIES ACT”), OR APPLICABLE STATE SECURITIES LAWS. THE SECURITIES MAY NOT BE OFFERED FOR SALE, SOLD, TRANSFERRED OR ASSIGNED (A) IN THE ABSENCE OF (I) AN EFFECTIVE REGISTRATION STATEMENT FOR THE SECURITIES UNDER THE SECURITIES ACT, OR (II) AN OPINION OF COUNSEL TO THE HOLDER (IF REQUESTED BY THE COMPANY), IN A FORM REASONABLY ACCEPTABLE TO THE COMPANY, THAT REGISTRATION IS NOT REQUIRED UNDER THE SECURITIES ACT, OR (B) UNLESS SOLD OR ELIGIBLE TO BE SOLD PURSUANT TO RULE 144 OR RULE 144A UNDER THE SECURITIES ACT. NOTWITHSTANDING THE FOREGOING, THE SECURITIES MAY BE PLEDGED IN CONNECTION WITH A BONA FIDE MARGIN ACCOUNT OR OTHER LOAN OR FINANCING ARRANGEMENT SECURED BY THE SECURITIES; PROVIDED THAT THE HOLDER COMPLIES WITH ALL APPLICABLE LAWS AND REGULATIONS APPLICABLE TO SUCH TRANSACTION. ANY TRANSFEREE OF THIS NOTE SHOULD CAREFULLY REVIEW THE TERMS OF THIS NOTE, INCLUDING </w:t>
      </w:r>
      <w:r>
        <w:rPr>
          <w:rFonts w:ascii="Times New Roman" w:hAnsi="Times New Roman"/>
          <w:b/>
          <w:sz w:val="20"/>
          <w:u w:val="single"/>
        </w:rPr>
        <w:t>SECTION 3(c)(iii)</w:t>
      </w:r>
      <w:r>
        <w:rPr>
          <w:rFonts w:ascii="Times New Roman" w:hAnsi="Times New Roman"/>
          <w:b/>
          <w:sz w:val="20"/>
        </w:rPr>
        <w:t xml:space="preserve"> AND </w:t>
      </w:r>
      <w:r>
        <w:rPr>
          <w:rFonts w:ascii="Times New Roman" w:hAnsi="Times New Roman"/>
          <w:b/>
          <w:sz w:val="20"/>
          <w:u w:val="single"/>
        </w:rPr>
        <w:t>SECTION 21(a)</w:t>
      </w:r>
      <w:r>
        <w:rPr>
          <w:rFonts w:ascii="Times New Roman" w:hAnsi="Times New Roman"/>
          <w:b/>
          <w:sz w:val="20"/>
        </w:rPr>
        <w:t xml:space="preserve"> HEREOF. </w:t>
      </w:r>
    </w:p>
    <w:p>
      <w:pPr>
        <w:pStyle w:val="TextBody"/>
        <w:bidi w:val="0"/>
        <w:spacing w:before="240" w:after="0"/>
        <w:jc w:val="left"/>
        <w:rPr>
          <w:rFonts w:ascii="Times New Roman" w:hAnsi="Times New Roman"/>
          <w:b/>
          <w:sz w:val="20"/>
        </w:rPr>
      </w:pPr>
      <w:r>
        <w:rPr>
          <w:rFonts w:ascii="Times New Roman" w:hAnsi="Times New Roman"/>
          <w:b/>
          <w:sz w:val="20"/>
        </w:rPr>
        <w:t xml:space="preserve">THE PRINCIPAL AMOUNT REPRESENTED BY THIS NOTE AND, ACCORDINGLY, THE SECURITIES ISSUABLE UPON CONVERSION HEREOF MAY BE LESS THAN THE AMOUNTS SET FORTH ON THE FACE HEREOF PURSUANT TO SECTION 3(c)(iii) OF THIS NOTE. </w:t>
      </w:r>
    </w:p>
    <w:p>
      <w:pPr>
        <w:pStyle w:val="TextBody"/>
        <w:bidi w:val="0"/>
        <w:spacing w:before="240" w:after="0"/>
        <w:jc w:val="left"/>
        <w:rPr>
          <w:rFonts w:ascii="Times New Roman" w:hAnsi="Times New Roman"/>
          <w:b/>
          <w:sz w:val="20"/>
        </w:rPr>
      </w:pPr>
      <w:r>
        <w:rPr>
          <w:rFonts w:ascii="Times New Roman" w:hAnsi="Times New Roman"/>
          <w:b/>
          <w:sz w:val="20"/>
        </w:rPr>
        <w:t xml:space="preserve">THIS NOTE HAS BEEN ISSUED WITH ORIGINAL ISSUE DISCOUNT (“OID”). PURSUANT TO TREASURY REGULATION §1.1275-3(b)(1), ANDREW SIMS, A REPRESENTATIVE OF THE COMPANY HEREOF WILL, BEGINNING TEN DAYS AFTER THE ISSUANCE DATE OF THIS NOTE, PROMPTLY MAKE AVAILABLE TO THE HOLDER UPON REQUEST THE INFORMATION DESCRIBED IN TREASURY REGULATION §1.1275-3(b)(1)(i). ANDREW SIMS MAY BE REACHED AT TELEPHONE NUMBER (737) 255-7194. </w:t>
      </w:r>
    </w:p>
    <w:p>
      <w:pPr>
        <w:pStyle w:val="TextBody"/>
        <w:bidi w:val="0"/>
        <w:spacing w:before="480" w:after="0"/>
        <w:jc w:val="center"/>
        <w:rPr>
          <w:rFonts w:ascii="Times New Roman" w:hAnsi="Times New Roman"/>
          <w:b/>
          <w:sz w:val="20"/>
        </w:rPr>
      </w:pPr>
      <w:r>
        <w:rPr>
          <w:rFonts w:ascii="Times New Roman" w:hAnsi="Times New Roman"/>
          <w:b/>
          <w:sz w:val="20"/>
        </w:rPr>
        <w:t xml:space="preserve">CERENOME, INC.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SECURED CONVERTIBLE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0"/>
        <w:gridCol w:w="4899"/>
      </w:tblGrid>
      <w:tr>
        <w:trPr/>
        <w:tc>
          <w:tcPr>
            <w:tcW w:w="51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9"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pPr>
            <w:r>
              <w:rPr/>
              <w:t>Issuance Date: [] 20__</w:t>
            </w:r>
          </w:p>
        </w:tc>
        <w:tc>
          <w:tcPr>
            <w:tcW w:w="120" w:type="dxa"/>
            <w:tcBorders/>
            <w:vAlign w:val="bottom"/>
          </w:tcPr>
          <w:p>
            <w:pPr>
              <w:pStyle w:val="TableContents"/>
              <w:bidi w:val="0"/>
              <w:spacing w:before="0" w:after="283"/>
              <w:jc w:val="left"/>
              <w:rPr/>
            </w:pPr>
            <w:r>
              <w:rPr/>
              <w:t>  </w:t>
            </w:r>
          </w:p>
        </w:tc>
        <w:tc>
          <w:tcPr>
            <w:tcW w:w="4899" w:type="dxa"/>
            <w:tcBorders/>
          </w:tcPr>
          <w:p>
            <w:pPr>
              <w:pStyle w:val="TableContents"/>
              <w:bidi w:val="0"/>
              <w:spacing w:before="0" w:after="283"/>
              <w:jc w:val="right"/>
              <w:rPr/>
            </w:pPr>
            <w:r>
              <w:rPr/>
              <w:t>Original Principal Amount: U.S. $[]</w:t>
            </w:r>
          </w:p>
        </w:tc>
      </w:tr>
    </w:tbl>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Cerenome, Inc., a Delaware corporation (the “</w:t>
      </w:r>
      <w:r>
        <w:rPr>
          <w:rFonts w:ascii="Times New Roman" w:hAnsi="Times New Roman"/>
          <w:b/>
          <w:sz w:val="20"/>
        </w:rPr>
        <w:t>Company</w:t>
      </w:r>
      <w:r>
        <w:rPr>
          <w:rFonts w:ascii="Times New Roman" w:hAnsi="Times New Roman"/>
          <w:sz w:val="20"/>
        </w:rPr>
        <w:t>”), hereby promises to pay to the order of [BUYER]” or its registered assigns (the “</w:t>
      </w:r>
      <w:r>
        <w:rPr>
          <w:rFonts w:ascii="Times New Roman" w:hAnsi="Times New Roman"/>
          <w:b/>
          <w:sz w:val="20"/>
        </w:rPr>
        <w:t>Holder</w:t>
      </w:r>
      <w:r>
        <w:rPr>
          <w:rFonts w:ascii="Times New Roman" w:hAnsi="Times New Roman"/>
          <w:sz w:val="20"/>
        </w:rPr>
        <w:t>”) the amount set forth above as the Original Principal Amount (as reduced pursuant to the terms hereof pursuant to redemption, conversion or otherwise, the “</w:t>
      </w:r>
      <w:r>
        <w:rPr>
          <w:rFonts w:ascii="Times New Roman" w:hAnsi="Times New Roman"/>
          <w:b/>
          <w:sz w:val="20"/>
        </w:rPr>
        <w:t>Principal</w:t>
      </w:r>
      <w:r>
        <w:rPr>
          <w:rFonts w:ascii="Times New Roman" w:hAnsi="Times New Roman"/>
          <w:sz w:val="20"/>
        </w:rPr>
        <w:t xml:space="preserve">”) when due, whether upon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Maturity Date, on any Amortization Date with respect to the Amortization Amount due on such Amortization Date (each as defined below), or upon acceleration, conversion, redemption or otherwise (in each case in accordance with the terms hereof) and to pay interest (“</w:t>
      </w:r>
      <w:r>
        <w:rPr>
          <w:rFonts w:ascii="Times New Roman" w:hAnsi="Times New Roman"/>
          <w:b/>
          <w:sz w:val="20"/>
        </w:rPr>
        <w:t>Interest</w:t>
      </w:r>
      <w:r>
        <w:rPr>
          <w:rFonts w:ascii="Times New Roman" w:hAnsi="Times New Roman"/>
          <w:sz w:val="20"/>
        </w:rPr>
        <w:t>”) on any outstanding Principal at the applicable Interest Rate (as defined below) from the date set forth above as the Issuance Date (the “</w:t>
      </w:r>
      <w:r>
        <w:rPr>
          <w:rFonts w:ascii="Times New Roman" w:hAnsi="Times New Roman"/>
          <w:b/>
          <w:sz w:val="20"/>
        </w:rPr>
        <w:t>Issuance</w:t>
      </w:r>
      <w:r>
        <w:rPr>
          <w:rFonts w:ascii="Times New Roman" w:hAnsi="Times New Roman"/>
          <w:sz w:val="20"/>
        </w:rPr>
        <w:t xml:space="preserve"> </w:t>
      </w:r>
      <w:r>
        <w:rPr>
          <w:rFonts w:ascii="Times New Roman" w:hAnsi="Times New Roman"/>
          <w:b/>
          <w:sz w:val="20"/>
        </w:rPr>
        <w:t>Date</w:t>
      </w:r>
      <w:r>
        <w:rPr>
          <w:rFonts w:ascii="Times New Roman" w:hAnsi="Times New Roman"/>
          <w:sz w:val="20"/>
        </w:rPr>
        <w:t>”) until the same becomes due and payable, whether upon the Maturity Date, on any Amortization Date with respect to the Amortization Amount due on such Amortization Date, or upon acceleration, conversion, redemption or otherwise (in each case in accordance with the terms hereof). This Senior Secured Convertible Note (including all Senior Secured Convertible Notes issued in exchange, transfer or replacement hereof, this “</w:t>
      </w:r>
      <w:r>
        <w:rPr>
          <w:rFonts w:ascii="Times New Roman" w:hAnsi="Times New Roman"/>
          <w:b/>
          <w:sz w:val="20"/>
        </w:rPr>
        <w:t>Note</w:t>
      </w:r>
      <w:r>
        <w:rPr>
          <w:rFonts w:ascii="Times New Roman" w:hAnsi="Times New Roman"/>
          <w:sz w:val="20"/>
        </w:rPr>
        <w:t>”) is one of an issue of Senior Secured Convertible Notes (collectively, the “</w:t>
      </w:r>
      <w:r>
        <w:rPr>
          <w:rFonts w:ascii="Times New Roman" w:hAnsi="Times New Roman"/>
          <w:b/>
          <w:sz w:val="20"/>
        </w:rPr>
        <w:t>Notes</w:t>
      </w:r>
      <w:r>
        <w:rPr>
          <w:rFonts w:ascii="Times New Roman" w:hAnsi="Times New Roman"/>
          <w:sz w:val="20"/>
        </w:rPr>
        <w:t>”, and such other Senior Secured Convertible Notes, the “</w:t>
      </w:r>
      <w:r>
        <w:rPr>
          <w:rFonts w:ascii="Times New Roman" w:hAnsi="Times New Roman"/>
          <w:b/>
          <w:sz w:val="20"/>
        </w:rPr>
        <w:t>Other</w:t>
      </w:r>
      <w:r>
        <w:rPr>
          <w:rFonts w:ascii="Times New Roman" w:hAnsi="Times New Roman"/>
          <w:sz w:val="20"/>
        </w:rPr>
        <w:t xml:space="preserve"> </w:t>
      </w:r>
      <w:r>
        <w:rPr>
          <w:rFonts w:ascii="Times New Roman" w:hAnsi="Times New Roman"/>
          <w:b/>
          <w:sz w:val="20"/>
        </w:rPr>
        <w:t>Notes</w:t>
      </w:r>
      <w:r>
        <w:rPr>
          <w:rFonts w:ascii="Times New Roman" w:hAnsi="Times New Roman"/>
          <w:sz w:val="20"/>
        </w:rPr>
        <w:t>”) issued pursuant to that certain Securities Purchase Agreement, dated as of September 4, 2026 (the “</w:t>
      </w:r>
      <w:r>
        <w:rPr>
          <w:rFonts w:ascii="Times New Roman" w:hAnsi="Times New Roman"/>
          <w:b/>
          <w:sz w:val="20"/>
        </w:rPr>
        <w:t>Subscription Date</w:t>
      </w:r>
      <w:r>
        <w:rPr>
          <w:rFonts w:ascii="Times New Roman" w:hAnsi="Times New Roman"/>
          <w:sz w:val="20"/>
        </w:rPr>
        <w:t>”), by and among the Company and the investors (the “</w:t>
      </w:r>
      <w:r>
        <w:rPr>
          <w:rFonts w:ascii="Times New Roman" w:hAnsi="Times New Roman"/>
          <w:b/>
          <w:sz w:val="20"/>
        </w:rPr>
        <w:t>Buyers</w:t>
      </w:r>
      <w:r>
        <w:rPr>
          <w:rFonts w:ascii="Times New Roman" w:hAnsi="Times New Roman"/>
          <w:sz w:val="20"/>
        </w:rPr>
        <w:t>”) referred to therein, as amended from time to time (the “</w:t>
      </w:r>
      <w:r>
        <w:rPr>
          <w:rFonts w:ascii="Times New Roman" w:hAnsi="Times New Roman"/>
          <w:b/>
          <w:sz w:val="20"/>
        </w:rPr>
        <w:t>Securities Purchase Agreement</w:t>
      </w:r>
      <w:r>
        <w:rPr>
          <w:rFonts w:ascii="Times New Roman" w:hAnsi="Times New Roman"/>
          <w:sz w:val="20"/>
        </w:rPr>
        <w:t xml:space="preserve">”). Certain capitalized terms used herein are defined in Section 35.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PAYMENTS OF PRINCIPAL</w:t>
      </w:r>
      <w:r>
        <w:rPr>
          <w:rFonts w:ascii="Times New Roman" w:hAnsi="Times New Roman"/>
          <w:sz w:val="20"/>
        </w:rPr>
        <w:t xml:space="preserve">. On each Amortization Date, the Company shall pay to the Holder an amount equal to the Amortization Amount due on such Amortization Date in accordance with Section 13. On the Maturity Date, the Company shall pay to the Holder an amount in cash representing all outstanding Principal, accrued and unpaid Interest, Make-Whole Amount, if any, and accrued and unpaid Late Charges, if any. Other than as specifically permitted by this Note, the Company may not prepay any portion of the outstanding Principal, accrued and unpaid Interest or accrued and unpaid Late Charges, if any.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INTEREST; INTEREST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This Note was issued with a six percent (6%) original issue discount as described in the Securities Purchase Agreement. This Note shall bear interest at the rate of eight percent (8.0%) per annum (the “</w:t>
      </w:r>
      <w:r>
        <w:rPr>
          <w:rFonts w:ascii="Times New Roman" w:hAnsi="Times New Roman"/>
          <w:b/>
          <w:sz w:val="20"/>
        </w:rPr>
        <w:t>Interest Rate</w:t>
      </w:r>
      <w:r>
        <w:rPr>
          <w:rFonts w:ascii="Times New Roman" w:hAnsi="Times New Roman"/>
          <w:sz w:val="20"/>
        </w:rPr>
        <w:t>”) except upon the occurrence (and during the continuance) of an Event of Default, in which case this Note shall bear interest at a rate equal to the lesser of (i) eighteen percent (18%) per annum and (ii) the maximum legal rate (the “</w:t>
      </w:r>
      <w:r>
        <w:rPr>
          <w:rFonts w:ascii="Times New Roman" w:hAnsi="Times New Roman"/>
          <w:b/>
          <w:sz w:val="20"/>
        </w:rPr>
        <w:t>Default Rate</w:t>
      </w:r>
      <w:r>
        <w:rPr>
          <w:rFonts w:ascii="Times New Roman" w:hAnsi="Times New Roman"/>
          <w:sz w:val="20"/>
        </w:rPr>
        <w:t>” and all such Interest accrued at the Default Rate, the “</w:t>
      </w:r>
      <w:r>
        <w:rPr>
          <w:rFonts w:ascii="Times New Roman" w:hAnsi="Times New Roman"/>
          <w:b/>
          <w:sz w:val="20"/>
        </w:rPr>
        <w:t>Default Interest</w:t>
      </w:r>
      <w:r>
        <w:rPr>
          <w:rFonts w:ascii="Times New Roman" w:hAnsi="Times New Roman"/>
          <w:sz w:val="20"/>
        </w:rPr>
        <w:t>”) of the then-outstanding Principal. In the event that such Event of Default is subsequently cured or waived in accordance with the terms of this Note (and no other Event of Default then exists (including, without limitation, as a result of the Company’s failure to pay Interest at the Default Rate on the applicable Amortization Date in connection with such Event of Default)), Interest hereunder at the Default Rate shall cease to accrue as of the calendar day immediately following the date on which such Event of Default is cured or waived (and shall instead revert to the Interest Rate); </w:t>
      </w:r>
      <w:r>
        <w:rPr>
          <w:rFonts w:ascii="Times New Roman" w:hAnsi="Times New Roman"/>
          <w:sz w:val="20"/>
          <w:u w:val="single"/>
        </w:rPr>
        <w:t>provided</w:t>
      </w:r>
      <w:r>
        <w:rPr>
          <w:rFonts w:ascii="Times New Roman" w:hAnsi="Times New Roman"/>
          <w:sz w:val="20"/>
        </w:rPr>
        <w:t xml:space="preserve"> that the Interest as calculated and unpaid during the continuance of such Event of Default shall continue to apply to the extent relating to the days after the occurrence of such Event of Default through and including the date of such cure or waiver of such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Interest on this Note shall commence accruing on the Issuance Date. Interest shall be computed on the basis of a 360-day year and twelve 30-day months. Interest shall be calculated on the entire outstanding Original Principal Amount (without giving effect to any prior amortization or redemption of Principal, except to the extent such Interest would otherwise be duplicative of the Make-Whole Amount payable in respect of such Principal) and shall be due and payable on each Amortization Date (with respect to Interest accrued during the period since the immediately preceding Amortization Date (or, in the case of the first Amortization Date, since the Issuance Date)) and on the Maturity Date (including any extensions thereof). For the avoidance of doubt, there shall be no separate interest payment date, and all Interest payments shall be made solely on the Amortization Dates and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CONVERSION OF NOTES</w:t>
      </w:r>
      <w:r>
        <w:rPr>
          <w:rFonts w:ascii="Times New Roman" w:hAnsi="Times New Roman"/>
          <w:sz w:val="20"/>
        </w:rPr>
        <w:t xml:space="preserve">. At any time after the Issuance Date, this Note shall be convertible into validly issued, fully paid and non-assessable shares of Common Stock (as defined below), on the terms and conditions set forth in this Section 3.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Right</w:t>
      </w:r>
      <w:r>
        <w:rPr>
          <w:rFonts w:ascii="Times New Roman" w:hAnsi="Times New Roman"/>
          <w:sz w:val="20"/>
        </w:rPr>
        <w:t xml:space="preserve">. Subject to the provisions of Section 3(d), at any time or times on or after the Issuance Date, the Holder shall be entitled to convert any portion of the Conversion Amount (as defined below) into duly authorized,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Conversion Rate</w:t>
      </w:r>
      <w:r>
        <w:rPr>
          <w:rFonts w:ascii="Times New Roman" w:hAnsi="Times New Roman"/>
          <w:sz w:val="20"/>
        </w:rPr>
        <w:t>. The number of shares of Common Stock issuable upon conversion of any Conversion Amount pursuant to Section 3(a) shall be determined by dividing (x) such Conversion Amount by (y) the Conversion Price (the “</w:t>
      </w:r>
      <w:r>
        <w:rPr>
          <w:rFonts w:ascii="Times New Roman" w:hAnsi="Times New Roman"/>
          <w:b/>
          <w:sz w:val="20"/>
        </w:rPr>
        <w:t>Conversion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Conversion Amount</w:t>
      </w:r>
      <w:r>
        <w:rPr>
          <w:rFonts w:ascii="Times New Roman" w:hAnsi="Times New Roman"/>
          <w:sz w:val="20"/>
        </w:rPr>
        <w:t>” means the sum of (A) the portion of the Principal of this Note to be converted, redeemed or otherwise with respect to which this determination is being made, (B) accrued and unpaid Interest with respect to such Principal of this Note, (C) the Make-Whole Amount, if any, (D) accrued and unpaid Late Charges with respect to such Principal of this Note, Make-Whole Amount and Interest, and (E) any other unpaid amounts pursuant to the Transaction Documents, if any.</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Conversion Price</w:t>
      </w:r>
      <w:r>
        <w:rPr>
          <w:rFonts w:ascii="Times New Roman" w:hAnsi="Times New Roman"/>
          <w:sz w:val="20"/>
        </w:rPr>
        <w:t xml:space="preserve">” means, as of any Conversion Date or other date of determination, $[●]1, subject to adjustment as provided herein.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1 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First Notes, $2.74. With respect to the Second Notes, 110% of the Nasdaq minimum price immediately prior to the Second Closing Date. With respect to each Additional Note, 110% of the Nasdaq minimum price immediately prior to the applicable Additional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Optional Conversion</w:t>
      </w:r>
      <w:r>
        <w:rPr>
          <w:rFonts w:ascii="Times New Roman" w:hAnsi="Times New Roman"/>
          <w:sz w:val="20"/>
        </w:rPr>
        <w:t>. To convert any Conversion Amount into shares of Common Stock on any date (a “</w:t>
      </w:r>
      <w:r>
        <w:rPr>
          <w:rFonts w:ascii="Times New Roman" w:hAnsi="Times New Roman"/>
          <w:b/>
          <w:sz w:val="20"/>
        </w:rPr>
        <w:t>Conversion Date</w:t>
      </w:r>
      <w:r>
        <w:rPr>
          <w:rFonts w:ascii="Times New Roman" w:hAnsi="Times New Roman"/>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 w:hAnsi="Times New Roman"/>
          <w:sz w:val="20"/>
          <w:u w:val="single"/>
        </w:rPr>
        <w:t>Exhibit I</w:t>
      </w:r>
      <w:r>
        <w:rPr>
          <w:rFonts w:ascii="Times New Roman" w:hAnsi="Times New Roman"/>
          <w:sz w:val="20"/>
        </w:rPr>
        <w:t xml:space="preserve"> (each, a “</w:t>
      </w:r>
      <w:r>
        <w:rPr>
          <w:rFonts w:ascii="Times New Roman" w:hAnsi="Times New Roman"/>
          <w:b/>
          <w:sz w:val="20"/>
        </w:rPr>
        <w:t>Conversion Notice</w:t>
      </w:r>
      <w:r>
        <w:rPr>
          <w:rFonts w:ascii="Times New Roman" w:hAnsi="Times New Roman"/>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21(b)). On the date of receipt of a Conversion Notice, the Company shall transmit by electronic mail an acknowledgment, in the form attached hereto as </w:t>
      </w:r>
      <w:r>
        <w:rPr>
          <w:rFonts w:ascii="Times New Roman" w:hAnsi="Times New Roman"/>
          <w:sz w:val="20"/>
          <w:u w:val="single"/>
        </w:rPr>
        <w:t>Exhibit II</w:t>
      </w:r>
      <w:r>
        <w:rPr>
          <w:rFonts w:ascii="Times New Roman" w:hAnsi="Times New Roman"/>
          <w:sz w:val="20"/>
        </w:rPr>
        <w:t>, of confirmation of receipt of such Conversion Notice and representation as to whether such shares of Common Stock may then be resold pursuant to Rule 144 or an effective and available registration statement (each, an “</w:t>
      </w:r>
      <w:r>
        <w:rPr>
          <w:rFonts w:ascii="Times New Roman" w:hAnsi="Times New Roman"/>
          <w:b/>
          <w:sz w:val="20"/>
        </w:rPr>
        <w:t>Acknowledgement</w:t>
      </w:r>
      <w:r>
        <w:rPr>
          <w:rFonts w:ascii="Times New Roman" w:hAnsi="Times New Roman"/>
          <w:sz w:val="20"/>
        </w:rPr>
        <w:t>”) to the Holder and the Transfer Agent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hAnsi="Times New Roman"/>
          <w:b/>
          <w:sz w:val="20"/>
        </w:rPr>
        <w:t>Share Delivery Deadline</w:t>
      </w:r>
      <w:r>
        <w:rPr>
          <w:rFonts w:ascii="Times New Roman" w:hAnsi="Times New Roman"/>
          <w:sz w:val="20"/>
        </w:rPr>
        <w:t>”), the Company shall (1) provided that the Transfer Agent is participating in the Fast Automated Securities Transfer Program (“</w:t>
      </w:r>
      <w:r>
        <w:rPr>
          <w:rFonts w:ascii="Times New Roman" w:hAnsi="Times New Roman"/>
          <w:b/>
          <w:sz w:val="20"/>
        </w:rPr>
        <w:t>FAST</w:t>
      </w:r>
      <w:r>
        <w:rPr>
          <w:rFonts w:ascii="Times New Roman" w:hAnsi="Times New Roman"/>
          <w:sz w:val="20"/>
        </w:rPr>
        <w:t>”) of The Depository Trust Company (“</w:t>
      </w:r>
      <w:r>
        <w:rPr>
          <w:rFonts w:ascii="Times New Roman" w:hAnsi="Times New Roman"/>
          <w:b/>
          <w:sz w:val="20"/>
        </w:rPr>
        <w:t>DTC</w:t>
      </w:r>
      <w:r>
        <w:rPr>
          <w:rFonts w:ascii="Times New Roman" w:hAnsi="Times New Roman"/>
          <w:sz w:val="20"/>
        </w:rPr>
        <w:t xml:space="preserve">”),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21(d)) representing the outstanding Principal (and accrued and unpaid Interest and Make-Whole Amount thereon) not converted. The Person or Persons entitled to receive the shares of Common Stock issuable upon a conversion of this Note shall be treated for all purposes as the record holder or holders of such shares of Common Stock on the Conversion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Company’s Failure to Timely Convert</w:t>
      </w:r>
      <w:r>
        <w:rPr>
          <w:rFonts w:ascii="Times New Roman" w:hAnsi="Times New Roman"/>
          <w:sz w:val="20"/>
        </w:rPr>
        <w:t>. If the Company shall fail, for any reason or for no reason, on or prior to the applicable Share Delivery Deadline,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(a “</w:t>
      </w:r>
      <w:r>
        <w:rPr>
          <w:rFonts w:ascii="Times New Roman" w:hAnsi="Times New Roman"/>
          <w:b/>
          <w:sz w:val="20"/>
        </w:rPr>
        <w:t>Conversion Failure</w:t>
      </w:r>
      <w:r>
        <w:rPr>
          <w:rFonts w:ascii="Times New Roman" w:hAnsi="Times New Roman"/>
          <w:sz w:val="20"/>
        </w:rPr>
        <w:t>”), then, in addition to all other remedies available to the Holder, (1) the Company shall pay in cash to the Holder on each day after such Share Delivery Deadline that the issuance of such shares of Common Stock is not timely effected an amount equal to 1.0%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(a “</w:t>
      </w:r>
      <w:r>
        <w:rPr>
          <w:rFonts w:ascii="Times New Roman" w:hAnsi="Times New Roman"/>
          <w:b/>
          <w:sz w:val="20"/>
        </w:rPr>
        <w:t>Buy-In</w:t>
      </w:r>
      <w:r>
        <w:rPr>
          <w:rFonts w:ascii="Times New Roman" w:hAnsi="Times New Roman"/>
          <w:sz w:val="20"/>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hAnsi="Times New Roman"/>
          <w:b/>
          <w:sz w:val="20"/>
        </w:rPr>
        <w:t>Buy-In Price</w:t>
      </w:r>
      <w:r>
        <w:rPr>
          <w:rFonts w:ascii="Times New Roman" w:hAnsi="Times New Roman"/>
          <w:sz w:val="20"/>
        </w:rPr>
        <w:t xml:space="preserve">”), at which point the Company’s obligation to so issue and deliver such certificate (and to issue such shares of Common Stock) or credit the balance account of such Holder or such Holder’s designee, as applicable, with DTC for the number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 w:hAnsi="Times New Roman"/>
          <w:b/>
          <w:sz w:val="20"/>
        </w:rPr>
        <w:t>Buy-In Payment Amount</w:t>
      </w:r>
      <w:r>
        <w:rPr>
          <w:rFonts w:ascii="Times New Roman" w:hAnsi="Times New Roman"/>
          <w:sz w:val="20"/>
        </w:rPr>
        <w:t xml:space="preserv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Book-Entry</w:t>
      </w:r>
      <w:r>
        <w:rPr>
          <w:rFonts w:ascii="Times New Roman" w:hAnsi="Times New Roman"/>
          <w:sz w:val="20"/>
        </w:rPr>
        <w:t>. The Company shall maintain a register (the “</w:t>
      </w:r>
      <w:r>
        <w:rPr>
          <w:rFonts w:ascii="Times New Roman" w:hAnsi="Times New Roman"/>
          <w:b/>
          <w:sz w:val="20"/>
        </w:rPr>
        <w:t>Register</w:t>
      </w:r>
      <w:r>
        <w:rPr>
          <w:rFonts w:ascii="Times New Roman" w:hAnsi="Times New Roman"/>
          <w:sz w:val="20"/>
        </w:rPr>
        <w:t>”) for the recordation of the names and addresses of the holders of each Note and the principal amount of the Notes held by such holders (the “</w:t>
      </w:r>
      <w:r>
        <w:rPr>
          <w:rFonts w:ascii="Times New Roman" w:hAnsi="Times New Roman"/>
          <w:b/>
          <w:sz w:val="20"/>
        </w:rPr>
        <w:t>Registered Notes</w:t>
      </w:r>
      <w:r>
        <w:rPr>
          <w:rFonts w:ascii="Times New Roman" w:hAnsi="Times New Roman"/>
          <w:sz w:val="20"/>
        </w:rPr>
        <w:t xml:space="preserve">”).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Make-Whole Amount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21,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Make-Whole Amount, Interest and Late Charges converted and/or paid (as the case may be) and the dates of such conversions and/or payments (as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or shall use such other method, reasonably satisfactory to the Holder and the Company, so as not to require physical surrender of this Note upon conversion. If the Company does not update the Register to record such Principal, Make-Whole Amount, Interest and Late Charges converted and/or paid (as the case may be) and the dates of such conversions and/or payments (as the case may be) within two (2) Business Days of such occurrence, then the Register shall be automatically deemed updated to reflect such occurrence.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Pro Rata Conversion; Disputes</w:t>
      </w:r>
      <w:r>
        <w:rPr>
          <w:rFonts w:ascii="Times New Roman" w:hAnsi="Times New Roman"/>
          <w:sz w:val="20"/>
        </w:rPr>
        <w:t xml:space="preserve">.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26.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Limitations on Conversions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Beneficial Ownership</w:t>
      </w:r>
      <w:r>
        <w:rPr>
          <w:rFonts w:ascii="Times New Roman" w:hAnsi="Times New Roman"/>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hAnsi="Times New Roman"/>
          <w:b/>
          <w:sz w:val="20"/>
        </w:rPr>
        <w:t>Maximum Percentage</w:t>
      </w:r>
      <w:r>
        <w:rPr>
          <w:rFonts w:ascii="Times New Roman" w:hAnsi="Times New Roman"/>
          <w:sz w:val="20"/>
        </w:rPr>
        <w:t xml:space="preserve">”)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more recent written notice by the Company or the Transfer Agent, if any, setting forth the number of shares of Common Stock outstanding (the “</w:t>
      </w:r>
      <w:r>
        <w:rPr>
          <w:rFonts w:ascii="Times New Roman" w:hAnsi="Times New Roman"/>
          <w:b/>
          <w:sz w:val="20"/>
        </w:rPr>
        <w:t>Reported Outstanding Share Number</w:t>
      </w:r>
      <w:r>
        <w:rPr>
          <w:rFonts w:ascii="Times New Roman" w:hAnsi="Times New Roman"/>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request of the Holder, the Company shall within one (1) Business Day confirm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hAnsi="Times New Roman"/>
          <w:b/>
          <w:sz w:val="20"/>
        </w:rPr>
        <w:t>Excess Shares</w:t>
      </w:r>
      <w:r>
        <w:rPr>
          <w:rFonts w:ascii="Times New Roman" w:hAnsi="Times New Roman"/>
          <w:sz w:val="20"/>
        </w:rPr>
        <w:t xml:space="preserve">”) shall be deemed null and void and shall be cancelled ab initio, and the Holder shall not have the power to vote or to transfer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amended, modified or waived and shall apply to a successor holder of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Principal Market Regulation</w:t>
      </w:r>
      <w:r>
        <w:rPr>
          <w:rFonts w:ascii="Times New Roman" w:hAnsi="Times New Roman"/>
          <w:sz w:val="20"/>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without breaching the Company’s obligations under the rules or regulations of the Principal Market (the number of shares which may be issued without violating such rules and regulations, including rules related to the aggregate of offerings under Nasdaq Listing Rule 5635(d), the “</w:t>
      </w:r>
      <w:r>
        <w:rPr>
          <w:rFonts w:ascii="Times New Roman" w:hAnsi="Times New Roman"/>
          <w:b/>
          <w:sz w:val="20"/>
        </w:rPr>
        <w:t>Exchange Cap</w:t>
      </w:r>
      <w:r>
        <w:rPr>
          <w:rFonts w:ascii="Times New Roman" w:hAnsi="Times New Roman"/>
          <w:sz w:val="20"/>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 (1) the aggregate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Times New Roman" w:hAnsi="Times New Roman"/>
          <w:b/>
          <w:sz w:val="20"/>
        </w:rPr>
        <w:t>Exchange Cap Allocation</w:t>
      </w:r>
      <w:r>
        <w:rPr>
          <w:rFonts w:ascii="Times New Roman" w:hAnsi="Times New Roman"/>
          <w:sz w:val="20"/>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 At any time after the Stockholder Meeting Deadline (as defined in the Securities Purchase Agreement), in the event that the Company is prohibited from issuing shares of Common Stock pursuant to this Section 3(d)(ii) (the “</w:t>
      </w:r>
      <w:r>
        <w:rPr>
          <w:rFonts w:ascii="Times New Roman" w:hAnsi="Times New Roman"/>
          <w:b/>
          <w:sz w:val="20"/>
        </w:rPr>
        <w:t>Exchange Cap Shares</w:t>
      </w:r>
      <w:r>
        <w:rPr>
          <w:rFonts w:ascii="Times New Roman" w:hAnsi="Times New Roman"/>
          <w:sz w:val="20"/>
        </w:rPr>
        <w:t xml:space="preserve">”), the Company shall pay cash in exchange for the cancellation of such portion of this Note convertible into such Exchange Cap Shares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3(d)(ii) to the extent of any Buy-In related thereto, and (ii) any Buy-In Payment Amount, any brokerage commissions and other out-of-pocket expenses, if any, of the Holder incurred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Right of Alternate Conversion Upon an 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w:t>
      </w:r>
      <w:r>
        <w:rPr>
          <w:rFonts w:ascii="Times New Roman" w:hAnsi="Times New Roman"/>
          <w:sz w:val="20"/>
        </w:rPr>
        <w:t>. Subject to Section 3(d), at any time during an Event of Default Redemption Right Period (as defined below)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 w:hAnsi="Times New Roman"/>
          <w:b/>
          <w:sz w:val="20"/>
        </w:rPr>
        <w:t>Alternate Conversion</w:t>
      </w:r>
      <w:r>
        <w:rPr>
          <w:rFonts w:ascii="Times New Roman" w:hAnsi="Times New Roman"/>
          <w:sz w:val="20"/>
        </w:rPr>
        <w:t>”, and the date of such Alternate Conversion, each, an “</w:t>
      </w:r>
      <w:r>
        <w:rPr>
          <w:rFonts w:ascii="Times New Roman" w:hAnsi="Times New Roman"/>
          <w:b/>
          <w:sz w:val="20"/>
        </w:rPr>
        <w:t>Alternate Conversion Date</w:t>
      </w:r>
      <w:r>
        <w:rPr>
          <w:rFonts w:ascii="Times New Roman" w:hAnsi="Times New Roman"/>
          <w:sz w:val="20"/>
        </w:rPr>
        <w:t>”) all, or any part of, the Conversion Amount (such portion of the Conversion Amount subject to such Alternate Conversion, the “</w:t>
      </w:r>
      <w:r>
        <w:rPr>
          <w:rFonts w:ascii="Times New Roman" w:hAnsi="Times New Roman"/>
          <w:b/>
          <w:sz w:val="20"/>
        </w:rPr>
        <w:t>Alternate Conversion Amount</w:t>
      </w:r>
      <w:r>
        <w:rPr>
          <w:rFonts w:ascii="Times New Roman" w:hAnsi="Times New Roman"/>
          <w:sz w:val="20"/>
        </w:rPr>
        <w:t xml:space="preserve">”) into shares of Common Stock at the Alternate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Mechanics of Alternate Conversion</w:t>
      </w:r>
      <w:r>
        <w:rPr>
          <w:rFonts w:ascii="Times New Roman" w:hAnsi="Times New Roman"/>
          <w:sz w:val="20"/>
        </w:rPr>
        <w:t xml:space="preserve">. On any Alternate Conversion Date, the Holder may voluntarily convert any Alternate Conversion Amount pursuant to Section 3(c) (with “Alternate Conversion Price” replacing “Conversion Price” for all purposes hereunder with respect to such Alternate Conversion and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Price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 </w:t>
      </w:r>
    </w:p>
    <w:p>
      <w:pPr>
        <w:pStyle w:val="TextBody"/>
        <w:bidi w:val="0"/>
        <w:spacing w:before="120" w:after="0"/>
        <w:jc w:val="left"/>
        <w:rPr>
          <w:rFonts w:ascii="Times New Roman" w:hAnsi="Times New Roman"/>
          <w:sz w:val="20"/>
        </w:rPr>
      </w:pPr>
      <w:r>
        <w:rPr>
          <w:rFonts w:ascii="Times New Roman" w:hAnsi="Times New Roman"/>
          <w:sz w:val="20"/>
        </w:rPr>
        <w:t xml:space="preserve">(f) Exceptions. Notwithstanding anything to the contrary in this Section 3, in the event Stockholder Approval (as defined in the Securities Purchase Agreement) is not obtained by the Stockholder Meeting Deadline (as defined in the Securities Purchase Agreement), then (i) the Company shall pay to the Holder a cash fee of $200,000 within five (5) Business Days following the Stockholder Meeting Deadline and (ii) provided that no Event of Default has occurred and is ongoing, if the Company is prohibited from issuing shares of Common Stock upon conversion of this Note pursuant to Section 3(d)(ii), this Note shall not be convertible into shares of Common Stock under this Section 3 from the Stockholder Meeting Deadline until the next Amortization Date, which amount may be reduced or fully paid if the Company redeems all or any portion of this Note prior to the applicable Amortization Date in accordance with Section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RIGHTS UPON 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Event of Default</w:t>
      </w:r>
      <w:r>
        <w:rPr>
          <w:rFonts w:ascii="Times New Roman" w:hAnsi="Times New Roman"/>
          <w:sz w:val="20"/>
        </w:rPr>
        <w:t>. Each of the following events shall constitute an “</w:t>
      </w:r>
      <w:r>
        <w:rPr>
          <w:rFonts w:ascii="Times New Roman" w:hAnsi="Times New Roman"/>
          <w:b/>
          <w:sz w:val="20"/>
        </w:rPr>
        <w:t>Event of Default</w:t>
      </w:r>
      <w:r>
        <w:rPr>
          <w:rFonts w:ascii="Times New Roman" w:hAnsi="Times New Roman"/>
          <w:sz w:val="20"/>
        </w:rPr>
        <w:t>” and each of the events in clauses (vii), (viii) and (ix) shall constitute a “</w:t>
      </w:r>
      <w:r>
        <w:rPr>
          <w:rFonts w:ascii="Times New Roman" w:hAnsi="Times New Roman"/>
          <w:b/>
          <w:sz w:val="20"/>
        </w:rPr>
        <w:t>Bankruptcy 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suspension of the Common Stock from trading or the failure of the Common Stock to be listed for trading on an Eligible Market for a period of five (5) consecutive Trading Days; </w:t>
      </w:r>
    </w:p>
    <w:p>
      <w:pPr>
        <w:pStyle w:val="TextBody"/>
        <w:bidi w:val="0"/>
        <w:spacing w:before="120" w:after="0"/>
        <w:jc w:val="left"/>
        <w:rPr>
          <w:rFonts w:ascii="Times New Roman" w:hAnsi="Times New Roman"/>
          <w:sz w:val="20"/>
        </w:rPr>
      </w:pPr>
      <w:r>
        <w:rPr>
          <w:rFonts w:ascii="Times New Roman" w:hAnsi="Times New Roman"/>
          <w:sz w:val="20"/>
        </w:rPr>
        <w:t xml:space="preserve">(ii)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w:t>
      </w:r>
    </w:p>
    <w:p>
      <w:pPr>
        <w:pStyle w:val="TextBody"/>
        <w:bidi w:val="0"/>
        <w:spacing w:before="120" w:after="0"/>
        <w:jc w:val="left"/>
        <w:rPr>
          <w:rFonts w:ascii="Times New Roman" w:hAnsi="Times New Roman"/>
          <w:sz w:val="20"/>
        </w:rPr>
      </w:pPr>
      <w:r>
        <w:rPr>
          <w:rFonts w:ascii="Times New Roman" w:hAnsi="Times New Roman"/>
          <w:sz w:val="20"/>
        </w:rPr>
        <w:t xml:space="preserve">(iii) except to the extent the Company is in compliance with Section 12(b) below, at any time following the fifteenth (15th) consecutive day that the Holder’s Authorized Share Allocation (as defined in Section 12(a) below) is less than the sum of the number of shares of Common Stock that the Holder would be entitled to receive upon a conversion of the full Conversion Amount of this Note (without regard to any limitations on conversion set forth in Section 3(d) or otherwise); </w:t>
      </w:r>
    </w:p>
    <w:p>
      <w:pPr>
        <w:pStyle w:val="TextBody"/>
        <w:bidi w:val="0"/>
        <w:spacing w:before="120" w:after="0"/>
        <w:jc w:val="left"/>
        <w:rPr>
          <w:rFonts w:ascii="Times New Roman" w:hAnsi="Times New Roman"/>
          <w:sz w:val="20"/>
        </w:rPr>
      </w:pPr>
      <w:r>
        <w:rPr>
          <w:rFonts w:ascii="Times New Roman" w:hAnsi="Times New Roman"/>
          <w:sz w:val="20"/>
        </w:rPr>
        <w:t xml:space="preserve">(iv) the Company’s or any Subsidiary’s failure to pay to the Holder any amount of Principal, Make-Whole Amount, Interest, Late Charges or other amounts when and as due under this Note (including, without limitation, the Company’s or any Subsidiary’s failure to pay any redemption payments or amounts hereunder) or any other Transaction Document (as defined in the Securities Purchase Agreement) or the Royalty Sale Agreement (as defined in the Securities Purchase Agreement) or any other agreement, document, certificate or other instrument delivered in connection with the transactions contemplated hereby and thereby, except, in the case of a failure to pay any Make-Whole Amount, Interest and Late Charges when and as due, in which case only if such failure remains uncured for a period of at least five (5) Trading Days; </w:t>
      </w:r>
    </w:p>
    <w:p>
      <w:pPr>
        <w:pStyle w:val="TextBody"/>
        <w:bidi w:val="0"/>
        <w:spacing w:before="120" w:after="0"/>
        <w:jc w:val="left"/>
        <w:rPr>
          <w:rFonts w:ascii="Times New Roman" w:hAnsi="Times New Roman"/>
          <w:sz w:val="20"/>
        </w:rPr>
      </w:pPr>
      <w:r>
        <w:rPr>
          <w:rFonts w:ascii="Times New Roman" w:hAnsi="Times New Roman"/>
          <w:sz w:val="20"/>
        </w:rPr>
        <w:t xml:space="preserve">(v) the Company fails to remove any restrictive legend on any certificate or any shares of Common Stock issued to the Holder upon conversion of this Note as and when required by this Note, unless otherwise prohibited by applicable federal securities laws, and any such failure remains uncured for at least ten (10) days; </w:t>
      </w:r>
    </w:p>
    <w:p>
      <w:pPr>
        <w:pStyle w:val="TextBody"/>
        <w:bidi w:val="0"/>
        <w:spacing w:before="120" w:after="0"/>
        <w:jc w:val="left"/>
        <w:rPr>
          <w:rFonts w:ascii="Times New Roman" w:hAnsi="Times New Roman"/>
          <w:sz w:val="20"/>
        </w:rPr>
      </w:pPr>
      <w:r>
        <w:rPr>
          <w:rFonts w:ascii="Times New Roman" w:hAnsi="Times New Roman"/>
          <w:sz w:val="20"/>
        </w:rPr>
        <w:t xml:space="preserve">(vi) the occurrence of any default under, redemption of or acceleration prior to maturity of at least an aggregate of $500,000 of Indebtedness (as defined in the Securities Purchase Agreement) of the Company or any of its Subsidiaries, other than with respect to any Other Notes; </w:t>
      </w:r>
    </w:p>
    <w:p>
      <w:pPr>
        <w:pStyle w:val="TextBody"/>
        <w:bidi w:val="0"/>
        <w:spacing w:before="120" w:after="0"/>
        <w:jc w:val="left"/>
        <w:rPr>
          <w:rFonts w:ascii="Times New Roman" w:hAnsi="Times New Roman"/>
          <w:sz w:val="20"/>
        </w:rPr>
      </w:pPr>
      <w:r>
        <w:rPr>
          <w:rFonts w:ascii="Times New Roman" w:hAnsi="Times New Roman"/>
          <w:sz w:val="20"/>
        </w:rPr>
        <w:t xml:space="preserve">(vii) bankruptcy, insolvency, reorganization or liquidation proceedings or other proceedings for the relief of debtors shall be instituted by or against the Company or any Subsidiary and, if instituted against the Company or any Subsidiary by a third party, shall not be dismissed within forty-five (45) days of their initiation;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(ix)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forty-five (45)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(x) a final judgment or judgments for the payment of money aggregating in excess of $500,000 are rendered against the Company and/or any of its Subsidiaries and which judgments are not, within forty-five (45) days after the entry thereof, bonded, discharged, settled or stayed pending appeal, or are not discharged within forty-five (45) days after the expiration of such stay; provided, however, any judgment which is covered by insurance or an indemnity from a credit 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forty-five (45) days of the issuance of such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$500,000,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(xii)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or the Royalty Sale Agreement, except, in the case of a breach of a covenant or other term or condition in a Transaction Document (other than a breach of Section 6(n) of the Security Agreement (Certain Post Closing Matters)) or the Royalty Sale Agreement, that is curable, only if such breach remains uncured for a period of five (5) consecutive Trading Days; provided, however, that, notwithstanding anything to the contrary in this Note, the failure to obtain Stockholder Approval (as defined in the Securities Purchase Agreement) by the Stockholder Meeting Deadline (as defined in the Securities Purchase Agreement) shall not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(xiii) any material breach or failure by the Company or any Subsidiary to comply with any provision of Section 16 of this Note; </w:t>
      </w:r>
    </w:p>
    <w:p>
      <w:pPr>
        <w:pStyle w:val="TextBody"/>
        <w:bidi w:val="0"/>
        <w:spacing w:before="120" w:after="0"/>
        <w:jc w:val="left"/>
        <w:rPr>
          <w:rFonts w:ascii="Times New Roman" w:hAnsi="Times New Roman"/>
          <w:sz w:val="20"/>
        </w:rPr>
      </w:pPr>
      <w:r>
        <w:rPr>
          <w:rFonts w:ascii="Times New Roman" w:hAnsi="Times New Roman"/>
          <w:sz w:val="20"/>
        </w:rPr>
        <w:t xml:space="preserve">(xiv) any Material Adverse Effect (as defined in the Securities Purchase Agreement) occurs; </w:t>
      </w:r>
    </w:p>
    <w:p>
      <w:pPr>
        <w:pStyle w:val="TextBody"/>
        <w:bidi w:val="0"/>
        <w:spacing w:before="120" w:after="0"/>
        <w:jc w:val="left"/>
        <w:rPr>
          <w:rFonts w:ascii="Times New Roman" w:hAnsi="Times New Roman"/>
          <w:sz w:val="20"/>
        </w:rPr>
      </w:pPr>
      <w:r>
        <w:rPr>
          <w:rFonts w:ascii="Times New Roman" w:hAnsi="Times New Roman"/>
          <w:sz w:val="20"/>
        </w:rPr>
        <w:t xml:space="preserve">(xv) any provision of any Transaction Document (including, without limitation, the Security Documents)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any Security Document shall for any reason fail or cease to create a separate valid and perfected and, except to the extent permitted by the terms hereof or thereof, first priority Lien (as defined in the Securities Purchase Agreement) on the Collateral (as defined in the Security Documents)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 if any such event or circumstance would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 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would have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(xviii) any Event of Default (as defined in the Other Notes) occurs with respect to any Other Notes.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an Event of Default; Redemption Right</w:t>
      </w:r>
      <w:r>
        <w:rPr>
          <w:rFonts w:ascii="Times New Roman" w:hAnsi="Times New Roman"/>
          <w:sz w:val="20"/>
        </w:rPr>
        <w:t>. Upon the occurrence of an Event of Default with respect to this Note or any Other Note, the Company shall within one (1) Business Day deliver written notice thereof via electronic mail and overnight courier (with next day delivery specified) (an “</w:t>
      </w:r>
      <w:r>
        <w:rPr>
          <w:rFonts w:ascii="Times New Roman" w:hAnsi="Times New Roman"/>
          <w:b/>
          <w:sz w:val="20"/>
        </w:rPr>
        <w:t>Event of Default Notice</w:t>
      </w:r>
      <w:r>
        <w:rPr>
          <w:rFonts w:ascii="Times New Roman" w:hAnsi="Times New Roman"/>
          <w:sz w:val="20"/>
        </w:rPr>
        <w:t>”) to the Holder. At any time after the earlier of the Holder’s receipt of an Event of Default Notice and the Holder becoming aware of an Event of Default (such earlier date, the “</w:t>
      </w:r>
      <w:r>
        <w:rPr>
          <w:rFonts w:ascii="Times New Roman" w:hAnsi="Times New Roman"/>
          <w:b/>
          <w:sz w:val="20"/>
        </w:rPr>
        <w:t>Event of Default Right Commencement Date</w:t>
      </w:r>
      <w:r>
        <w:rPr>
          <w:rFonts w:ascii="Times New Roman" w:hAnsi="Times New Roman"/>
          <w:sz w:val="20"/>
        </w:rPr>
        <w:t>”) and ending (such ending date, the “</w:t>
      </w:r>
      <w:r>
        <w:rPr>
          <w:rFonts w:ascii="Times New Roman" w:hAnsi="Times New Roman"/>
          <w:b/>
          <w:sz w:val="20"/>
        </w:rPr>
        <w:t>Event of Default Right Expiration Date</w:t>
      </w:r>
      <w:r>
        <w:rPr>
          <w:rFonts w:ascii="Times New Roman" w:hAnsi="Times New Roman"/>
          <w:sz w:val="20"/>
        </w:rPr>
        <w:t>”, and each such period, an “</w:t>
      </w:r>
      <w:r>
        <w:rPr>
          <w:rFonts w:ascii="Times New Roman" w:hAnsi="Times New Roman"/>
          <w:b/>
          <w:sz w:val="20"/>
        </w:rPr>
        <w:t>Event of Default Redemption Right Period</w:t>
      </w:r>
      <w:r>
        <w:rPr>
          <w:rFonts w:ascii="Times New Roman" w:hAnsi="Times New Roman"/>
          <w:sz w:val="20"/>
        </w:rPr>
        <w:t>”) on the twentieth (20th)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 w:hAnsi="Times New Roman"/>
          <w:b/>
          <w:sz w:val="20"/>
        </w:rPr>
        <w:t>Event of Default Redemption Notice</w:t>
      </w:r>
      <w:r>
        <w:rPr>
          <w:rFonts w:ascii="Times New Roman" w:hAnsi="Times New Roman"/>
          <w:sz w:val="20"/>
        </w:rPr>
        <w:t xml:space="preserve">”)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product of (A) the Conversion Amount to be redeemed multiplied by (B) the Event of Default Redemption Premium and (ii) the product of (X) the quotient of (1) the Conversion Amount to be redeemed divided by (2) the Alternate Conversion Price then in effect at such time as the Holder delivers an Event of Default Redemption Notice multiplied by (Y) the product of (1) the Event of Default Redemption Premium multiplied by (2) the highest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hAnsi="Times New Roman"/>
          <w:b/>
          <w:sz w:val="20"/>
        </w:rPr>
        <w:t>Event of Default</w:t>
      </w:r>
      <w:r>
        <w:rPr>
          <w:rFonts w:ascii="Times New Roman" w:hAnsi="Times New Roman"/>
          <w:sz w:val="20"/>
        </w:rPr>
        <w:t xml:space="preserve"> </w:t>
      </w:r>
      <w:r>
        <w:rPr>
          <w:rFonts w:ascii="Times New Roman" w:hAnsi="Times New Roman"/>
          <w:b/>
          <w:sz w:val="20"/>
        </w:rPr>
        <w:t>Redemption Price</w:t>
      </w:r>
      <w:r>
        <w:rPr>
          <w:rFonts w:ascii="Times New Roman" w:hAnsi="Times New Roman"/>
          <w:sz w:val="20"/>
        </w:rPr>
        <w:t xml:space="preserve">”). Redemptions required by this Section 4(b) shall be made in accordance with the provisions of Section 14.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is paid in full, the Conversion Amount submitted for redemption under this Section 4(b) may be converted, in whole or in part, by the Holder into shares of Common Stock pursuant to the terms of this Note. In the event of a partial redemption of this Note pursuant hereto, the Principal amount redeemed shall be deducted from the Amortization Amount(s) relating to the applicable Amortization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Mandatory Redemption upon Bankruptcy Event of Default</w:t>
      </w:r>
      <w:r>
        <w:rPr>
          <w:rFonts w:ascii="Times New Roman" w:hAnsi="Times New Roman"/>
          <w:sz w:val="20"/>
        </w:rPr>
        <w:t xml:space="preserve">.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Make-Whole Amount, accrued and unpaid Interest and accrued and unpaid Late Charges, multiplied by (ii) the Event of Default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RIGHTS UPON FUNDAMENTAL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Assumption</w:t>
      </w:r>
      <w:r>
        <w:rPr>
          <w:rFonts w:ascii="Times New Roman" w:hAnsi="Times New Roman"/>
          <w:sz w:val="20"/>
        </w:rPr>
        <w:t xml:space="preserve">.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for such items still issuable under Sections 6 and 18,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a Change of Control; Redemption Right</w:t>
      </w:r>
      <w:r>
        <w:rPr>
          <w:rFonts w:ascii="Times New Roman" w:hAnsi="Times New Roman"/>
          <w:sz w:val="20"/>
        </w:rPr>
        <w:t>. No sooner than twenty (20) Trading Days nor later than ten (10) Trading Days prior to the consummation of a Change of Control (the “</w:t>
      </w:r>
      <w:r>
        <w:rPr>
          <w:rFonts w:ascii="Times New Roman" w:hAnsi="Times New Roman"/>
          <w:b/>
          <w:sz w:val="20"/>
        </w:rPr>
        <w:t>Change of Control Date</w:t>
      </w:r>
      <w:r>
        <w:rPr>
          <w:rFonts w:ascii="Times New Roman" w:hAnsi="Times New Roman"/>
          <w:sz w:val="20"/>
        </w:rPr>
        <w:t>”), but not prior to the public announcement of such Change of Control, the Company shall deliver written notice thereof via electronic mail and overnight courier to the Holder (a “</w:t>
      </w:r>
      <w:r>
        <w:rPr>
          <w:rFonts w:ascii="Times New Roman" w:hAnsi="Times New Roman"/>
          <w:b/>
          <w:sz w:val="20"/>
        </w:rPr>
        <w:t>Change of Control</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latest of (A) the date of consummation of such Change of Control, (B) the date of receipt of such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Notice or (C) the date of the announcement of such Change of Control, the Holder may require the Company to redeem all or any portion of this Note by delivering written notice thereof (“</w:t>
      </w:r>
      <w:r>
        <w:rPr>
          <w:rFonts w:ascii="Times New Roman" w:hAnsi="Times New Roman"/>
          <w:b/>
          <w:sz w:val="20"/>
        </w:rPr>
        <w:t>Change of Control Redemption Notice</w:t>
      </w:r>
      <w:r>
        <w:rPr>
          <w:rFonts w:ascii="Times New Roman" w:hAnsi="Times New Roman"/>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hAnsi="Times New Roman"/>
          <w:b/>
          <w:sz w:val="20"/>
        </w:rPr>
        <w:t>Change of Control Redemption Price</w:t>
      </w:r>
      <w:r>
        <w:rPr>
          <w:rFonts w:ascii="Times New Roman" w:hAnsi="Times New Roman"/>
          <w:sz w:val="20"/>
        </w:rPr>
        <w:t xml:space="preserve">”). Redemptions required by this Section 5 shall be made in accordance with the provisions of Section 14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is paid in full, the Conversion Amount submitted for redemption under this Section 5(b) may be converted, in whole or in part, by the Holder into Common Stock pursuant to Section 3. In the event of a partial redemption of this Note pursuant hereto, the Principal amount redeemed shall be deducted from the Amortization Amount(s) relating to the applicable Amortization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 is intended by the parties to be, and shall be deemed, a reasonable estimate of the Holder’s actual loss of its investment opportunity and not as a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RIGHTS UPON ISSUANCE OF PURCHASE RIGHTS AND OTHER CORPORATE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Rights</w:t>
      </w:r>
      <w:r>
        <w:rPr>
          <w:rFonts w:ascii="Times New Roman" w:hAnsi="Times New Roman"/>
          <w:sz w:val="20"/>
        </w:rPr>
        <w:t>. In addition to any adjustments pursuant to Sections 7 or 18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hAnsi="Times New Roman"/>
          <w:b/>
          <w:sz w:val="20"/>
        </w:rPr>
        <w:t>Purchase Rights</w:t>
      </w:r>
      <w:r>
        <w:rPr>
          <w:rFonts w:ascii="Times New Roman" w:hAnsi="Times New Roman"/>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pursuant to Section 3(d) or otherwise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Corporate Events</w:t>
      </w:r>
      <w:r>
        <w:rPr>
          <w:rFonts w:ascii="Times New Roman" w:hAnsi="Times New Roman"/>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hAnsi="Times New Roman"/>
          <w:b/>
          <w:sz w:val="20"/>
        </w:rPr>
        <w:t>Corporate Event</w:t>
      </w:r>
      <w:r>
        <w:rPr>
          <w:rFonts w:ascii="Times New Roman" w:hAnsi="Times New Roman"/>
          <w:sz w:val="20"/>
        </w:rPr>
        <w:t xml:space="preserve">”),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RIGHTS UPON ISSUANCE OF OTHER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 of Conversion Price upon Issuance of Common Stock</w:t>
      </w:r>
      <w:r>
        <w:rPr>
          <w:rFonts w:ascii="Times New Roman" w:hAnsi="Times New Roman"/>
          <w:sz w:val="20"/>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granted, issued or sold or deemed to have been granted, issued or sold) for a consideration per share (the “</w:t>
      </w:r>
      <w:r>
        <w:rPr>
          <w:rFonts w:ascii="Times New Roman" w:hAnsi="Times New Roman"/>
          <w:b/>
          <w:sz w:val="20"/>
        </w:rPr>
        <w:t>New Issuance Price</w:t>
      </w:r>
      <w:r>
        <w:rPr>
          <w:rFonts w:ascii="Times New Roman" w:hAnsi="Times New Roman"/>
          <w:sz w:val="20"/>
        </w:rPr>
        <w:t>”) less than a price equal to the Conversion Price in effect immediately prior to such granting, issuance or sale or deemed granting, issuance or sale (such Conversion Price then in effect is referred to herein as the “</w:t>
      </w:r>
      <w:r>
        <w:rPr>
          <w:rFonts w:ascii="Times New Roman" w:hAnsi="Times New Roman"/>
          <w:b/>
          <w:sz w:val="20"/>
        </w:rPr>
        <w:t>Applicable Price</w:t>
      </w:r>
      <w:r>
        <w:rPr>
          <w:rFonts w:ascii="Times New Roman" w:hAnsi="Times New Roman"/>
          <w:sz w:val="20"/>
        </w:rPr>
        <w:t>”) (the foregoing a “</w:t>
      </w:r>
      <w:r>
        <w:rPr>
          <w:rFonts w:ascii="Times New Roman" w:hAnsi="Times New Roman"/>
          <w:b/>
          <w:sz w:val="20"/>
        </w:rPr>
        <w:t>Dilutive Issuance</w:t>
      </w:r>
      <w:r>
        <w:rPr>
          <w:rFonts w:ascii="Times New Roman" w:hAnsi="Times New Roman"/>
          <w:sz w:val="20"/>
        </w:rPr>
        <w:t xml:space="preserve">”), then, immediately after such Dilutive Issuance, the Conversion Price then in effect shall be reduced to an amount equal to the New Issuance Price. Notwithstanding the foregoing, this </w:t>
      </w:r>
      <w:r>
        <w:rPr>
          <w:rFonts w:ascii="Times New Roman" w:hAnsi="Times New Roman"/>
          <w:sz w:val="20"/>
          <w:u w:val="single"/>
        </w:rPr>
        <w:t>Section 7(a)</w:t>
      </w:r>
      <w:r>
        <w:rPr>
          <w:rFonts w:ascii="Times New Roman" w:hAnsi="Times New Roman"/>
          <w:sz w:val="20"/>
        </w:rPr>
        <w:t xml:space="preserve"> shall not apply with respect to any Excluded Securities. For all purposes of the foregoing (including, without limitation, determining the adjusted Conversion Price and the New Issuance Price under this Section 7(a)), the following shall be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Issuance of Options</w:t>
      </w:r>
      <w:r>
        <w:rPr>
          <w:rFonts w:ascii="Times New Roman" w:hAnsi="Times New Roman"/>
          <w:sz w:val="20"/>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(the “</w:t>
      </w:r>
      <w:r>
        <w:rPr>
          <w:rFonts w:ascii="Times New Roman" w:hAnsi="Times New Roman"/>
          <w:b/>
          <w:sz w:val="20"/>
        </w:rPr>
        <w:t>Lowest Option Price</w:t>
      </w:r>
      <w:r>
        <w:rPr>
          <w:rFonts w:ascii="Times New Roman" w:hAnsi="Times New Roman"/>
          <w:sz w:val="20"/>
        </w:rPr>
        <w:t xml:space="preserve">”) is less than the Applicable Price, then such share of Common Stock shall be deemed to be outstanding and to have been issued and sold by the Company at the time of the granting, issuance or sale of such Option for such Lowest Option Price. For purposes of this Section 7(a)(i), the Lowest Option Price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Issuance of Convertible Securities</w:t>
      </w:r>
      <w:r>
        <w:rPr>
          <w:rFonts w:ascii="Times New Roman" w:hAnsi="Times New Roman"/>
          <w:sz w:val="20"/>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(the “</w:t>
      </w:r>
      <w:r>
        <w:rPr>
          <w:rFonts w:ascii="Times New Roman" w:hAnsi="Times New Roman"/>
          <w:b/>
          <w:sz w:val="20"/>
        </w:rPr>
        <w:t>Lowest Conversion Price</w:t>
      </w:r>
      <w:r>
        <w:rPr>
          <w:rFonts w:ascii="Times New Roman" w:hAnsi="Times New Roman"/>
          <w:sz w:val="20"/>
        </w:rPr>
        <w:t xml:space="preserve">”)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Lowest Conversion Price. For the purposes of this Section 7(a)(ii), the Lowest Conversion Price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Change in Option Price or Rate of Conversion</w:t>
      </w:r>
      <w:r>
        <w:rPr>
          <w:rFonts w:ascii="Times New Roman" w:hAnsi="Times New Roman"/>
          <w:sz w:val="20"/>
        </w:rPr>
        <w:t xml:space="preserve">.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Calculation of Consideration Received</w:t>
      </w:r>
      <w:r>
        <w:rPr>
          <w:rFonts w:ascii="Times New Roman" w:hAnsi="Times New Roman"/>
          <w:sz w:val="20"/>
        </w:rPr>
        <w:t>. If any Option and/or Convertible Security and/or Adjustment Right is issued in connection with the issuance or sale or deemed issuance or sale of any other securities of the Company (as determined by the Holder, the “</w:t>
      </w:r>
      <w:r>
        <w:rPr>
          <w:rFonts w:ascii="Times New Roman" w:hAnsi="Times New Roman"/>
          <w:b/>
          <w:sz w:val="20"/>
        </w:rPr>
        <w:t>Primary Security</w:t>
      </w:r>
      <w:r>
        <w:rPr>
          <w:rFonts w:ascii="Times New Roman" w:hAnsi="Times New Roman"/>
          <w:sz w:val="20"/>
        </w:rPr>
        <w:t>”, and such Option and/or Convertible Security and/or Adjustment Right, the “</w:t>
      </w:r>
      <w:r>
        <w:rPr>
          <w:rFonts w:ascii="Times New Roman" w:hAnsi="Times New Roman"/>
          <w:b/>
          <w:sz w:val="20"/>
        </w:rPr>
        <w:t>Secondary Securities</w:t>
      </w:r>
      <w:r>
        <w:rPr>
          <w:rFonts w:ascii="Times New Roman" w:hAnsi="Times New Roman"/>
          <w:sz w:val="20"/>
        </w:rPr>
        <w:t xml:space="preserve">”),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hAnsi="Times New Roman"/>
          <w:b/>
          <w:sz w:val="20"/>
        </w:rPr>
        <w:t>Valuation Event</w:t>
      </w:r>
      <w:r>
        <w:rPr>
          <w:rFonts w:ascii="Times New Roman" w:hAnsi="Times New Roman"/>
          <w:sz w:val="20"/>
        </w:rPr>
        <w:t xml:space="preserve">”),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Record Date</w:t>
      </w:r>
      <w:r>
        <w:rPr>
          <w:rFonts w:ascii="Times New Roman" w:hAnsi="Times New Roman"/>
          <w:sz w:val="20"/>
        </w:rPr>
        <w:t xml:space="preserve">. If the Company takes a record of the holders of shares of Common Stock for the purpose of entitling them (A) to receive a dividend or other distribution payable in shares of Common Stock, Options or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Adjustment of Conversion Price upon Subdivision or Combination of Common Stock</w:t>
      </w:r>
      <w:r>
        <w:rPr>
          <w:rFonts w:ascii="Times New Roman" w:hAnsi="Times New Roman"/>
          <w:sz w:val="20"/>
        </w:rPr>
        <w:t xml:space="preserve">. Without limiting any provision of Section 6, Section 18 or Section 7(a), (i)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and (ii)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Holder’s Right of Adjusted Conversion Price</w:t>
      </w:r>
      <w:r>
        <w:rPr>
          <w:rFonts w:ascii="Times New Roman" w:hAnsi="Times New Roman"/>
          <w:sz w:val="20"/>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 w:hAnsi="Times New Roman"/>
          <w:b/>
          <w:sz w:val="20"/>
        </w:rPr>
        <w:t>Variable Price Securities</w:t>
      </w:r>
      <w:r>
        <w:rPr>
          <w:rFonts w:ascii="Times New Roman" w:hAnsi="Times New Roman"/>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hAnsi="Times New Roman"/>
          <w:b/>
          <w:sz w:val="20"/>
        </w:rPr>
        <w:t>Variable Price</w:t>
      </w:r>
      <w:r>
        <w:rPr>
          <w:rFonts w:ascii="Times New Roman" w:hAnsi="Times New Roman"/>
          <w:sz w:val="20"/>
        </w:rPr>
        <w:t xml:space="preserve">”), the Company shall provide written notice thereof via electronic mail and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 In addition, from and after the date the Company enters into such agreement or issues any such Variable Price Securities, for purposes of calculating the Alternate Conversion Price as of any time of determination, the “Conversion Price” as used therein shall mean the lower of (x) the Conversion Price as of such time of determination and (y) the Variable Price as of such time of determination. Notwithstanding the foregoing, this </w:t>
      </w:r>
      <w:r>
        <w:rPr>
          <w:rFonts w:ascii="Times New Roman" w:hAnsi="Times New Roman"/>
          <w:sz w:val="20"/>
          <w:u w:val="single"/>
        </w:rPr>
        <w:t>Section 7(c)</w:t>
      </w:r>
      <w:r>
        <w:rPr>
          <w:rFonts w:ascii="Times New Roman" w:hAnsi="Times New Roman"/>
          <w:sz w:val="20"/>
        </w:rPr>
        <w:t xml:space="preserve"> shall not apply with respect to any Excluded Securities.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 Combination Event Adjustments</w:t>
      </w:r>
      <w:r>
        <w:rPr>
          <w:rFonts w:ascii="Times New Roman" w:hAnsi="Times New Roman"/>
          <w:sz w:val="20"/>
        </w:rPr>
        <w:t>. If at any time and from time to time on or after the Subscription Date there occurs any stock split, stock dividend, stock combination recapitalization or other similar transaction involving the Common Stock (each, a “</w:t>
      </w:r>
      <w:r>
        <w:rPr>
          <w:rFonts w:ascii="Times New Roman" w:hAnsi="Times New Roman"/>
          <w:b/>
          <w:sz w:val="20"/>
        </w:rPr>
        <w:t>Stock Combination Event</w:t>
      </w:r>
      <w:r>
        <w:rPr>
          <w:rFonts w:ascii="Times New Roman" w:hAnsi="Times New Roman"/>
          <w:sz w:val="20"/>
        </w:rPr>
        <w:t>”, and such date thereof, the “</w:t>
      </w:r>
      <w:r>
        <w:rPr>
          <w:rFonts w:ascii="Times New Roman" w:hAnsi="Times New Roman"/>
          <w:b/>
          <w:sz w:val="20"/>
        </w:rPr>
        <w:t>Stock Combination Event Date</w:t>
      </w:r>
      <w:r>
        <w:rPr>
          <w:rFonts w:ascii="Times New Roman" w:hAnsi="Times New Roman"/>
          <w:sz w:val="20"/>
        </w:rPr>
        <w:t xml:space="preserve">”) and the Event Market Price is less than the Conversion Price then in effect (after giving effect to the adjustment in Section 7(b) above), then on the sixteenth (16th) Trading Day immediately following such Stock Combination Event Date, the Conversion Price then in effect on such sixteenth (16th)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Events</w:t>
      </w:r>
      <w:r>
        <w:rPr>
          <w:rFonts w:ascii="Times New Roman" w:hAnsi="Times New Roman"/>
          <w:sz w:val="20"/>
        </w:rPr>
        <w:t xml:space="preserve">.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Calculations</w:t>
      </w:r>
      <w:r>
        <w:rPr>
          <w:rFonts w:ascii="Times New Roman" w:hAnsi="Times New Roman"/>
          <w:sz w:val="20"/>
        </w:rPr>
        <w:t xml:space="preserve">. All calculations under this Section 7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Voluntary Adjustment by Company</w:t>
      </w:r>
      <w:r>
        <w:rPr>
          <w:rFonts w:ascii="Times New Roman" w:hAnsi="Times New Roman"/>
          <w:sz w:val="20"/>
        </w:rPr>
        <w:t xml:space="preserve">.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8. REDEMPTIONS AT THE COMPANY’S ELECTION.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Optional Redemption</w:t>
      </w:r>
      <w:r>
        <w:rPr>
          <w:rFonts w:ascii="Times New Roman" w:hAnsi="Times New Roman"/>
          <w:sz w:val="20"/>
        </w:rPr>
        <w:t>. At any time and from time to time, the Company shall have the right to redeem all or any portion of the Conversion Amount then remaining under this Note (the “</w:t>
      </w:r>
      <w:r>
        <w:rPr>
          <w:rFonts w:ascii="Times New Roman" w:hAnsi="Times New Roman"/>
          <w:b/>
          <w:sz w:val="20"/>
        </w:rPr>
        <w:t>Company Optional Redemption Amount</w:t>
      </w:r>
      <w:r>
        <w:rPr>
          <w:rFonts w:ascii="Times New Roman" w:hAnsi="Times New Roman"/>
          <w:sz w:val="20"/>
        </w:rPr>
        <w:t>”) on the Company Optional Redemption Date (each as defined below) (a “</w:t>
      </w:r>
      <w:r>
        <w:rPr>
          <w:rFonts w:ascii="Times New Roman" w:hAnsi="Times New Roman"/>
          <w:b/>
          <w:sz w:val="20"/>
        </w:rPr>
        <w:t>Company Optional Redemption</w:t>
      </w:r>
      <w:r>
        <w:rPr>
          <w:rFonts w:ascii="Times New Roman" w:hAnsi="Times New Roman"/>
          <w:sz w:val="20"/>
        </w:rPr>
        <w:t>”). The portion of this Note subject to redemption pursuant to this Section 8(a) shall be redeemed by the Company in cash at a price (the “</w:t>
      </w:r>
      <w:r>
        <w:rPr>
          <w:rFonts w:ascii="Times New Roman" w:hAnsi="Times New Roman"/>
          <w:b/>
          <w:sz w:val="20"/>
        </w:rPr>
        <w:t>Company Optional Redemption Price</w:t>
      </w:r>
      <w:r>
        <w:rPr>
          <w:rFonts w:ascii="Times New Roman" w:hAnsi="Times New Roman"/>
          <w:sz w:val="20"/>
        </w:rPr>
        <w:t>”) equal to 105% of the greater of (i) the Conversion Amount being redeemed as of the Company Optional Redemption Date and (ii) the product of (1) the Conversion Rate with respect to the Conversion Amount being redeemed as of the Company Optional Redemption Date multiplied by (2) the highest Closing Sale Price of the Common Stock on any Trading Day during the period commencing on the date immediately preceding such Company Optional Redemption Notice Date and ending on the Trading Day immediately prior to the date the Company makes the entire payment required to be made under this Section 8(a). The Company may exercise its right to require redemption under this Section 8(a) by delivering a written notice thereof by electronic mail and overnight courier to all, but not less than all, of the holders of Notes (the “</w:t>
      </w:r>
      <w:r>
        <w:rPr>
          <w:rFonts w:ascii="Times New Roman" w:hAnsi="Times New Roman"/>
          <w:b/>
          <w:sz w:val="20"/>
        </w:rPr>
        <w:t>Company Optional Redemption Notice</w:t>
      </w:r>
      <w:r>
        <w:rPr>
          <w:rFonts w:ascii="Times New Roman" w:hAnsi="Times New Roman"/>
          <w:sz w:val="20"/>
        </w:rPr>
        <w:t>” and the date all of the holders of Notes received such notice is referred to as the “</w:t>
      </w:r>
      <w:r>
        <w:rPr>
          <w:rFonts w:ascii="Times New Roman" w:hAnsi="Times New Roman"/>
          <w:b/>
          <w:sz w:val="20"/>
        </w:rPr>
        <w:t>Company Optional Redemption Notice Date</w:t>
      </w:r>
      <w:r>
        <w:rPr>
          <w:rFonts w:ascii="Times New Roman" w:hAnsi="Times New Roman"/>
          <w:sz w:val="20"/>
        </w:rPr>
        <w:t xml:space="preserve">”). The Company may deliver only one Company Optional Redemption Notice hereunder per calendar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such Company Optional Redemption Notice shall be irrevocable upon acknowledgement of receipt thereof by the Holder. The Company Optional Redemption Notice shall (x) state the date on which the Company Optional Redemption shall occur (the “</w:t>
      </w:r>
      <w:r>
        <w:rPr>
          <w:rFonts w:ascii="Times New Roman" w:hAnsi="Times New Roman"/>
          <w:b/>
          <w:sz w:val="20"/>
        </w:rPr>
        <w:t>Company Optional Redemption Date</w:t>
      </w:r>
      <w:r>
        <w:rPr>
          <w:rFonts w:ascii="Times New Roman" w:hAnsi="Times New Roman"/>
          <w:sz w:val="20"/>
        </w:rPr>
        <w:t xml:space="preserve">”), which date shall not be less than ten (10) Trading Days nor more than twenty (20) Trading Days following the Company Optional Redemption Notice Date, and (y)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8(a) shall be made in accordance with Section 14.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Redemption Requirement</w:t>
      </w:r>
      <w:r>
        <w:rPr>
          <w:rFonts w:ascii="Times New Roman" w:hAnsi="Times New Roman"/>
          <w:sz w:val="20"/>
        </w:rPr>
        <w:t xml:space="preserve">. If the Company elects to cause a Company Optional Redemption of this Note pursuant to Section 8(a), then it must simultaneously take the same action with respect to all of the Other Notes.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SUBSEQUENT PLACEMENT OPTIONAL REDEMPTIONS.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At any time from and after the earlier of (x) the date the Holder becomes aware of the occurrence of a Subsequent Placement and (y) the time of consummation of a Subsequent Placement (in each case, other than with respect to transactions listed in clauses (i), (ii) and (iii) of the definition of “Excluded Securities”), the Holder shall have the right, in its sole discretion, to require that the Company redeem (each an “</w:t>
      </w:r>
      <w:r>
        <w:rPr>
          <w:rFonts w:ascii="Times New Roman" w:hAnsi="Times New Roman"/>
          <w:b/>
          <w:sz w:val="20"/>
        </w:rPr>
        <w:t>Subsequent Placement Optional Redemption</w:t>
      </w:r>
      <w:r>
        <w:rPr>
          <w:rFonts w:ascii="Times New Roman" w:hAnsi="Times New Roman"/>
          <w:sz w:val="20"/>
        </w:rPr>
        <w:t>”) all, or any portion, of the Conversion Amount under this Note not in excess of (together with any Subsequent Placement Optional Redemption Amount (as defined in the applicable other Note of the Holder) of any other Notes of the Holder) 50% of the net proceeds of such Subsequent Placement (or 35% of the net proceeds if the aggregate outstanding Conversion Amount of all Notes is equal to or less than $4,000,000 at the time of such Subsequent Placement) (the “</w:t>
      </w:r>
      <w:r>
        <w:rPr>
          <w:rFonts w:ascii="Times New Roman" w:hAnsi="Times New Roman"/>
          <w:b/>
          <w:sz w:val="20"/>
        </w:rPr>
        <w:t>Subsequent Placement Optional Redemption Amount</w:t>
      </w:r>
      <w:r>
        <w:rPr>
          <w:rFonts w:ascii="Times New Roman" w:hAnsi="Times New Roman"/>
          <w:sz w:val="20"/>
        </w:rPr>
        <w:t>”) by delivering written notice thereof (an “</w:t>
      </w:r>
      <w:r>
        <w:rPr>
          <w:rFonts w:ascii="Times New Roman" w:hAnsi="Times New Roman"/>
          <w:b/>
          <w:sz w:val="20"/>
        </w:rPr>
        <w:t>Subsequent Placement Optional Redemption Notice</w:t>
      </w:r>
      <w:r>
        <w:rPr>
          <w:rFonts w:ascii="Times New Roman" w:hAnsi="Times New Roman"/>
          <w:sz w:val="20"/>
        </w:rPr>
        <w:t xml:space="preserve">”) to the Company. Notwithstanding the foregoing, upon the written request of the Holder,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 the Holder to participate in such Subsequent Placement and the Company shall apply all, or any part, as set forth in such written request, of any amounts that would otherwise be payable to the Holder in such Subsequent Placement Optional Redemption, on a dollar-for-dollar basis, against the purchase price of the securities to be purchased by the Holder in such Subsequent Placement (which, for the avoidance of doubt, shall not be less than securities with a purchase price equal to the portion of the Subsequent Placement Optional Redemption Amount the Holder elects to apply against thereto).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w:t>
      </w:r>
      <w:r>
        <w:rPr>
          <w:rFonts w:ascii="Times New Roman" w:hAnsi="Times New Roman"/>
          <w:sz w:val="20"/>
        </w:rPr>
        <w:t>. Each Subsequent Placement Optional Redemption Notice shall indicate that all, or such applicable portion, as set forth in the applicable Subsequent Placement Optional Redemption Notice, of the Subsequent Placement Optional Redemption Amount the Holder is electing to have redeemed (the “</w:t>
      </w:r>
      <w:r>
        <w:rPr>
          <w:rFonts w:ascii="Times New Roman" w:hAnsi="Times New Roman"/>
          <w:b/>
          <w:sz w:val="20"/>
        </w:rPr>
        <w:t>Subsequent Placement Optional Redemption Amount</w:t>
      </w:r>
      <w:r>
        <w:rPr>
          <w:rFonts w:ascii="Times New Roman" w:hAnsi="Times New Roman"/>
          <w:sz w:val="20"/>
        </w:rPr>
        <w:t>”) and the date of such Subsequent Placement Optional Redemption (the “</w:t>
      </w:r>
      <w:r>
        <w:rPr>
          <w:rFonts w:ascii="Times New Roman" w:hAnsi="Times New Roman"/>
          <w:b/>
          <w:sz w:val="20"/>
        </w:rPr>
        <w:t>Subsequent Placement Optional Redemption Date</w:t>
      </w:r>
      <w:r>
        <w:rPr>
          <w:rFonts w:ascii="Times New Roman" w:hAnsi="Times New Roman"/>
          <w:sz w:val="20"/>
        </w:rPr>
        <w:t>”), which shall be the later of (x) the fifth (5th) Business Day after the date of the applicable Subsequent Placement Optional Redemption Notice and (y) the date of the consummation of such Subsequent Placement. The Subsequent Placement Optional Redemption Amount shall be redeemed by the Company in cash at a price equal to 105% thereof (the “</w:t>
      </w:r>
      <w:r>
        <w:rPr>
          <w:rFonts w:ascii="Times New Roman" w:hAnsi="Times New Roman"/>
          <w:b/>
          <w:sz w:val="20"/>
        </w:rPr>
        <w:t>Subsequent Placement Optional Redemption Price</w:t>
      </w:r>
      <w:r>
        <w:rPr>
          <w:rFonts w:ascii="Times New Roman" w:hAnsi="Times New Roman"/>
          <w:sz w:val="20"/>
        </w:rPr>
        <w:t xml:space="preserve">”). Redemptions required by this Section 9 shall be made in accordance with the provisions of Section 14.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 xml:space="preserve">ASSET SALE OPTIONAL REDEMPTIONS.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At any time from and after the earlier of (x) the date the Holder becomes aware of the occurrence of an Asset Sale (including any insurance and condemnation proceeds thereof) (the “</w:t>
      </w:r>
      <w:r>
        <w:rPr>
          <w:rFonts w:ascii="Times New Roman" w:hAnsi="Times New Roman"/>
          <w:b/>
          <w:sz w:val="20"/>
        </w:rPr>
        <w:t>Holder Asset Sale Notice Date</w:t>
      </w:r>
      <w:r>
        <w:rPr>
          <w:rFonts w:ascii="Times New Roman" w:hAnsi="Times New Roman"/>
          <w:sz w:val="20"/>
        </w:rPr>
        <w:t>”) and (y) the time of consummation of an Asset Sale (other than sales of inventory and product in the ordinary course of business), the Holder shall have the right, in its sole discretion, to require that the Company redeem (each an “</w:t>
      </w:r>
      <w:r>
        <w:rPr>
          <w:rFonts w:ascii="Times New Roman" w:hAnsi="Times New Roman"/>
          <w:b/>
          <w:sz w:val="20"/>
        </w:rPr>
        <w:t>Asset Sale Optional Redemption</w:t>
      </w:r>
      <w:r>
        <w:rPr>
          <w:rFonts w:ascii="Times New Roman" w:hAnsi="Times New Roman"/>
          <w:sz w:val="20"/>
        </w:rPr>
        <w:t>”) all, or any portion, of the Conversion Amount not in excess of (together with any Asset Sale Optional Redemption Amount (as defined in the applicable other Note of the Holder) of any other Notes of the Holder) the Holder’s Holder Pro Rata Amount of 50% of the gross proceeds (including any insurance and condemnation proceeds with respect thereto) of such Asset Sale (the “</w:t>
      </w:r>
      <w:r>
        <w:rPr>
          <w:rFonts w:ascii="Times New Roman" w:hAnsi="Times New Roman"/>
          <w:b/>
          <w:sz w:val="20"/>
        </w:rPr>
        <w:t>Asset Sale Optional Redemption Amount</w:t>
      </w:r>
      <w:r>
        <w:rPr>
          <w:rFonts w:ascii="Times New Roman" w:hAnsi="Times New Roman"/>
          <w:sz w:val="20"/>
        </w:rPr>
        <w:t>”) by delivering written notice thereof (an “</w:t>
      </w:r>
      <w:r>
        <w:rPr>
          <w:rFonts w:ascii="Times New Roman" w:hAnsi="Times New Roman"/>
          <w:b/>
          <w:sz w:val="20"/>
        </w:rPr>
        <w:t>Asset Sale Optional Redemption Notice</w:t>
      </w:r>
      <w:r>
        <w:rPr>
          <w:rFonts w:ascii="Times New Roman" w:hAnsi="Times New Roman"/>
          <w:sz w:val="20"/>
        </w:rPr>
        <w:t xml:space="preserv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w:t>
      </w:r>
      <w:r>
        <w:rPr>
          <w:rFonts w:ascii="Times New Roman" w:hAnsi="Times New Roman"/>
          <w:sz w:val="20"/>
        </w:rPr>
        <w:t>. Each Asset Sale Optional Redemption Notice shall indicate that all, or such applicable portion, as set forth in the applicable Asset Sale Optional Redemption Notice, of the Asset Sale Optional Redemption Amount the Holder is electing to have redeemed (the “</w:t>
      </w:r>
      <w:r>
        <w:rPr>
          <w:rFonts w:ascii="Times New Roman" w:hAnsi="Times New Roman"/>
          <w:b/>
          <w:sz w:val="20"/>
        </w:rPr>
        <w:t>Asset Sale Optional Redemption Amount</w:t>
      </w:r>
      <w:r>
        <w:rPr>
          <w:rFonts w:ascii="Times New Roman" w:hAnsi="Times New Roman"/>
          <w:sz w:val="20"/>
        </w:rPr>
        <w:t>”) and the date of such Asset Sale Optional Redemption (the “</w:t>
      </w:r>
      <w:r>
        <w:rPr>
          <w:rFonts w:ascii="Times New Roman" w:hAnsi="Times New Roman"/>
          <w:b/>
          <w:sz w:val="20"/>
        </w:rPr>
        <w:t>Asset Sale Optional Redemption Date</w:t>
      </w:r>
      <w:r>
        <w:rPr>
          <w:rFonts w:ascii="Times New Roman" w:hAnsi="Times New Roman"/>
          <w:sz w:val="20"/>
        </w:rPr>
        <w:t>”), which shall be the later of (x) the fifth (5th) Business Day after the date of the applicable Asset Sale Optional Redemption Notice and (y) the date of the consummation of such Asset Sale. The Asset Sale Optional Redemption Amount shall be redeemed by the Company in cash at a price equal to 105% thereof (the “</w:t>
      </w:r>
      <w:r>
        <w:rPr>
          <w:rFonts w:ascii="Times New Roman" w:hAnsi="Times New Roman"/>
          <w:b/>
          <w:sz w:val="20"/>
        </w:rPr>
        <w:t>Asset Sale Optional Redemption Price</w:t>
      </w:r>
      <w:r>
        <w:rPr>
          <w:rFonts w:ascii="Times New Roman" w:hAnsi="Times New Roman"/>
          <w:sz w:val="20"/>
        </w:rPr>
        <w:t xml:space="preserve">”). Redemptions required by this Section 10 shall be made in accordance with the provisions of Section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NONCIRCUMVENTION</w:t>
      </w:r>
      <w:r>
        <w:rPr>
          <w:rFonts w:ascii="Times New Roman" w:hAnsi="Times New Roman"/>
          <w:sz w:val="20"/>
        </w:rPr>
        <w:t xml:space="preserve">.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RESERVATION OF AUTHORIZED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Reservation</w:t>
      </w:r>
      <w:r>
        <w:rPr>
          <w:rFonts w:ascii="Times New Roman" w:hAnsi="Times New Roman"/>
          <w:sz w:val="20"/>
        </w:rPr>
        <w:t>. So long as any Notes remain outstanding, the Company shall at all times reserve at least 300% of the number of shares of Common Stock as shall from time to time be necessary to effect the conversion, including without limitation, Alternate Conversions of all of the Notes then outstanding (without regard to any limitations on conversions and assuming such Notes remain outstanding until the Maturity Date) at the Alternate Conversion Price then in effect (the “</w:t>
      </w:r>
      <w:r>
        <w:rPr>
          <w:rFonts w:ascii="Times New Roman" w:hAnsi="Times New Roman"/>
          <w:b/>
          <w:sz w:val="20"/>
        </w:rPr>
        <w:t>Required Reserve Amount</w:t>
      </w:r>
      <w:r>
        <w:rPr>
          <w:rFonts w:ascii="Times New Roman" w:hAnsi="Times New Roman"/>
          <w:sz w:val="20"/>
        </w:rPr>
        <w:t>”). The Required Reserve Amount (including, without limitation,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Times New Roman" w:hAnsi="Times New Roman"/>
          <w:b/>
          <w:sz w:val="20"/>
        </w:rPr>
        <w:t>Authorized Share Allocation</w:t>
      </w:r>
      <w:r>
        <w:rPr>
          <w:rFonts w:ascii="Times New Roman" w:hAnsi="Times New Roman"/>
          <w:sz w:val="20"/>
        </w:rPr>
        <w:t xml:space="preserve">”).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Insufficient Authorized Shares</w:t>
      </w:r>
      <w:r>
        <w:rPr>
          <w:rFonts w:ascii="Times New Roman" w:hAnsi="Times New Roman"/>
          <w:sz w:val="20"/>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 w:hAnsi="Times New Roman"/>
          <w:b/>
          <w:sz w:val="20"/>
        </w:rPr>
        <w:t>Authorized Share Failure</w:t>
      </w:r>
      <w:r>
        <w:rPr>
          <w:rFonts w:ascii="Times New Roman" w:hAnsi="Times New Roman"/>
          <w:sz w:val="20"/>
        </w:rPr>
        <w:t xml:space="preserve">”), then the Company shall immediately take all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hAnsi="Times New Roman"/>
          <w:b/>
          <w:sz w:val="20"/>
        </w:rPr>
        <w:t>Authorized Failure Shares</w:t>
      </w:r>
      <w:r>
        <w:rPr>
          <w:rFonts w:ascii="Times New Roman" w:hAnsi="Times New Roman"/>
          <w:sz w:val="20"/>
        </w:rPr>
        <w:t xml:space="preserve">”),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highest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AMORTIZATION</w:t>
      </w:r>
      <w:r>
        <w:rPr>
          <w:rFonts w:ascii="Times New Roman" w:hAnsi="Times New Roman"/>
          <w:sz w:val="20"/>
        </w:rPr>
        <w:t>. Commencing three (3) months after the Closing Date, and on the first Business Day of each of the third calendar month thereafter (each of the payment months being August, November, February and May) (each, an “</w:t>
      </w:r>
      <w:r>
        <w:rPr>
          <w:rFonts w:ascii="Times New Roman" w:hAnsi="Times New Roman"/>
          <w:b/>
          <w:sz w:val="20"/>
        </w:rPr>
        <w:t>Amortization Date</w:t>
      </w:r>
      <w:r>
        <w:rPr>
          <w:rFonts w:ascii="Times New Roman" w:hAnsi="Times New Roman"/>
          <w:sz w:val="20"/>
        </w:rPr>
        <w:t>”), the Company will pay to the Holder in cash (each, an “</w:t>
      </w:r>
      <w:r>
        <w:rPr>
          <w:rFonts w:ascii="Times New Roman" w:hAnsi="Times New Roman"/>
          <w:b/>
          <w:sz w:val="20"/>
        </w:rPr>
        <w:t>Amortization</w:t>
      </w:r>
      <w:r>
        <w:rPr>
          <w:rFonts w:ascii="Times New Roman" w:hAnsi="Times New Roman"/>
          <w:sz w:val="20"/>
        </w:rPr>
        <w:t>”) in an amount (the “</w:t>
      </w:r>
      <w:r>
        <w:rPr>
          <w:rFonts w:ascii="Times New Roman" w:hAnsi="Times New Roman"/>
          <w:b/>
          <w:sz w:val="20"/>
        </w:rPr>
        <w:t>Amortization Amount</w:t>
      </w:r>
      <w:r>
        <w:rPr>
          <w:rFonts w:ascii="Times New Roman" w:hAnsi="Times New Roman"/>
          <w:sz w:val="20"/>
        </w:rPr>
        <w:t>”) equal to the sum of (i) such portion of the Principal of this Note equal to $[ ]2, minus, without duplication, any amounts previously paid towards the outstanding Principal of this Note pursuant to Sections 3, 8, 9 or 10 of this Note (the “</w:t>
      </w:r>
      <w:r>
        <w:rPr>
          <w:rFonts w:ascii="Times New Roman" w:hAnsi="Times New Roman"/>
          <w:b/>
          <w:sz w:val="20"/>
        </w:rPr>
        <w:t>Amortization Principal Amount</w:t>
      </w:r>
      <w:r>
        <w:rPr>
          <w:rFonts w:ascii="Times New Roman" w:hAnsi="Times New Roman"/>
          <w:sz w:val="20"/>
        </w:rPr>
        <w:t>”), (ii) all accrued and unpaid Interest on the outstanding Principal amount (calculated in accordance with Section 2(b)) for the period since the immediately preceding Amortization Date (or, in the case of the first Amortization Date, since the Issuance Date), and (iii) the Make-Whole Amount with respect to such Amortization Principal Amount (clauses (i), (ii) and (iii), together with any Late Charges on any such Principal, Interest and/or Make-Whole Amount, collectively, the “</w:t>
      </w:r>
      <w:r>
        <w:rPr>
          <w:rFonts w:ascii="Times New Roman" w:hAnsi="Times New Roman"/>
          <w:b/>
          <w:sz w:val="20"/>
        </w:rPr>
        <w:t>Amortization Amount</w:t>
      </w:r>
      <w:r>
        <w:rPr>
          <w:rFonts w:ascii="Times New Roman" w:hAnsi="Times New Roman"/>
          <w:sz w:val="20"/>
        </w:rPr>
        <w:t>”), at a redemption price equal to 105% of such Amortization Amount (the “</w:t>
      </w:r>
      <w:r>
        <w:rPr>
          <w:rFonts w:ascii="Times New Roman" w:hAnsi="Times New Roman"/>
          <w:b/>
          <w:sz w:val="20"/>
        </w:rPr>
        <w:t>Amortization Redemption Price</w:t>
      </w:r>
      <w:r>
        <w:rPr>
          <w:rFonts w:ascii="Times New Roman" w:hAnsi="Times New Roman"/>
          <w:sz w:val="20"/>
        </w:rPr>
        <w:t xml:space="preserve">”). For the avoidance of doubt, Interest payable on each Amortization Date shall be calculated on the entire outstanding Original Principal Amount (without giving effect to any prior amortization or redemption of Principal, except to the extent such Interest would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[1/4th] of the initial Principal of this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be duplicative of the Make-Whole Amount) and there shall be no separate interest payment date. Each Amortization of this Note required by this Section 13 shall be made in accordance with the provisions of Section 14. In the event that the Company fails to pay any Amortization Amount in cash on the applicable Amortization Date, the Holder shall have the right on any day thereafter to convert, in whole or in part, the outstanding Amortization Amount due on such Amortization Date into shares of Common Stock at a conversion price equal to 93% of the lowest VWAP of the Common Stock during the ten (10) Trading Days immediately preceding the applicable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REDEMPTIONS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Mechanics</w:t>
      </w:r>
      <w:r>
        <w:rPr>
          <w:rFonts w:ascii="Times New Roman" w:hAnsi="Times New Roman"/>
          <w:sz w:val="20"/>
        </w:rPr>
        <w:t>. The Company shall deliver the applicable Event of Default Redemption Price to the Holder in cash within five (5) Business Days after the Company’s receipt of the Holder’s Event of Default Redemption Notice (each, an “</w:t>
      </w:r>
      <w:r>
        <w:rPr>
          <w:rFonts w:ascii="Times New Roman" w:hAnsi="Times New Roman"/>
          <w:b/>
          <w:sz w:val="20"/>
        </w:rPr>
        <w:t>Event of Default Redemption Date</w:t>
      </w:r>
      <w:r>
        <w:rPr>
          <w:rFonts w:ascii="Times New Roman" w:hAnsi="Times New Roman"/>
          <w:sz w:val="20"/>
        </w:rPr>
        <w:t>”). If the Holder has submitted a Change of Control Redemption Notice in accordance with Section 5(a),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(each, an “</w:t>
      </w:r>
      <w:r>
        <w:rPr>
          <w:rFonts w:ascii="Times New Roman" w:hAnsi="Times New Roman"/>
          <w:b/>
          <w:sz w:val="20"/>
        </w:rPr>
        <w:t>Change of Control Redemption</w:t>
      </w:r>
      <w:r>
        <w:rPr>
          <w:rFonts w:ascii="Times New Roman" w:hAnsi="Times New Roman"/>
          <w:sz w:val="20"/>
        </w:rPr>
        <w:t xml:space="preserve"> </w:t>
      </w:r>
      <w:r>
        <w:rPr>
          <w:rFonts w:ascii="Times New Roman" w:hAnsi="Times New Roman"/>
          <w:b/>
          <w:sz w:val="20"/>
        </w:rPr>
        <w:t>Date</w:t>
      </w:r>
      <w:r>
        <w:rPr>
          <w:rFonts w:ascii="Times New Roman" w:hAnsi="Times New Roman"/>
          <w:sz w:val="20"/>
        </w:rPr>
        <w:t>”). The Company shall deliver the applicable Company Optional Redemption Price to the Holder in cash on the applicable Company Optional Redemption Date. The Company shall deliver the applicable Amortization Redemption Price to the Holder in cash on the applicable Amortization Date. The Company shall deliver the applicable Asset Sale Optional Redemption Price to the Holder in cash on the applicable Asset Sale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21(d))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by giving written notice to the Company, the Company to promptly return to the Holder all or any portion of this Note representing the Conversion Amount that was submitted for redemption and for which the applicable Redemption Price has not been paid (the “</w:t>
      </w:r>
      <w:r>
        <w:rPr>
          <w:rFonts w:ascii="Times New Roman" w:hAnsi="Times New Roman"/>
          <w:b/>
          <w:sz w:val="20"/>
        </w:rPr>
        <w:t>Returned Amount</w:t>
      </w:r>
      <w:r>
        <w:rPr>
          <w:rFonts w:ascii="Times New Roman" w:hAnsi="Times New Roman"/>
          <w:sz w:val="20"/>
        </w:rPr>
        <w:t xml:space="preserve">”). Unless otherwise specified in the applicable Redemption Notice, any Redemption Price paid to the Holder shall be applied against the last scheduled Amortization Amounts of this Note. Upon the Company’s receipt of such notice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(x) the applicable Redemption Notice shall be null and void with respect to such Conversion Amount, (y) the Company shall immediately return this Note, or issue a new Note (in accordance with Section 21(d)), to the Holder, and in each case the principal amount of this Note or such new Note (as the case may be) shall be increased by an amount equal to the difference between (1) the applicable Redemption Price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the greater of (x) the Floor Price and (y) 75% of the lowest Closing Bid Price of the Common Stock during the period beginning on and including the date on which the applicable Redemption Notice is delivered to the Company and ending on and including the date on which the applicable Redemption Notice is voided and (C) the greater of (x) the Floor Price and (y) 75%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Redemption by Other Holders</w:t>
      </w:r>
      <w:r>
        <w:rPr>
          <w:rFonts w:ascii="Times New Roman" w:hAnsi="Times New Roman"/>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 w:hAnsi="Times New Roman"/>
          <w:b/>
          <w:sz w:val="20"/>
        </w:rPr>
        <w:t>Other Redemption Notice</w:t>
      </w:r>
      <w:r>
        <w:rPr>
          <w:rFonts w:ascii="Times New Roman" w:hAnsi="Times New Roman"/>
          <w:sz w:val="20"/>
        </w:rPr>
        <w:t xml:space="preserve">”),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Make-Whole Amount,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VOTING RIGHTS</w:t>
      </w:r>
      <w:r>
        <w:rPr>
          <w:rFonts w:ascii="Times New Roman" w:hAnsi="Times New Roman"/>
          <w:sz w:val="20"/>
        </w:rPr>
        <w:t xml:space="preserve">. The Holder shall have no voting rights as the holder of this Note, except as required by law (including, without limitation, the Delaware General Corporation Law) and as expressly provided in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COVENANTS</w:t>
      </w:r>
      <w:r>
        <w:rPr>
          <w:rFonts w:ascii="Times New Roman" w:hAnsi="Times New Roman"/>
          <w:sz w:val="20"/>
        </w:rPr>
        <w:t xml:space="preserve">. Until all of the Notes have been converted, redeemed or otherwise satisfied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Rank</w:t>
      </w:r>
      <w:r>
        <w:rPr>
          <w:rFonts w:ascii="Times New Roman" w:hAnsi="Times New Roman"/>
          <w:sz w:val="20"/>
        </w:rPr>
        <w:t xml:space="preserve">. All payments due under this Note (a) shall rank </w:t>
      </w:r>
      <w:r>
        <w:rPr>
          <w:rFonts w:ascii="Times New Roman" w:hAnsi="Times New Roman"/>
          <w:i/>
          <w:sz w:val="20"/>
        </w:rPr>
        <w:t>pari passu</w:t>
      </w:r>
      <w:r>
        <w:rPr>
          <w:rFonts w:ascii="Times New Roman" w:hAnsi="Times New Roman"/>
          <w:sz w:val="20"/>
        </w:rPr>
        <w:t xml:space="preserve"> with all Other Notes and (b) shall be senior to all other outstanding or future Indebtedness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Incurrence of Indebtedness</w:t>
      </w:r>
      <w:r>
        <w:rPr>
          <w:rFonts w:ascii="Times New Roman" w:hAnsi="Times New Roman"/>
          <w:sz w:val="20"/>
        </w:rPr>
        <w:t xml:space="preserve">. The Company shall not, and the Company shall cause each of its Subsidiaries to not, directly or indirectly, incur or guarantee, assume or suffer to exist any Indebtedness (other than (i) the Indebtedness evidenced by this Note and the Other Notes and (ii) other Permitted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Existence of Liens</w:t>
      </w:r>
      <w:r>
        <w:rPr>
          <w:rFonts w:ascii="Times New Roman" w:hAnsi="Times New Roman"/>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hAnsi="Times New Roman"/>
          <w:b/>
          <w:sz w:val="20"/>
        </w:rPr>
        <w:t>Liens</w:t>
      </w:r>
      <w:r>
        <w:rPr>
          <w:rFonts w:ascii="Times New Roman" w:hAnsi="Times New Roman"/>
          <w:sz w:val="20"/>
        </w:rPr>
        <w:t xml:space="preserve">”) other than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Restricted Payments and Investments</w:t>
      </w:r>
      <w:r>
        <w:rPr>
          <w:rFonts w:ascii="Times New Roman" w:hAnsi="Times New Roman"/>
          <w:sz w:val="20"/>
        </w:rPr>
        <w:t xml:space="preserve">.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Restriction on Redemption and Cash Dividends</w:t>
      </w:r>
      <w:r>
        <w:rPr>
          <w:rFonts w:ascii="Times New Roman" w:hAnsi="Times New Roman"/>
          <w:sz w:val="20"/>
        </w:rPr>
        <w:t xml:space="preserve">. The Company shall not, and the Company shall cause each of its Subsidiaries to not, directly or indirectly, redeem, repurchase or declare or pay any cash dividend or distribution on any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 on Transfer of Assets</w:t>
      </w:r>
      <w:r>
        <w:rPr>
          <w:rFonts w:ascii="Times New Roman" w:hAnsi="Times New Roman"/>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 w:hAnsi="Times New Roman"/>
          <w:b/>
          <w:sz w:val="20"/>
        </w:rPr>
        <w:t>Asset Sale</w:t>
      </w:r>
      <w:r>
        <w:rPr>
          <w:rFonts w:ascii="Times New Roman" w:hAnsi="Times New Roman"/>
          <w:sz w:val="20"/>
        </w:rPr>
        <w:t xml:space="preserve">”),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Maturity of Indebtedness</w:t>
      </w:r>
      <w:r>
        <w:rPr>
          <w:rFonts w:ascii="Times New Roman" w:hAnsi="Times New Roman"/>
          <w:sz w:val="20"/>
        </w:rPr>
        <w:t xml:space="preserve">. The Company shall not, and the Company shall cause each of its Subsidiaries to not, directly or indirectly, permit any Indebtedness of the Company or any of its Subsidiaries to mature or accelerate prior to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Change in Nature of Business</w:t>
      </w:r>
      <w:r>
        <w:rPr>
          <w:rFonts w:ascii="Times New Roman" w:hAnsi="Times New Roman"/>
          <w:sz w:val="20"/>
        </w:rPr>
        <w:t xml:space="preserve">.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Preservation of Existence, Etc.</w:t>
      </w:r>
      <w:r>
        <w:rPr>
          <w:rFonts w:ascii="Times New Roman" w:hAnsi="Times New Roman"/>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Maintenance of Properties, Etc.</w:t>
      </w:r>
      <w:r>
        <w:rPr>
          <w:rFonts w:ascii="Times New Roman" w:hAnsi="Times New Roman"/>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Maintenance of Intellectual Property</w:t>
      </w:r>
      <w:r>
        <w:rPr>
          <w:rFonts w:ascii="Times New Roman" w:hAnsi="Times New Roman"/>
          <w:sz w:val="20"/>
        </w:rPr>
        <w:t xml:space="preserve">.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Maintenance of Insurance</w:t>
      </w:r>
      <w:r>
        <w:rPr>
          <w:rFonts w:ascii="Times New Roman" w:hAnsi="Times New Roman"/>
          <w:sz w:val="20"/>
        </w:rPr>
        <w:t xml:space="preserve">.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Transactions with Affiliates</w:t>
      </w:r>
      <w:r>
        <w:rPr>
          <w:rFonts w:ascii="Times New Roman" w:hAnsi="Times New Roman"/>
          <w:sz w:val="20"/>
        </w:rPr>
        <w:t xml:space="preserve">.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Restricted Issuances</w:t>
      </w:r>
      <w:r>
        <w:rPr>
          <w:rFonts w:ascii="Times New Roman" w:hAnsi="Times New Roman"/>
          <w:sz w:val="20"/>
        </w:rPr>
        <w:t xml:space="preserve">. The Company shall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a breach or default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Stay, Extension and Usury Laws</w:t>
      </w:r>
      <w:r>
        <w:rPr>
          <w:rFonts w:ascii="Times New Roman" w:hAnsi="Times New Roman"/>
          <w:sz w:val="20"/>
        </w:rPr>
        <w:t xml:space="preserve">.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Taxes</w:t>
      </w:r>
      <w:r>
        <w:rPr>
          <w:rFonts w:ascii="Times New Roman" w:hAnsi="Times New Roman"/>
          <w:sz w:val="20"/>
        </w:rPr>
        <w:t xml:space="preserve">.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Independent Investigation</w:t>
      </w:r>
      <w:r>
        <w:rPr>
          <w:rFonts w:ascii="Times New Roman" w:hAnsi="Times New Roman"/>
          <w:sz w:val="20"/>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hAnsi="Times New Roman"/>
          <w:b/>
          <w:sz w:val="20"/>
        </w:rPr>
        <w:t>Independent Investigator</w:t>
      </w:r>
      <w:r>
        <w:rPr>
          <w:rFonts w:ascii="Times New Roman" w:hAnsi="Times New Roman"/>
          <w:sz w:val="20"/>
        </w:rPr>
        <w:t xml:space="preserve">”).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SECURITY</w:t>
      </w:r>
      <w:r>
        <w:rPr>
          <w:rFonts w:ascii="Times New Roman" w:hAnsi="Times New Roman"/>
          <w:sz w:val="20"/>
        </w:rPr>
        <w:t xml:space="preserve">. This Note and the Other Notes are secured to the extent and in the manner set forth in the Transaction Documents (including, without limitation, the Security Agreement, the other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DISTRIBUTION OF ASSETS</w:t>
      </w:r>
      <w:r>
        <w:rPr>
          <w:rFonts w:ascii="Times New Roman" w:hAnsi="Times New Roman"/>
          <w:sz w:val="20"/>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hAnsi="Times New Roman"/>
          <w:b/>
          <w:sz w:val="20"/>
        </w:rPr>
        <w:t>Distributions</w:t>
      </w:r>
      <w:r>
        <w:rPr>
          <w:rFonts w:ascii="Times New Roman" w:hAnsi="Times New Roman"/>
          <w:sz w:val="20"/>
        </w:rPr>
        <w:t xml:space="preserve">”),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a conversion price equal to 93% of the lowest VWAP of the Common Stock during the ten (10) Trading Days immediately preceding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AMENDING THE TERMS OF THIS NOTE</w:t>
      </w:r>
      <w:r>
        <w:rPr>
          <w:rFonts w:ascii="Times New Roman" w:hAnsi="Times New Roman"/>
          <w:sz w:val="20"/>
        </w:rPr>
        <w:t xml:space="preserve">. Except for Section 3(d) and this Section 19, which may not be amended, modified or waived by the parties hereto, the prior written consent of the Holder shall be required for any change, waiver or amendment to this Note.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TRANSFER</w:t>
      </w:r>
      <w:r>
        <w:rPr>
          <w:rFonts w:ascii="Times New Roman" w:hAnsi="Times New Roman"/>
          <w:sz w:val="20"/>
        </w:rPr>
        <w:t xml:space="preserve">. This Note and any shares of Common Stock issued upon conversion of this Note may be offered, sold, assigned or transferred by the Holder without the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REISSUANCE OF THIS NOTE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w:t>
      </w:r>
      <w:r>
        <w:rPr>
          <w:rFonts w:ascii="Times New Roman" w:hAnsi="Times New Roman"/>
          <w:sz w:val="20"/>
        </w:rPr>
        <w:t xml:space="preserve">. If this Note is to be transferred, the Holder shall surrender this Note to the Company, whereupon the Company will forthwith issue and deliver upon the order of the Holder a new Note (in accordance with Section 21(d)), registered as the Holder may request, representing the outstanding Principal being transferred by the Holder and, if less than the entire outstanding Principal is being transferred, a new Note (in accordance with Section 21(d))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Lost, Stolen or Mutilated Note</w:t>
      </w:r>
      <w:r>
        <w:rPr>
          <w:rFonts w:ascii="Times New Roman" w:hAnsi="Times New Roman"/>
          <w:sz w:val="20"/>
        </w:rPr>
        <w:t xml:space="preserve">.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21(d)) representing the outstanding Principal.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Note Exchangeable for Different Denominations</w:t>
      </w:r>
      <w:r>
        <w:rPr>
          <w:rFonts w:ascii="Times New Roman" w:hAnsi="Times New Roman"/>
          <w:sz w:val="20"/>
        </w:rPr>
        <w:t xml:space="preserve">. This Note is exchangeable, upon the surrender hereof by the Holder at the principal office of the Company, for a new Note or Notes (in accordance with Section 21(d) and in principal amounts of at least $1,000) representing in the aggregate the outstanding Principal of this Note, and each such new Note will represent such portion of such outstanding Principal as is designated by the Holder at the time of such surrender.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Issuance of New Notes</w:t>
      </w:r>
      <w:r>
        <w:rPr>
          <w:rFonts w:ascii="Times New Roman" w:hAnsi="Times New Roman"/>
          <w:sz w:val="20"/>
        </w:rPr>
        <w:t xml:space="preserve">.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21(a) or Section 21(c),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Make-Whole Amount, Interest and Late Charges from the Issuance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REMEDIES, CHARACTERIZATIONS, OTHER OBLIGATIONS, BREACHES AND INJUNCTIVE RELIEF</w:t>
      </w:r>
      <w:r>
        <w:rPr>
          <w:rFonts w:ascii="Times New Roman" w:hAnsi="Times New Roman"/>
          <w:sz w:val="20"/>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PAYMENT OF COLLECTION, ENFORCEMENT AND OTHER COSTS</w:t>
      </w:r>
      <w:r>
        <w:rPr>
          <w:rFonts w:ascii="Times New Roman" w:hAnsi="Times New Roman"/>
          <w:sz w:val="20"/>
        </w:rPr>
        <w:t xml:space="preserve">.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CONSTRUCTION; HEADINGS</w:t>
      </w:r>
      <w:r>
        <w:rPr>
          <w:rFonts w:ascii="Times New Roman" w:hAnsi="Times New Roman"/>
          <w:sz w:val="20"/>
        </w:rPr>
        <w:t xml:space="preserve">.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FAILURE OR INDULGENCE NOT WAIVER</w:t>
      </w:r>
      <w:r>
        <w:rPr>
          <w:rFonts w:ascii="Times New Roman" w:hAnsi="Times New Roman"/>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25 shall permit any waiver of any provision of Section 3(d).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Submission to Dispute Resolution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dispute relating to a Closing Bid Price, a Closing Sale Price, a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 Scholes Consideration Value, such VWAP or such fair market value, or the arithmetic calculation of such Conversion Rate or such applicable Redemption Price (as the case may be), at any time after the second (2nd) Business Day following such initial notice by the Company or the Holder (as the case may be) of such dispute to the Company or the Holder (as the case may be), then the Holder may, at its sole option, select an independent, reputable investment bank to resolve such dispute. </w:t>
      </w:r>
    </w:p>
    <w:p>
      <w:pPr>
        <w:pStyle w:val="TextBody"/>
        <w:bidi w:val="0"/>
        <w:spacing w:before="120" w:after="0"/>
        <w:jc w:val="left"/>
        <w:rPr>
          <w:rFonts w:ascii="Times New Roman" w:hAnsi="Times New Roman"/>
          <w:sz w:val="20"/>
        </w:rPr>
      </w:pPr>
      <w:r>
        <w:rPr>
          <w:rFonts w:ascii="Times New Roman" w:hAnsi="Times New Roman"/>
          <w:sz w:val="20"/>
        </w:rPr>
        <w:t>(ii) The Holder and the Company shall each deliver to such investment bank (A) a copy of the initial dispute submission so delivered in accordance with the first sentence of this Section 26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 w:hAnsi="Times New Roman"/>
          <w:b/>
          <w:sz w:val="20"/>
        </w:rPr>
        <w:t>Dispute Submission Deadline</w:t>
      </w:r>
      <w:r>
        <w:rPr>
          <w:rFonts w:ascii="Times New Roman" w:hAnsi="Times New Roman"/>
          <w:sz w:val="20"/>
        </w:rPr>
        <w:t xml:space="preserve">”) (the documents referred to in the immediately preceding clauses (A) and (B)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collectively referred to herein as the “</w:t>
      </w:r>
      <w:r>
        <w:rPr>
          <w:rFonts w:ascii="Times New Roman" w:hAnsi="Times New Roman"/>
          <w:b/>
          <w:sz w:val="20"/>
        </w:rPr>
        <w:t>Required Dispute Documentation</w:t>
      </w:r>
      <w:r>
        <w:rPr>
          <w:rFonts w:ascii="Times New Roman" w:hAnsi="Times New Roman"/>
          <w:sz w:val="20"/>
        </w:rPr>
        <w:t xml:space="preserve">”)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Miscellaneous</w:t>
      </w:r>
      <w:r>
        <w:rPr>
          <w:rFonts w:ascii="Times New Roman" w:hAnsi="Times New Roman"/>
          <w:sz w:val="20"/>
        </w:rPr>
        <w:t>. The Company expressly acknowledges and agrees that (i) this Section 26 constitutes an agreement to arbitrate between the Company and the Holder (and constitutes an arbitration agreement) under § 7501, et seq. of the New York Civil Practice Law and Rules (“</w:t>
      </w:r>
      <w:r>
        <w:rPr>
          <w:rFonts w:ascii="Times New Roman" w:hAnsi="Times New Roman"/>
          <w:b/>
          <w:sz w:val="20"/>
        </w:rPr>
        <w:t>CPLR</w:t>
      </w:r>
      <w:r>
        <w:rPr>
          <w:rFonts w:ascii="Times New Roman" w:hAnsi="Times New Roman"/>
          <w:sz w:val="20"/>
        </w:rPr>
        <w:t xml:space="preserve">”) and that the Holder is authorized to apply for an order to compel arbitration pursuant to CPLR § 7503(a) in order to compel compliance with this Section 26,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26 to any state or federal court sitting in The City of New York, Borough of Manhattan in lieu of utilizing the procedures set forth in this Section 26 and (v) nothing in this Section 26 shall limit the Holder from obtaining any injunctive relief or other equitable remedies (including, without limitation, with respect to any matters described in this Section 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NOTICES; CURRENCY;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w:t>
      </w:r>
      <w:r>
        <w:rPr>
          <w:rFonts w:ascii="Times New Roman" w:hAnsi="Times New Roman"/>
          <w:sz w:val="20"/>
        </w:rPr>
        <w:t xml:space="preserve">.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Currency</w:t>
      </w:r>
      <w:r>
        <w:rPr>
          <w:rFonts w:ascii="Times New Roman" w:hAnsi="Times New Roman"/>
          <w:sz w:val="20"/>
        </w:rPr>
        <w:t>. All dollar amounts referred to in this Note are in United States Dollars (“</w:t>
      </w:r>
      <w:r>
        <w:rPr>
          <w:rFonts w:ascii="Times New Roman" w:hAnsi="Times New Roman"/>
          <w:b/>
          <w:sz w:val="20"/>
        </w:rPr>
        <w:t>U.S. Dollars</w:t>
      </w:r>
      <w:r>
        <w:rPr>
          <w:rFonts w:ascii="Times New Roman" w:hAnsi="Times New Roman"/>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hAnsi="Times New Roman"/>
          <w:b/>
          <w:sz w:val="20"/>
        </w:rPr>
        <w:t>Exchange Rate</w:t>
      </w:r>
      <w:r>
        <w:rPr>
          <w:rFonts w:ascii="Times New Roman" w:hAnsi="Times New Roman"/>
          <w:sz w:val="20"/>
        </w:rPr>
        <w:t xml:space="preserve">”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Payments</w:t>
      </w:r>
      <w:r>
        <w:rPr>
          <w:rFonts w:ascii="Times New Roman" w:hAnsi="Times New Roman"/>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(except to the extent Interest is simultaneously accruing at the Default Rate hereunder) shall result in a late charge being incurred and payable by the Company in an amount equal to interest on such amount at the rate of eighteen percent (18%) per annum from the date such amount was due until the same is paid in full (“</w:t>
      </w:r>
      <w:r>
        <w:rPr>
          <w:rFonts w:ascii="Times New Roman" w:hAnsi="Times New Roman"/>
          <w:b/>
          <w:sz w:val="20"/>
        </w:rPr>
        <w:t>Late Charge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CANCELLATION</w:t>
      </w:r>
      <w:r>
        <w:rPr>
          <w:rFonts w:ascii="Times New Roman" w:hAnsi="Times New Roman"/>
          <w:sz w:val="20"/>
        </w:rPr>
        <w:t xml:space="preserve">. After all Principal, Make-Whole Amount, accrued Interest, Late Charges and other amounts at any time owed on this Note have been paid in full, this Note shall automatically be deemed canceled, shall be surrendered to the Company for cancellation and shall not be reissued.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WAIVER OF NOTICE</w:t>
      </w:r>
      <w:r>
        <w:rPr>
          <w:rFonts w:ascii="Times New Roman" w:hAnsi="Times New Roman"/>
          <w:sz w:val="20"/>
        </w:rPr>
        <w:t xml:space="preserve">. To the extent permitted by law, the Company hereby irrevocably waives demand, notice, presentment, protest and all other demands and notices in connection with the delivery, acceptance, performance, default or enforcement of this Note and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30. </w:t>
      </w:r>
      <w:r>
        <w:rPr>
          <w:rFonts w:ascii="Times New Roman" w:hAnsi="Times New Roman"/>
          <w:sz w:val="20"/>
          <w:u w:val="single"/>
        </w:rPr>
        <w:t>GOVERNING LAW</w:t>
      </w:r>
      <w:r>
        <w:rPr>
          <w:rFonts w:ascii="Times New Roman" w:hAnsi="Times New Roman"/>
          <w:sz w:val="20"/>
        </w:rPr>
        <w:t xml:space="preserve">. This Note shall be construed and enforced in accordance with, and all questions concerning the construction, validity, interpretation and performance of this Note shall be governed by, the internal laws of the State of New York, without giving effect to any provision or rule (whether of the State of New York or any other jurisdictions) that would cause the application of the laws of any jurisdictions other than the State of New York. Except as otherwise required by Section 26 above,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26. </w:t>
      </w:r>
      <w:r>
        <w:rPr>
          <w:rFonts w:ascii="Times New Roman" w:hAnsi="Times New Roman"/>
          <w:b/>
          <w:sz w:val="20"/>
        </w:rPr>
        <w:t>THE COMPANY HEREBY IRREVOCABLY WAIVES ANY RIGHT IT MAY HAVE TO, AND AGREES NOT TO REQUEST, A JURY TRIAL FOR THE ADJUDICATION OF ANY DISPUTE HEREUNDER OR IN CONNECTION WITH OR ARISING OUT OF THIS NOTE OR ANY TRANSACTION CONTEMPLATED HEREBY.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for the purpose of obtaining or enforcing judgment against the Company in any court in any jurisdiction it becomes necessary to convert into any other currency (such other currency being hereinafter in this Section 31 referred to as the “</w:t>
      </w:r>
      <w:r>
        <w:rPr>
          <w:rFonts w:ascii="Times New Roman" w:hAnsi="Times New Roman"/>
          <w:b/>
          <w:sz w:val="20"/>
        </w:rPr>
        <w:t>Judgment Currency</w:t>
      </w:r>
      <w:r>
        <w:rPr>
          <w:rFonts w:ascii="Times New Roman" w:hAnsi="Times New Roman"/>
          <w:sz w:val="20"/>
        </w:rPr>
        <w:t xml:space="preserve">”) an amount due in U.S. dollars under this Note, the conversion shall be made at the Exchange Rate prevailing on the Trading Day immediately preceding: </w:t>
      </w:r>
    </w:p>
    <w:p>
      <w:pPr>
        <w:pStyle w:val="TextBody"/>
        <w:bidi w:val="0"/>
        <w:spacing w:before="120" w:after="0"/>
        <w:jc w:val="left"/>
        <w:rPr>
          <w:rFonts w:ascii="Times New Roman" w:hAnsi="Times New Roman"/>
          <w:sz w:val="20"/>
        </w:rPr>
      </w:pPr>
      <w:r>
        <w:rPr>
          <w:rFonts w:ascii="Times New Roman" w:hAnsi="Times New Roman"/>
          <w:sz w:val="20"/>
        </w:rPr>
        <w:t xml:space="preserve">(i) the date actual payment of the amount due, in the case of any proceeding in the courts of New York or in the courts of any other jurisdiction that will give effect to such conversion being made on such 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the date on which the foreign court determines, in the case of any proceeding in the courts of any other jurisdiction (the date as of which such conversion is made pursuant to this Section 31(a)(ii) being hereinafter referred to as the “</w:t>
      </w:r>
      <w:r>
        <w:rPr>
          <w:rFonts w:ascii="Times New Roman" w:hAnsi="Times New Roman"/>
          <w:b/>
          <w:sz w:val="20"/>
        </w:rPr>
        <w:t>Judgment Conversion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If in the case of any proceeding in the court of any jurisdiction referred to in Section 31(a)(ii)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(c) Any amount due from the Company under this provision shall be due as a separate debt and shall not be affected by judgment being obtained for any other amounts due under or in respect of this Note.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Any and all payments by the Company hereunder, including any amounts (or shares of Common Stock) received on a conversion or redemption of the Note and any amounts on account of interest or deemed interest, shall be made free and clear of and without deduction for any and all present or future taxes, levies, imposts, deductions, charges or withholdings, and all liabilities with respect thereto, unless the Company is required to withhold or deduct any amounts for, or on account of any applicable law (each, a “</w:t>
      </w:r>
      <w:r>
        <w:rPr>
          <w:rFonts w:ascii="Times New Roman" w:hAnsi="Times New Roman"/>
          <w:b/>
          <w:sz w:val="20"/>
        </w:rPr>
        <w:t>Withheld Amount</w:t>
      </w:r>
      <w:r>
        <w:rPr>
          <w:rFonts w:ascii="Times New Roman" w:hAnsi="Times New Roman"/>
          <w:sz w:val="20"/>
        </w:rPr>
        <w:t>”). If the Company shall be required to deduct any Withheld Amount from or in respect of any sum payable hereunder to the Holder, (i) the sum payable shall be increased by the amount by which the sum payable would otherwise have to be increased (the “</w:t>
      </w:r>
      <w:r>
        <w:rPr>
          <w:rFonts w:ascii="Times New Roman" w:hAnsi="Times New Roman"/>
          <w:b/>
          <w:sz w:val="20"/>
        </w:rPr>
        <w:t>tax make-whole amount</w:t>
      </w:r>
      <w:r>
        <w:rPr>
          <w:rFonts w:ascii="Times New Roman" w:hAnsi="Times New Roman"/>
          <w:sz w:val="20"/>
        </w:rPr>
        <w:t xml:space="preserve">”) to ensure that after making all required deductions (including deductions applicable to the tax make-whole amount) the Holder would receive an amount equal to the sum it would have received had no such deductions been made, (ii) the Company shall make such deductions and (iii) the Company shall pay the full amount withheld or deducted to the relevant governmental authority within the time required. </w:t>
      </w:r>
    </w:p>
    <w:p>
      <w:pPr>
        <w:pStyle w:val="TextBody"/>
        <w:bidi w:val="0"/>
        <w:spacing w:before="120" w:after="0"/>
        <w:jc w:val="left"/>
        <w:rPr>
          <w:rFonts w:ascii="Times New Roman" w:hAnsi="Times New Roman"/>
          <w:sz w:val="20"/>
        </w:rPr>
      </w:pPr>
      <w:r>
        <w:rPr>
          <w:rFonts w:ascii="Times New Roman" w:hAnsi="Times New Roman"/>
          <w:sz w:val="20"/>
        </w:rPr>
        <w:t>(i) In addition, the Company agrees to pay to the relevant governmental authority in accordance with applicable law any present or future stamp or documentary taxes or any other excise or property taxes, charges or similar levies that arise from any payment made hereunder or in connection with the execution, delivery, registration or performance of, or otherwise with respect to, this Note (“</w:t>
      </w:r>
      <w:r>
        <w:rPr>
          <w:rFonts w:ascii="Times New Roman" w:hAnsi="Times New Roman"/>
          <w:b/>
          <w:sz w:val="20"/>
        </w:rPr>
        <w:t>Other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deliver to the Holder official receipts, if any, in respect of any taxes payable hereunder promptly after payment of such taxes or other evidence of payment reasonably acceptable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the Company fails to pay any amounts in accordance with this Section 32, the Company shall indemnify the Holder within ten (10) calendar days after written demand therefor, for the full amount of any such taxes, plus any related interest or penalties, that are paid by the Holder to the relevant governmental authority as a result of such failure. </w:t>
      </w:r>
    </w:p>
    <w:p>
      <w:pPr>
        <w:pStyle w:val="TextBody"/>
        <w:bidi w:val="0"/>
        <w:spacing w:before="120" w:after="0"/>
        <w:jc w:val="left"/>
        <w:rPr>
          <w:rFonts w:ascii="Times New Roman" w:hAnsi="Times New Roman"/>
          <w:sz w:val="20"/>
        </w:rPr>
      </w:pPr>
      <w:r>
        <w:rPr>
          <w:rFonts w:ascii="Times New Roman" w:hAnsi="Times New Roman"/>
          <w:sz w:val="20"/>
        </w:rPr>
        <w:t xml:space="preserve">(iv) The obligations of the Company under this Section 32(a) shall survive the termination of this Note and the payment of the Note and all other amounts payable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 Holder and beneficial owner of this Note, by the acceptance of this Note or acquisition of any beneficial interest therein, and the Company each mutually covenant and agree, to treat this Note as indebtedness for all purposes and will not take any action contrary to such characterization, including filing any tax returns or financial statements inconsistent therewith. </w:t>
      </w:r>
    </w:p>
    <w:p>
      <w:pPr>
        <w:pStyle w:val="TextBody"/>
        <w:bidi w:val="0"/>
        <w:spacing w:before="120" w:after="0"/>
        <w:jc w:val="left"/>
        <w:rPr>
          <w:rFonts w:ascii="Times New Roman" w:hAnsi="Times New Roman"/>
          <w:sz w:val="20"/>
        </w:rPr>
      </w:pPr>
      <w:r>
        <w:rPr>
          <w:rFonts w:ascii="Times New Roman" w:hAnsi="Times New Roman"/>
          <w:sz w:val="20"/>
        </w:rPr>
        <w:t xml:space="preserve">(c) The Holder and beneficial owner of this Note, by the acceptance of this Note or acquisition of any beneficial interest therein, covenants and agrees, for the benefit of the Company, to the extent it is legally able to do so, to provide to the Company and its paying agent (if any) such properly completed and executed reasonable documentation, information or certification (including, but not limited to, Internal Revenue Service Forms W-8BEN, W-8BEN-E, W-8IMY, W-8ECI, W-8EXP and W-9, (or any successor forms) and portfolio interest certificates) as (1) would reduce or eliminate withholding taxes imposed on any amount payable by the Company (and its paying agent, if any) and/or (2) may be helpful (as reasonably determined by the Company or its paying agent) for the Company (and its paying agent, if any) to satisfy its obligations relating to FATCA, withholding (including backup withholding) and information reporting under the Code (as defined in the Securities Purchase Agreement) and any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this Note is subject to Section 871(m) of the Code, for purposes of Section 871(m) of the Code and the regulations thereunder, the Common Stock is not expected to have a dividend during the life of the Note and therefore the estimate of the dividend amount for such purposes is zero.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SEVERABILITY</w:t>
      </w:r>
      <w:r>
        <w:rPr>
          <w:rFonts w:ascii="Times New Roman" w:hAnsi="Times New Roman"/>
          <w:sz w:val="20"/>
        </w:rPr>
        <w:t xml:space="preserve">.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MAXIMUM PAYMENTS</w:t>
      </w:r>
      <w:r>
        <w:rPr>
          <w:rFonts w:ascii="Times New Roman" w:hAnsi="Times New Roman"/>
          <w:sz w:val="20"/>
        </w:rPr>
        <w:t xml:space="preserve">.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CERTAIN DEFINITIONS</w:t>
      </w:r>
      <w:r>
        <w:rPr>
          <w:rFonts w:ascii="Times New Roman" w:hAnsi="Times New Roman"/>
          <w:sz w:val="20"/>
        </w:rPr>
        <w:t xml:space="preserve">. For purposes of this Note,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1933 Act</w:t>
      </w:r>
      <w:r>
        <w:rPr>
          <w:rFonts w:ascii="Times New Roman" w:hAnsi="Times New Roman"/>
          <w:sz w:val="20"/>
        </w:rPr>
        <w:t xml:space="preserve">” means the Securities Act of 1933, as amended, and the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1934 Act</w:t>
      </w:r>
      <w:r>
        <w:rPr>
          <w:rFonts w:ascii="Times New Roman" w:hAnsi="Times New Roman"/>
          <w:sz w:val="20"/>
        </w:rPr>
        <w:t xml:space="preserve">” means the Securities Exchange Act of 1934, as amended, and the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Adjusted Floor Price</w:t>
      </w:r>
      <w:r>
        <w:rPr>
          <w:rFonts w:ascii="Times New Roman" w:hAnsi="Times New Roman"/>
          <w:sz w:val="20"/>
        </w:rPr>
        <w:t xml:space="preserve">” means as determined on an Adjustment Date, the lower of (i) the Floor Price then in effect and (ii) 20% of the lower of (x) the closing price of the Common Stock of the Principal Market (as reported by the Principal Market) as of the Trading Day ended immediately prior to such applicable Adjustment Date and (y) the quotient of (I) the sum of each the closing price of the Common Stock of the Principal Market (as reported by the Principal Market) on each Trading Day of the five (5) Trading Day period ended on, and including, the Trading Day ended immediately prior to such applicable Adjustment Date, divided by (II) five (5). All such determinations to be appropriately adjusted for any stock split, stock dividend, stock combination or other similar transaction during any such measuring period.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Adjustment Right</w:t>
      </w:r>
      <w:r>
        <w:rPr>
          <w:rFonts w:ascii="Times New Roman" w:hAnsi="Times New Roman"/>
          <w:sz w:val="20"/>
        </w:rPr>
        <w:t xml:space="preserve">”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Affiliate</w:t>
      </w:r>
      <w:r>
        <w:rPr>
          <w:rFonts w:ascii="Times New Roman" w:hAnsi="Times New Roman"/>
          <w:sz w:val="20"/>
        </w:rPr>
        <w:t xml:space="preserve">”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20% or more of the stock having ordinary voting power for the election of directors of such Person or direct or cause the direction of the management and policies of such Person whether by contract or otherwise.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Alternate Conversion Floor Price Amount</w:t>
      </w:r>
      <w:r>
        <w:rPr>
          <w:rFonts w:ascii="Times New Roman" w:hAnsi="Times New Roman"/>
          <w:sz w:val="20"/>
        </w:rPr>
        <w:t xml:space="preserve">”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obtained by dividing (x) the applicable Conversion Amount that the Holder has elected to be the subject of the applicable Alternate Conversion, by (y) the applicable Alternate Conversion Price without giving effect to the Floor Price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b/>
          <w:sz w:val="20"/>
        </w:rPr>
        <w:t>Alternate Conversion Price</w:t>
      </w:r>
      <w:r>
        <w:rPr>
          <w:rFonts w:ascii="Times New Roman" w:hAnsi="Times New Roman"/>
          <w:sz w:val="20"/>
        </w:rPr>
        <w:t>” means, with respect to any Alternate Conversion that price which shall be the lowest of (i) the applicable Conversion Price as in effect on the applicable Conversion Date of the applicable Alternate Conversion, (ii) 85% of the VWAP of the Common Stock as of the Trading Day immediately preceding the delivery or deemed delivery of the applicable Conversion Notice and (iii) the greater of (x) the Floor Price then in effect and (y) the lesser of (A) 85% of the VWAP of the Common Stock as of the Trading Day of the delivery or deemed delivery of the applicable Conversion Notice and (B) 85% of the lowest VWAP of the Common Stock during the ten (10) consecutive Trading Day period ending and including the Trading Day immediately preceding the delivery or deemed delivery of the applicable Conversion Notice (such period, the “</w:t>
      </w:r>
      <w:r>
        <w:rPr>
          <w:rFonts w:ascii="Times New Roman" w:hAnsi="Times New Roman"/>
          <w:b/>
          <w:sz w:val="20"/>
        </w:rPr>
        <w:t>Alternate Conversion Measuring Period</w:t>
      </w:r>
      <w:r>
        <w:rPr>
          <w:rFonts w:ascii="Times New Roman" w:hAnsi="Times New Roman"/>
          <w:sz w:val="20"/>
        </w:rPr>
        <w:t xml:space="preserve">”). All such determinations to be appropriately adjusted for any stock dividend, stock split, stock combination, reclassification or similar transaction that proportionately decreases or increases the Common Stock during such Alternate Conversion Measuring Period.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Approved Stock Plan</w:t>
      </w:r>
      <w:r>
        <w:rPr>
          <w:rFonts w:ascii="Times New Roman" w:hAnsi="Times New Roman"/>
          <w:sz w:val="20"/>
        </w:rPr>
        <w:t xml:space="preserve">”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Asset Sale</w:t>
      </w:r>
      <w:r>
        <w:rPr>
          <w:rFonts w:ascii="Times New Roman" w:hAnsi="Times New Roman"/>
          <w:sz w:val="20"/>
        </w:rPr>
        <w:t xml:space="preserve">” shall have the meaning as set forth in Section 16(f) above.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Attribution Parties</w:t>
      </w:r>
      <w:r>
        <w:rPr>
          <w:rFonts w:ascii="Times New Roman" w:hAnsi="Times New Roman"/>
          <w:sz w:val="20"/>
        </w:rPr>
        <w:t xml:space="preserve">”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Black Scholes Consideration Value</w:t>
      </w:r>
      <w:r>
        <w:rPr>
          <w:rFonts w:ascii="Times New Roman" w:hAnsi="Times New Roman"/>
          <w:sz w:val="20"/>
        </w:rPr>
        <w:t xml:space="preserve">”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Bloomberg</w:t>
      </w:r>
      <w:r>
        <w:rPr>
          <w:rFonts w:ascii="Times New Roman" w:hAnsi="Times New Roman"/>
          <w:sz w:val="20"/>
        </w:rPr>
        <w:t xml:space="preserve">” means Bloomberg, L.P.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Change of Control</w:t>
      </w:r>
      <w:r>
        <w:rPr>
          <w:rFonts w:ascii="Times New Roman" w:hAnsi="Times New Roman"/>
          <w:sz w:val="20"/>
        </w:rPr>
        <w:t xml:space="preserve">”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Change of Control Redemption Premium</w:t>
      </w:r>
      <w:r>
        <w:rPr>
          <w:rFonts w:ascii="Times New Roman" w:hAnsi="Times New Roman"/>
          <w:sz w:val="20"/>
        </w:rPr>
        <w:t xml:space="preserve">” means 120%.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Closing Bid Price</w:t>
      </w:r>
      <w:r>
        <w:rPr>
          <w:rFonts w:ascii="Times New Roman" w:hAnsi="Times New Roman"/>
          <w:sz w:val="20"/>
        </w:rPr>
        <w:t>” and “</w:t>
      </w:r>
      <w:r>
        <w:rPr>
          <w:rFonts w:ascii="Times New Roman" w:hAnsi="Times New Roman"/>
          <w:b/>
          <w:sz w:val="20"/>
        </w:rPr>
        <w:t>Closing Sale Price</w:t>
      </w:r>
      <w:r>
        <w:rPr>
          <w:rFonts w:ascii="Times New Roman" w:hAnsi="Times New Roman"/>
          <w:sz w:val="20"/>
        </w:rPr>
        <w:t xml:space="preserve">”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26. All such determinations shall be appropriately adjusted for any stock splits, stock dividends, stock combinations, recapitalizations or other similar transactions during such period.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sz w:val="20"/>
        </w:rPr>
        <w:t>Closing Date</w:t>
      </w:r>
      <w:r>
        <w:rPr>
          <w:rFonts w:ascii="Times New Roman" w:hAnsi="Times New Roman"/>
          <w:sz w:val="20"/>
        </w:rPr>
        <w:t xml:space="preserve">” shall have the meaning set forth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sz w:val="20"/>
        </w:rPr>
        <w:t>Common Stock</w:t>
      </w:r>
      <w:r>
        <w:rPr>
          <w:rFonts w:ascii="Times New Roman" w:hAnsi="Times New Roman"/>
          <w:sz w:val="20"/>
        </w:rPr>
        <w:t xml:space="preserve">” means (i) the Company’s shares of common stock, $0.001 par value per share, and (ii) any capital stock into which such common stock shall have been changed or any share capital resulting from a reclassification of such common stock.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sz w:val="20"/>
        </w:rPr>
        <w:t>Conversion Floor Price Condition</w:t>
      </w:r>
      <w:r>
        <w:rPr>
          <w:rFonts w:ascii="Times New Roman" w:hAnsi="Times New Roman"/>
          <w:sz w:val="20"/>
        </w:rPr>
        <w:t xml:space="preserve">” means that the relevant Alternate Conversion Price is being determined based on clause (x) of such definition.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sz w:val="20"/>
        </w:rPr>
        <w:t>Convertible Securities</w:t>
      </w:r>
      <w:r>
        <w:rPr>
          <w:rFonts w:ascii="Times New Roman" w:hAnsi="Times New Roman"/>
          <w:sz w:val="20"/>
        </w:rPr>
        <w:t xml:space="preserve">” means any stock or other security (other than Options) that is at any time and under any circumstances, directly or indirectly, convertible into, exercisable or exchangeable for, or which otherwise entitles the holder thereof to acquire, any shares of Common Stock.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sz w:val="20"/>
        </w:rPr>
        <w:t>Current Public Information Failure</w:t>
      </w:r>
      <w:r>
        <w:rPr>
          <w:rFonts w:ascii="Times New Roman" w:hAnsi="Times New Roman"/>
          <w:sz w:val="20"/>
        </w:rPr>
        <w:t xml:space="preserve">” means either (x) the Company fails for any reason to satisfy the requirements of Rule 144(c)(1) of the 1933 Act, including, without limitation, the failure to satisfy the current public information requirement under Rule 144(c) of the 1933 Act or (y) the Company has ever been an issuer described in Rule 144(i)(1)(i) of the 1933 Act or becomes such an issuer in the future, and the Company shall fail to satisfy any condition set forth in Rule 144(i)(2) of the 1933 Act.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Eligible Market</w:t>
      </w:r>
      <w:r>
        <w:rPr>
          <w:rFonts w:ascii="Times New Roman" w:hAnsi="Times New Roman"/>
          <w:sz w:val="20"/>
        </w:rPr>
        <w:t xml:space="preserve">” means The New York Stock Exchange, the NYSE American, the Nasdaq Capital Market, the Nasdaq Global Select Market or the Nasdaq Global Market.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sz w:val="20"/>
        </w:rPr>
        <w:t>Event of Default Redemption Premium</w:t>
      </w:r>
      <w:r>
        <w:rPr>
          <w:rFonts w:ascii="Times New Roman" w:hAnsi="Times New Roman"/>
          <w:sz w:val="20"/>
        </w:rPr>
        <w:t xml:space="preserve">” means 125%.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w:t>
      </w:r>
      <w:r>
        <w:rPr>
          <w:rFonts w:ascii="Times New Roman" w:hAnsi="Times New Roman"/>
          <w:b/>
          <w:sz w:val="20"/>
        </w:rPr>
        <w:t>Event Market Price</w:t>
      </w:r>
      <w:r>
        <w:rPr>
          <w:rFonts w:ascii="Times New Roman" w:hAnsi="Times New Roman"/>
          <w:sz w:val="20"/>
        </w:rPr>
        <w:t xml:space="preserve">” means, with respect to any Stock Combination Event Date, the quotient determined by dividing (x) the sum of the VWAP of the Common Stock for each of the five (5) Trading Days with the lowest VWAP of the Common Stock during the fifteen (15) consecutive Trading Day period ending and including the Trading Day immediately preceding the sixteenth (16th) Trading Day after such Stock Combination Event Date, divided by (y) five (5).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sz w:val="20"/>
        </w:rPr>
        <w:t>Excluded Securities</w:t>
      </w:r>
      <w:r>
        <w:rPr>
          <w:rFonts w:ascii="Times New Roman" w:hAnsi="Times New Roman"/>
          <w:sz w:val="20"/>
        </w:rPr>
        <w:t xml:space="preserve">” means any of the following: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or (iv) any sales of shares of Common Stock under the Permitted ATM (as defined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sz w:val="20"/>
        </w:rPr>
        <w:t>Fiscal Quarter</w:t>
      </w:r>
      <w:r>
        <w:rPr>
          <w:rFonts w:ascii="Times New Roman" w:hAnsi="Times New Roman"/>
          <w:sz w:val="20"/>
        </w:rPr>
        <w:t xml:space="preserve">” means each of the fiscal quarters adopted by the Company for financial reporting purposes that correspond to the Company’s fiscal year as of the date hereof that ends on December 31.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sz w:val="20"/>
        </w:rPr>
        <w:t>Floor Price</w:t>
      </w:r>
      <w:r>
        <w:rPr>
          <w:rFonts w:ascii="Times New Roman" w:hAnsi="Times New Roman"/>
          <w:sz w:val="20"/>
        </w:rPr>
        <w:t>” means $0.5848 (as adjusted for stock splits, stock dividends, stock combinations, recapitalizations and similar events), or such lower amount as the Principal Market shall permit from time to time, provided that if on the six month anniversary of the Issuance Date (the “</w:t>
      </w:r>
      <w:r>
        <w:rPr>
          <w:rFonts w:ascii="Times New Roman" w:hAnsi="Times New Roman"/>
          <w:b/>
          <w:sz w:val="20"/>
        </w:rPr>
        <w:t>Adjustment Date</w:t>
      </w:r>
      <w:r>
        <w:rPr>
          <w:rFonts w:ascii="Times New Roman" w:hAnsi="Times New Roman"/>
          <w:sz w:val="20"/>
        </w:rPr>
        <w:t xml:space="preserve">”), the Floor Price then in effect is higher than the Adjusted Floor Price with respect to the Adjustment Date, on the Adjustment Date the Floor Price shall be automatically lowered to such applicable Adjusted Floor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 “</w:t>
      </w:r>
      <w:r>
        <w:rPr>
          <w:rFonts w:ascii="Times New Roman" w:hAnsi="Times New Roman"/>
          <w:b/>
          <w:sz w:val="20"/>
        </w:rPr>
        <w:t>Fundamental Transaction</w:t>
      </w:r>
      <w:r>
        <w:rPr>
          <w:rFonts w:ascii="Times New Roman" w:hAnsi="Times New Roman"/>
          <w:sz w:val="20"/>
        </w:rPr>
        <w:t xml:space="preserve">”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(cc) “</w:t>
      </w:r>
      <w:r>
        <w:rPr>
          <w:rFonts w:ascii="Times New Roman" w:hAnsi="Times New Roman"/>
          <w:b/>
          <w:sz w:val="20"/>
        </w:rPr>
        <w:t>GAAP</w:t>
      </w:r>
      <w:r>
        <w:rPr>
          <w:rFonts w:ascii="Times New Roman" w:hAnsi="Times New Roman"/>
          <w:sz w:val="20"/>
        </w:rPr>
        <w:t xml:space="preserve">” means United States generally accepted accounting principles, consistently applied.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sz w:val="20"/>
        </w:rPr>
        <w:t>Group</w:t>
      </w:r>
      <w:r>
        <w:rPr>
          <w:rFonts w:ascii="Times New Roman" w:hAnsi="Times New Roman"/>
          <w:sz w:val="20"/>
        </w:rPr>
        <w:t xml:space="preserve">” means a “group” as that term is used in Section 13(d) of the 1934 Act and as defined in Rule 13d-5 thereunder.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sz w:val="20"/>
        </w:rPr>
        <w:t>Holder Pro Rata Amount</w:t>
      </w:r>
      <w:r>
        <w:rPr>
          <w:rFonts w:ascii="Times New Roman" w:hAnsi="Times New Roman"/>
          <w:sz w:val="20"/>
        </w:rPr>
        <w:t xml:space="preserve">”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sz w:val="20"/>
        </w:rPr>
        <w:t>Indebtedness</w:t>
      </w:r>
      <w:r>
        <w:rPr>
          <w:rFonts w:ascii="Times New Roman" w:hAnsi="Times New Roman"/>
          <w:sz w:val="20"/>
        </w:rPr>
        <w:t xml:space="preserve">” shall have the meaning ascribed to such term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b/>
          <w:sz w:val="20"/>
        </w:rPr>
        <w:t>Interest</w:t>
      </w:r>
      <w:r>
        <w:rPr>
          <w:rFonts w:ascii="Times New Roman" w:hAnsi="Times New Roman"/>
          <w:sz w:val="20"/>
        </w:rPr>
        <w:t xml:space="preserve"> </w:t>
      </w:r>
      <w:r>
        <w:rPr>
          <w:rFonts w:ascii="Times New Roman" w:hAnsi="Times New Roman"/>
          <w:b/>
          <w:sz w:val="20"/>
        </w:rPr>
        <w:t>Rate</w:t>
      </w:r>
      <w:r>
        <w:rPr>
          <w:rFonts w:ascii="Times New Roman" w:hAnsi="Times New Roman"/>
          <w:sz w:val="20"/>
        </w:rPr>
        <w:t xml:space="preserve">” means eight percent (8%) per annum, as may be adjusted from time to time in accordance with Section 2.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sz w:val="20"/>
        </w:rPr>
        <w:t>Investment</w:t>
      </w:r>
      <w:r>
        <w:rPr>
          <w:rFonts w:ascii="Times New Roman" w:hAnsi="Times New Roman"/>
          <w:sz w:val="20"/>
        </w:rPr>
        <w:t xml:space="preserve">”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Late Charge</w:t>
      </w:r>
      <w:r>
        <w:rPr>
          <w:rFonts w:ascii="Times New Roman" w:hAnsi="Times New Roman"/>
          <w:sz w:val="20"/>
        </w:rPr>
        <w:t xml:space="preserve">” shall have the meaning as set forth in Section 27(c).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sz w:val="20"/>
        </w:rPr>
        <w:t>Make-Whole Amount</w:t>
      </w:r>
      <w:r>
        <w:rPr>
          <w:rFonts w:ascii="Times New Roman" w:hAnsi="Times New Roman"/>
          <w:sz w:val="20"/>
        </w:rPr>
        <w:t xml:space="preserve">” means, as of any given date and as applicable, in connection with any conversion, redemption or other repayment hereunder, an amount equal to the amount of additional Interest that would accrue under this Note at the Interest Rate then in effect assuming for calculation purposes that the outstanding Principal of this Note as of the Closing Date remained outstanding through and including the Maturity Date.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b/>
          <w:sz w:val="20"/>
        </w:rPr>
        <w:t>Maturity</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shall mean [    ]3; provided, however, the Maturity Date may be extended at the option of the Holder (i) if the Company has publicly reported CNSide® Cerebrospinal Fluid Tumor Cell Enumeration test sales of at least $10,000,000 by the filing of its Quarterly Report on Form 10-Q for the second quarter of 2027; (ii) in the event that, and for so long as, an Event of Default shall have occurred and be continuing or any event shall have occurred and be continuing that with the passage of time and the failure to cure would result in an Event of Default or (iii) through the date that is twenty (20) Business Days after the consummation of a Fundamental Transaction in the event that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first anniversary of the Issuance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b/>
          <w:sz w:val="20"/>
        </w:rPr>
        <w:t>Options</w:t>
      </w:r>
      <w:r>
        <w:rPr>
          <w:rFonts w:ascii="Times New Roman" w:hAnsi="Times New Roman"/>
          <w:sz w:val="20"/>
        </w:rPr>
        <w:t xml:space="preserve">” means any rights, warrants or options to subscribe for or purchase shares of Common Stock or Convertible Securities.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b/>
          <w:sz w:val="20"/>
        </w:rPr>
        <w:t>Parent Entity</w:t>
      </w:r>
      <w:r>
        <w:rPr>
          <w:rFonts w:ascii="Times New Roman" w:hAnsi="Times New Roman"/>
          <w:sz w:val="20"/>
        </w:rPr>
        <w:t xml:space="preserve">”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b/>
          <w:sz w:val="20"/>
        </w:rPr>
        <w:t>Permitted Indebtedness</w:t>
      </w:r>
      <w:r>
        <w:rPr>
          <w:rFonts w:ascii="Times New Roman" w:hAnsi="Times New Roman"/>
          <w:sz w:val="20"/>
        </w:rPr>
        <w:t xml:space="preserve">” means (i) Indebtedness evidenced by this Note and the Other Notes, (ii) Indebtedness secured by Permitted Liens or unsecured but as described in clauses (iv) and (v) of the definition of Permitted Liens and (iii) Indebtedness in respect of one or more corporate credit card facilities maintained with Wells Fargo Bank, National Association (or its affiliates), in an aggregate amount not to exceed $100,000 at any time outstanding.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b/>
          <w:sz w:val="20"/>
        </w:rPr>
        <w:t>Permitted Liens</w:t>
      </w:r>
      <w:r>
        <w:rPr>
          <w:rFonts w:ascii="Times New Roman" w:hAnsi="Times New Roman"/>
          <w:sz w:val="20"/>
        </w:rPr>
        <w:t xml:space="preserve">”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$1,000,000,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 (viii) any Liens in respect of indebtedness incurred under clause (i) of the definition of Permitted Indebtedness, and (ix) Liens on the Company’s deposit account maintained at Wells Fargo securing Indebtedness permitted under clause (iii) of the definition of Permitted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 “</w:t>
      </w:r>
      <w:r>
        <w:rPr>
          <w:rFonts w:ascii="Times New Roman" w:hAnsi="Times New Roman"/>
          <w:b/>
          <w:sz w:val="20"/>
        </w:rPr>
        <w:t>Person</w:t>
      </w:r>
      <w:r>
        <w:rPr>
          <w:rFonts w:ascii="Times New Roman" w:hAnsi="Times New Roman"/>
          <w:sz w:val="20"/>
        </w:rPr>
        <w:t xml:space="preserve">” means an individual, a limited liability company, a partnership, a joint venture, a corporation, a trust, an unincorporated organization, any other entity or a government or any department or agency thereof.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b/>
          <w:sz w:val="20"/>
        </w:rPr>
        <w:t>Price Failure</w:t>
      </w:r>
      <w:r>
        <w:rPr>
          <w:rFonts w:ascii="Times New Roman" w:hAnsi="Times New Roman"/>
          <w:sz w:val="20"/>
        </w:rPr>
        <w:t xml:space="preserve">” means, with respect to a particular date of determination, the VWAP of the Common Stock on any Trading Day during the twenty (20) Trading Day period ending on the Trading Day immediately preceding such date of determination fails to exceed $3.00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b/>
          <w:sz w:val="20"/>
        </w:rPr>
        <w:t>Principal Market</w:t>
      </w:r>
      <w:r>
        <w:rPr>
          <w:rFonts w:ascii="Times New Roman" w:hAnsi="Times New Roman"/>
          <w:sz w:val="20"/>
        </w:rPr>
        <w:t xml:space="preserve">” means the Nasdaq Capital Market.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b/>
          <w:sz w:val="20"/>
        </w:rPr>
        <w:t>Redemption Date</w:t>
      </w:r>
      <w:r>
        <w:rPr>
          <w:rFonts w:ascii="Times New Roman" w:hAnsi="Times New Roman"/>
          <w:sz w:val="20"/>
        </w:rPr>
        <w:t xml:space="preserve">” means any Event of Default Redemption Date, Asset Sale Optional Redemption Date, Subsequent Placement Optional Redemption Date, Company Optional Redemption Date and/or Change of Control Redemption Date, as applicable.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b/>
          <w:sz w:val="20"/>
        </w:rPr>
        <w:t>Redemption Notices</w:t>
      </w:r>
      <w:r>
        <w:rPr>
          <w:rFonts w:ascii="Times New Roman" w:hAnsi="Times New Roman"/>
          <w:sz w:val="20"/>
        </w:rPr>
        <w:t>” means, collectively, the Event of Default Redemption Notices, the Asset Sale Optional Redemption Notices, the Subsequent Placement Optional Redemption Notices, the Company Optional Redemption Notices and the Change of Control Redemption Notices, and each of the foregoing, individually, a “</w:t>
      </w:r>
      <w:r>
        <w:rPr>
          <w:rFonts w:ascii="Times New Roman" w:hAnsi="Times New Roman"/>
          <w:b/>
          <w:sz w:val="20"/>
        </w:rPr>
        <w:t>Redemption Notice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b/>
          <w:sz w:val="20"/>
        </w:rPr>
        <w:t>Redemption Premium</w:t>
      </w:r>
      <w:r>
        <w:rPr>
          <w:rFonts w:ascii="Times New Roman" w:hAnsi="Times New Roman"/>
          <w:sz w:val="20"/>
        </w:rPr>
        <w:t xml:space="preserve">” means 125%.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b/>
          <w:sz w:val="20"/>
        </w:rPr>
        <w:t>Redemption Prices</w:t>
      </w:r>
      <w:r>
        <w:rPr>
          <w:rFonts w:ascii="Times New Roman" w:hAnsi="Times New Roman"/>
          <w:sz w:val="20"/>
        </w:rPr>
        <w:t>” means, collectively, Event of Default Redemption Prices, the Company Optional Redemption Prices, the Asset Sale Optional Redemption Prices, the Subsequent Placement Optional Redemption Prices and the Change of Control Redemption Prices, and each of the foregoing, individually, a “</w:t>
      </w:r>
      <w:r>
        <w:rPr>
          <w:rFonts w:ascii="Times New Roman" w:hAnsi="Times New Roman"/>
          <w:b/>
          <w:sz w:val="20"/>
        </w:rPr>
        <w:t>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b/>
          <w:sz w:val="20"/>
        </w:rPr>
        <w:t>SEC</w:t>
      </w:r>
      <w:r>
        <w:rPr>
          <w:rFonts w:ascii="Times New Roman" w:hAnsi="Times New Roman"/>
          <w:sz w:val="20"/>
        </w:rPr>
        <w:t xml:space="preserve">” means the United States Securities and Exchange Commission or the successor thereto.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b/>
          <w:sz w:val="20"/>
        </w:rPr>
        <w:t>Securities Purchase Agreement</w:t>
      </w:r>
      <w:r>
        <w:rPr>
          <w:rFonts w:ascii="Times New Roman" w:hAnsi="Times New Roman"/>
          <w:sz w:val="20"/>
        </w:rPr>
        <w:t xml:space="preserve">” means that certain securities purchase agreement, dated as of the Subscription Date, by and among the Company and the initial holders of the Notes pursuant to which the Company issued the Notes, as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b/>
          <w:sz w:val="20"/>
        </w:rPr>
        <w:t>Security Agreement</w:t>
      </w:r>
      <w:r>
        <w:rPr>
          <w:rFonts w:ascii="Times New Roman" w:hAnsi="Times New Roman"/>
          <w:sz w:val="20"/>
        </w:rPr>
        <w:t xml:space="preserve">” shall have the meaning as set forth in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(zz) “</w:t>
      </w:r>
      <w:r>
        <w:rPr>
          <w:rFonts w:ascii="Times New Roman" w:hAnsi="Times New Roman"/>
          <w:b/>
          <w:sz w:val="20"/>
        </w:rPr>
        <w:t>Subscription Date</w:t>
      </w:r>
      <w:r>
        <w:rPr>
          <w:rFonts w:ascii="Times New Roman" w:hAnsi="Times New Roman"/>
          <w:sz w:val="20"/>
        </w:rPr>
        <w:t xml:space="preserve">” shall have the meaning set forth in the opening paragraph of this Note.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b/>
          <w:sz w:val="20"/>
        </w:rPr>
        <w:t>Subsidiaries</w:t>
      </w:r>
      <w:r>
        <w:rPr>
          <w:rFonts w:ascii="Times New Roman" w:hAnsi="Times New Roman"/>
          <w:sz w:val="20"/>
        </w:rPr>
        <w:t xml:space="preserve">” shall have the meaning as set forth in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(bbb) “</w:t>
      </w:r>
      <w:r>
        <w:rPr>
          <w:rFonts w:ascii="Times New Roman" w:hAnsi="Times New Roman"/>
          <w:b/>
          <w:sz w:val="20"/>
        </w:rPr>
        <w:t>Subject Entity</w:t>
      </w:r>
      <w:r>
        <w:rPr>
          <w:rFonts w:ascii="Times New Roman" w:hAnsi="Times New Roman"/>
          <w:sz w:val="20"/>
        </w:rPr>
        <w:t xml:space="preserve">” means any Person, Persons or Group or any Affiliate or associate of any such Person, Persons or Group.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b/>
          <w:sz w:val="20"/>
        </w:rPr>
        <w:t>Successor Entity</w:t>
      </w:r>
      <w:r>
        <w:rPr>
          <w:rFonts w:ascii="Times New Roman" w:hAnsi="Times New Roman"/>
          <w:sz w:val="20"/>
        </w:rPr>
        <w:t xml:space="preserve">” means the Person (or, if so elected by the Holder, the Parent Entity) formed by, resulting from or surviving any Fundamental Transaction or the Person (or, if so elected by the Holder, the Parent Entity) with which such Fundamental Transaction shall have been entered into.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b/>
          <w:sz w:val="20"/>
        </w:rPr>
        <w:t>Subsequent Placement</w:t>
      </w:r>
      <w:r>
        <w:rPr>
          <w:rFonts w:ascii="Times New Roman" w:hAnsi="Times New Roman"/>
          <w:sz w:val="20"/>
        </w:rPr>
        <w:t xml:space="preserve">” means any direct or indirect issuance, offer, sale, grant of any option or right to purchase, or otherwise dispose of (or announce any issuance, offer, sale, grant of any option or right to purchase or other disposition of) by the Company and/or any of its Subsidiaries of any equity security and/or any equity-linked and/or related security (including, without limitation, any “equity security” (as that term is defined under Rule 405 promulgated under the 1933 Act), any Common Stock Equivalents (as defined in the Securities Purchase Agreement), any debt, any preferred stock or any purchase rights.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b/>
          <w:sz w:val="20"/>
        </w:rPr>
        <w:t>Trading Day</w:t>
      </w:r>
      <w:r>
        <w:rPr>
          <w:rFonts w:ascii="Times New Roman" w:hAnsi="Times New Roman"/>
          <w:sz w:val="20"/>
        </w:rPr>
        <w:t xml:space="preserve">”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 </w:t>
      </w:r>
    </w:p>
    <w:p>
      <w:pPr>
        <w:pStyle w:val="TextBody"/>
        <w:bidi w:val="0"/>
        <w:spacing w:before="120" w:after="0"/>
        <w:jc w:val="left"/>
        <w:rPr>
          <w:rFonts w:ascii="Times New Roman" w:hAnsi="Times New Roman"/>
          <w:sz w:val="20"/>
        </w:rPr>
      </w:pPr>
      <w:r>
        <w:rPr>
          <w:rFonts w:ascii="Times New Roman" w:hAnsi="Times New Roman"/>
          <w:sz w:val="20"/>
        </w:rPr>
        <w:t>(fff) “</w:t>
      </w:r>
      <w:r>
        <w:rPr>
          <w:rFonts w:ascii="Times New Roman" w:hAnsi="Times New Roman"/>
          <w:b/>
          <w:sz w:val="20"/>
        </w:rPr>
        <w:t>Volume Failure</w:t>
      </w:r>
      <w:r>
        <w:rPr>
          <w:rFonts w:ascii="Times New Roman" w:hAnsi="Times New Roman"/>
          <w:sz w:val="20"/>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 w:hAnsi="Times New Roman"/>
          <w:b/>
          <w:sz w:val="20"/>
        </w:rPr>
        <w:t>Volume Failure Measuring Period</w:t>
      </w:r>
      <w:r>
        <w:rPr>
          <w:rFonts w:ascii="Times New Roman" w:hAnsi="Times New Roman"/>
          <w:sz w:val="20"/>
        </w:rPr>
        <w:t xml:space="preserve">”), is less than $500,000 (as adjusted for any stock splits, stock dividends, stock combinations, recapitalizations or other similar transactions occurring after the Subscription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(ggg) “</w:t>
      </w:r>
      <w:r>
        <w:rPr>
          <w:rFonts w:ascii="Times New Roman" w:hAnsi="Times New Roman"/>
          <w:b/>
          <w:sz w:val="20"/>
        </w:rPr>
        <w:t>VWAP</w:t>
      </w:r>
      <w:r>
        <w:rPr>
          <w:rFonts w:ascii="Times New Roman" w:hAnsi="Times New Roman"/>
          <w:sz w:val="20"/>
        </w:rPr>
        <w:t xml:space="preserve">”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26. All such determinations shall be appropriately adjusted for any stock dividend, stock split, stock combination, recapitalization or other similar transaction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DISCLOSURE</w:t>
      </w:r>
      <w:r>
        <w:rPr>
          <w:rFonts w:ascii="Times New Roman" w:hAnsi="Times New Roman"/>
          <w:sz w:val="20"/>
        </w:rPr>
        <w:t xml:space="preserve">.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36 shall limit any obligations of the Company, or any rights of the Holder, under Section 4(l) of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ABSENCE OF TRADING AND DISCLOSURE RESTRICTIONS</w:t>
      </w:r>
      <w:r>
        <w:rPr>
          <w:rFonts w:ascii="Times New Roman" w:hAnsi="Times New Roman"/>
          <w:sz w:val="20"/>
        </w:rPr>
        <w:t xml:space="preserve">.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as of the Issuance Date set out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1"/>
        <w:gridCol w:w="95"/>
        <w:gridCol w:w="3446"/>
      </w:tblGrid>
      <w:tr>
        <w:trPr/>
        <w:tc>
          <w:tcPr>
            <w:tcW w:w="54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CERENOME, INC.</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pBdr>
                <w:bottom w:val="single" w:sz="2" w:space="1" w:color="000000"/>
              </w:pBdr>
              <w:bidi w:val="0"/>
              <w:spacing w:before="0" w:after="20"/>
              <w:jc w:val="left"/>
              <w:rPr/>
            </w:pPr>
            <w:r>
              <w:rPr/>
              <w:t>    </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Name:</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Senior Convertible Note - Signature 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 </w:t>
      </w:r>
    </w:p>
    <w:p>
      <w:pPr>
        <w:pStyle w:val="TextBody"/>
        <w:bidi w:val="0"/>
        <w:spacing w:before="240" w:after="0"/>
        <w:jc w:val="center"/>
        <w:rPr>
          <w:rFonts w:ascii="Times New Roman" w:hAnsi="Times New Roman"/>
          <w:b/>
          <w:sz w:val="20"/>
        </w:rPr>
      </w:pPr>
      <w:r>
        <w:rPr>
          <w:rFonts w:ascii="Times New Roman" w:hAnsi="Times New Roman"/>
          <w:b/>
          <w:sz w:val="20"/>
        </w:rPr>
        <w:t xml:space="preserve">CERENOME, INC.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NOTICE </w:t>
      </w:r>
    </w:p>
    <w:p>
      <w:pPr>
        <w:pStyle w:val="TextBody"/>
        <w:bidi w:val="0"/>
        <w:spacing w:before="240" w:after="0"/>
        <w:jc w:val="left"/>
        <w:rPr>
          <w:rFonts w:ascii="Times New Roman" w:hAnsi="Times New Roman"/>
          <w:sz w:val="20"/>
        </w:rPr>
      </w:pPr>
      <w:r>
        <w:rPr>
          <w:rFonts w:ascii="Times New Roman" w:hAnsi="Times New Roman"/>
          <w:sz w:val="20"/>
        </w:rPr>
        <w:t>Reference is made to the Tranche A Senior Secured Convertible Note (the “</w:t>
      </w:r>
      <w:r>
        <w:rPr>
          <w:rFonts w:ascii="Times New Roman" w:hAnsi="Times New Roman"/>
          <w:b/>
          <w:sz w:val="20"/>
        </w:rPr>
        <w:t>Note</w:t>
      </w:r>
      <w:r>
        <w:rPr>
          <w:rFonts w:ascii="Times New Roman" w:hAnsi="Times New Roman"/>
          <w:sz w:val="20"/>
        </w:rPr>
        <w:t>”) issued to the undersigned by Cerenome, Inc., a Delaware corporation (the “</w:t>
      </w:r>
      <w:r>
        <w:rPr>
          <w:rFonts w:ascii="Times New Roman" w:hAnsi="Times New Roman"/>
          <w:b/>
          <w:sz w:val="20"/>
        </w:rPr>
        <w:t>Company</w:t>
      </w:r>
      <w:r>
        <w:rPr>
          <w:rFonts w:ascii="Times New Roman" w:hAnsi="Times New Roman"/>
          <w:sz w:val="20"/>
        </w:rPr>
        <w:t>”). In accordance with and pursuant to the Note, the undersigned hereby elects to convert the Conversion Amount (as defined in the Note) of the Note indicated below into shares of Common Stock, $0.001 par value per share (the “</w:t>
      </w:r>
      <w:r>
        <w:rPr>
          <w:rFonts w:ascii="Times New Roman" w:hAnsi="Times New Roman"/>
          <w:b/>
          <w:sz w:val="20"/>
        </w:rPr>
        <w:t>Common Stock</w:t>
      </w:r>
      <w:r>
        <w:rPr>
          <w:rFonts w:ascii="Times New Roman" w:hAnsi="Times New Roman"/>
          <w:sz w:val="20"/>
        </w:rPr>
        <w:t xml:space="preserve">”), of the Company, as of the date specified below. Capitalized terms not defined herein shall have the meaning as set forth in the Note. </w:t>
      </w:r>
    </w:p>
    <w:p>
      <w:pPr>
        <w:pStyle w:val="TextBody"/>
        <w:bidi w:val="0"/>
        <w:spacing w:before="240" w:after="0"/>
        <w:jc w:val="left"/>
        <w:rPr>
          <w:rFonts w:ascii="Times New Roman" w:hAnsi="Times New Roman"/>
          <w:sz w:val="20"/>
        </w:rPr>
      </w:pPr>
      <w:r>
        <w:rPr>
          <w:rFonts w:ascii="Times New Roman" w:hAnsi="Times New Roman"/>
          <w:sz w:val="20"/>
        </w:rPr>
        <w:t xml:space="preserve">Date of Conversion: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Aggregate Amortization Principal Amount to be converted: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Aggregate accrued and unpaid Interest to be converted: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Make-Whole Amount, if any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Accrued and unpaid Late Charges, if any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AGGREGATE CONVERSION AMOUNT </w:t>
      </w:r>
    </w:p>
    <w:p>
      <w:pPr>
        <w:pStyle w:val="TextBody"/>
        <w:bidi w:val="0"/>
        <w:spacing w:before="0" w:after="0"/>
        <w:jc w:val="left"/>
        <w:rPr>
          <w:rFonts w:ascii="Times New Roman" w:hAnsi="Times New Roman"/>
          <w:sz w:val="20"/>
        </w:rPr>
      </w:pPr>
      <w:r>
        <w:rPr>
          <w:rFonts w:ascii="Times New Roman" w:hAnsi="Times New Roman"/>
          <w:sz w:val="20"/>
        </w:rPr>
        <w:t xml:space="preserve">TO BE CONVERTED: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confirm the following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Conversion Price: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Common Stock to be issued: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Amortization Amount(s) to be reduced </w:t>
      </w:r>
    </w:p>
    <w:p>
      <w:pPr>
        <w:pStyle w:val="TextBody"/>
        <w:bidi w:val="0"/>
        <w:spacing w:before="0" w:after="0"/>
        <w:jc w:val="left"/>
        <w:rPr>
          <w:rFonts w:ascii="Times New Roman" w:hAnsi="Times New Roman"/>
          <w:sz w:val="20"/>
        </w:rPr>
      </w:pPr>
      <w:r>
        <w:rPr>
          <w:rFonts w:ascii="Times New Roman" w:hAnsi="Times New Roman"/>
          <w:sz w:val="20"/>
        </w:rPr>
        <w:t xml:space="preserve">(and corresponding Amortization Date(s)) </w:t>
      </w:r>
    </w:p>
    <w:p>
      <w:pPr>
        <w:pStyle w:val="TextBody"/>
        <w:bidi w:val="0"/>
        <w:spacing w:before="0" w:after="0"/>
        <w:jc w:val="left"/>
        <w:rPr>
          <w:rFonts w:ascii="Times New Roman" w:hAnsi="Times New Roman"/>
          <w:sz w:val="20"/>
        </w:rPr>
      </w:pPr>
      <w:r>
        <w:rPr>
          <w:rFonts w:ascii="Times New Roman" w:hAnsi="Times New Roman"/>
          <w:sz w:val="20"/>
        </w:rPr>
        <w:t xml:space="preserve">and amount of reduction: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this Conversion Notice is being delivered with respect to an Alternate Conversion, check here if Holder is electing to use the following Alternate Conversion Price:____________ </w:t>
      </w:r>
    </w:p>
    <w:p>
      <w:pPr>
        <w:pStyle w:val="TextBody"/>
        <w:bidi w:val="0"/>
        <w:spacing w:before="240" w:after="0"/>
        <w:jc w:val="left"/>
        <w:rPr>
          <w:rFonts w:ascii="Times New Roman" w:hAnsi="Times New Roman"/>
          <w:sz w:val="20"/>
        </w:rPr>
      </w:pPr>
      <w:r>
        <w:rPr>
          <w:rFonts w:ascii="Times New Roman" w:hAnsi="Times New Roman"/>
          <w:sz w:val="20"/>
        </w:rPr>
        <w:t xml:space="preserve">Please issue the Common Stock into which the Note is being converted to Holder, or for its benefit,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Check here if requesting delivery as a certificate to the following name and to the following address: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3"/>
        <w:gridCol w:w="111"/>
        <w:gridCol w:w="9351"/>
      </w:tblGrid>
      <w:tr>
        <w:trPr/>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351" w:type="dxa"/>
            <w:tcBorders/>
            <w:vAlign w:val="center"/>
          </w:tcPr>
          <w:p>
            <w:pPr>
              <w:pStyle w:val="TableContents"/>
              <w:bidi w:val="0"/>
              <w:spacing w:before="0" w:after="283"/>
              <w:jc w:val="left"/>
              <w:rPr>
                <w:sz w:val="4"/>
                <w:szCs w:val="4"/>
              </w:rPr>
            </w:pPr>
            <w:r>
              <w:rPr>
                <w:sz w:val="4"/>
                <w:szCs w:val="4"/>
              </w:rPr>
            </w:r>
          </w:p>
        </w:tc>
      </w:tr>
      <w:tr>
        <w:trPr/>
        <w:tc>
          <w:tcPr>
            <w:tcW w:w="743" w:type="dxa"/>
            <w:tcBorders/>
          </w:tcPr>
          <w:p>
            <w:pPr>
              <w:pStyle w:val="TableContents"/>
              <w:bidi w:val="0"/>
              <w:spacing w:before="0" w:after="283"/>
              <w:jc w:val="left"/>
              <w:rPr/>
            </w:pPr>
            <w:r>
              <w:rPr/>
              <w:t>Issue to:</w:t>
            </w:r>
          </w:p>
        </w:tc>
        <w:tc>
          <w:tcPr>
            <w:tcW w:w="111" w:type="dxa"/>
            <w:tcBorders/>
            <w:vAlign w:val="bottom"/>
          </w:tcPr>
          <w:p>
            <w:pPr>
              <w:pStyle w:val="TableContents"/>
              <w:bidi w:val="0"/>
              <w:spacing w:before="0" w:after="283"/>
              <w:jc w:val="left"/>
              <w:rPr/>
            </w:pPr>
            <w:r>
              <w:rPr/>
              <w:t> </w:t>
            </w:r>
          </w:p>
        </w:tc>
        <w:tc>
          <w:tcPr>
            <w:tcW w:w="9351" w:type="dxa"/>
            <w:tcBorders/>
          </w:tcPr>
          <w:p>
            <w:pPr>
              <w:pStyle w:val="TableContents"/>
              <w:pBdr>
                <w:bottom w:val="single" w:sz="2" w:space="1" w:color="000000"/>
              </w:pBdr>
              <w:bidi w:val="0"/>
              <w:spacing w:before="0" w:after="20"/>
              <w:jc w:val="left"/>
              <w:rPr/>
            </w:pPr>
            <w:r>
              <w:rPr/>
              <w:t>    </w:t>
            </w:r>
          </w:p>
        </w:tc>
      </w:tr>
      <w:tr>
        <w:trPr>
          <w:trHeight w:val="240" w:hRule="atLeast"/>
        </w:trPr>
        <w:tc>
          <w:tcPr>
            <w:tcW w:w="743" w:type="dxa"/>
            <w:tcBorders/>
            <w:vAlign w:val="center"/>
          </w:tcPr>
          <w:p>
            <w:pPr>
              <w:pStyle w:val="TableContents"/>
              <w:bidi w:val="0"/>
              <w:spacing w:before="0" w:after="283"/>
              <w:jc w:val="left"/>
              <w:rPr>
                <w:sz w:val="4"/>
                <w:szCs w:val="4"/>
              </w:rPr>
            </w:pPr>
            <w:r>
              <w:rPr>
                <w:sz w:val="4"/>
                <w:szCs w:val="4"/>
              </w:rPr>
            </w:r>
          </w:p>
        </w:tc>
        <w:tc>
          <w:tcPr>
            <w:tcW w:w="9462" w:type="dxa"/>
            <w:gridSpan w:val="2"/>
            <w:tcBorders/>
            <w:vAlign w:val="center"/>
          </w:tcPr>
          <w:p>
            <w:pPr>
              <w:pStyle w:val="TableContents"/>
              <w:bidi w:val="0"/>
              <w:spacing w:before="0" w:after="283"/>
              <w:jc w:val="left"/>
              <w:rPr>
                <w:sz w:val="4"/>
                <w:szCs w:val="4"/>
              </w:rPr>
            </w:pPr>
            <w:r>
              <w:rPr>
                <w:sz w:val="4"/>
                <w:szCs w:val="4"/>
              </w:rPr>
            </w:r>
          </w:p>
        </w:tc>
      </w:tr>
      <w:tr>
        <w:trPr/>
        <w:tc>
          <w:tcPr>
            <w:tcW w:w="7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9351" w:type="dxa"/>
            <w:tcBorders/>
          </w:tcPr>
          <w:p>
            <w:pPr>
              <w:pStyle w:val="TableContents"/>
              <w:pBdr>
                <w:bottom w:val="single" w:sz="2" w:space="1" w:color="000000"/>
              </w:pBdr>
              <w:bidi w:val="0"/>
              <w:spacing w:before="0" w:after="20"/>
              <w:jc w:val="left"/>
              <w:rPr/>
            </w:pPr>
            <w:r>
              <w:rPr/>
              <w:t>    </w:t>
            </w:r>
          </w:p>
        </w:tc>
      </w:tr>
      <w:tr>
        <w:trPr>
          <w:trHeight w:val="240" w:hRule="atLeast"/>
        </w:trPr>
        <w:tc>
          <w:tcPr>
            <w:tcW w:w="743" w:type="dxa"/>
            <w:tcBorders/>
            <w:vAlign w:val="center"/>
          </w:tcPr>
          <w:p>
            <w:pPr>
              <w:pStyle w:val="TableContents"/>
              <w:bidi w:val="0"/>
              <w:spacing w:before="0" w:after="283"/>
              <w:jc w:val="left"/>
              <w:rPr>
                <w:sz w:val="4"/>
                <w:szCs w:val="4"/>
              </w:rPr>
            </w:pPr>
            <w:r>
              <w:rPr>
                <w:sz w:val="4"/>
                <w:szCs w:val="4"/>
              </w:rPr>
            </w:r>
          </w:p>
        </w:tc>
        <w:tc>
          <w:tcPr>
            <w:tcW w:w="9462" w:type="dxa"/>
            <w:gridSpan w:val="2"/>
            <w:tcBorders/>
            <w:vAlign w:val="center"/>
          </w:tcPr>
          <w:p>
            <w:pPr>
              <w:pStyle w:val="TableContents"/>
              <w:bidi w:val="0"/>
              <w:spacing w:before="0" w:after="283"/>
              <w:jc w:val="left"/>
              <w:rPr>
                <w:sz w:val="4"/>
                <w:szCs w:val="4"/>
              </w:rPr>
            </w:pPr>
            <w:r>
              <w:rPr>
                <w:sz w:val="4"/>
                <w:szCs w:val="4"/>
              </w:rPr>
            </w:r>
          </w:p>
        </w:tc>
      </w:tr>
      <w:tr>
        <w:trPr/>
        <w:tc>
          <w:tcPr>
            <w:tcW w:w="74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935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8"/>
        <w:gridCol w:w="109"/>
        <w:gridCol w:w="8508"/>
      </w:tblGrid>
      <w:tr>
        <w:trPr/>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Check here if requesting delivery by Deposit/Withdrawal at Custodian as follows:</w:t>
            </w:r>
          </w:p>
        </w:tc>
      </w:tr>
      <w:tr>
        <w:trPr>
          <w:trHeight w:val="240" w:hRule="atLeast"/>
        </w:trPr>
        <w:tc>
          <w:tcPr>
            <w:tcW w:w="1588"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DTC Participant:</w:t>
            </w:r>
          </w:p>
        </w:tc>
        <w:tc>
          <w:tcPr>
            <w:tcW w:w="109" w:type="dxa"/>
            <w:tcBorders/>
            <w:vAlign w:val="bottom"/>
          </w:tcPr>
          <w:p>
            <w:pPr>
              <w:pStyle w:val="TableContents"/>
              <w:bidi w:val="0"/>
              <w:spacing w:before="0" w:after="283"/>
              <w:jc w:val="left"/>
              <w:rPr/>
            </w:pPr>
            <w:r>
              <w:rPr/>
              <w:t> </w:t>
            </w:r>
          </w:p>
        </w:tc>
        <w:tc>
          <w:tcPr>
            <w:tcW w:w="8508" w:type="dxa"/>
            <w:tcBorders/>
          </w:tcPr>
          <w:p>
            <w:pPr>
              <w:pStyle w:val="TableContents"/>
              <w:pBdr>
                <w:bottom w:val="single" w:sz="2" w:space="1" w:color="000000"/>
              </w:pBdr>
              <w:bidi w:val="0"/>
              <w:spacing w:before="0" w:after="20"/>
              <w:jc w:val="left"/>
              <w:rPr/>
            </w:pPr>
            <w:r>
              <w:rPr/>
              <w:t>    </w:t>
            </w:r>
          </w:p>
        </w:tc>
      </w:tr>
      <w:tr>
        <w:trPr>
          <w:trHeight w:val="240" w:hRule="atLeast"/>
        </w:trPr>
        <w:tc>
          <w:tcPr>
            <w:tcW w:w="1588"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DTC Number:</w:t>
            </w:r>
          </w:p>
        </w:tc>
        <w:tc>
          <w:tcPr>
            <w:tcW w:w="109" w:type="dxa"/>
            <w:tcBorders/>
            <w:vAlign w:val="bottom"/>
          </w:tcPr>
          <w:p>
            <w:pPr>
              <w:pStyle w:val="TableContents"/>
              <w:bidi w:val="0"/>
              <w:spacing w:before="0" w:after="283"/>
              <w:jc w:val="left"/>
              <w:rPr/>
            </w:pPr>
            <w:r>
              <w:rPr/>
              <w:t> </w:t>
            </w:r>
          </w:p>
        </w:tc>
        <w:tc>
          <w:tcPr>
            <w:tcW w:w="8508" w:type="dxa"/>
            <w:tcBorders/>
          </w:tcPr>
          <w:p>
            <w:pPr>
              <w:pStyle w:val="TableContents"/>
              <w:pBdr>
                <w:bottom w:val="single" w:sz="2" w:space="1" w:color="000000"/>
              </w:pBdr>
              <w:bidi w:val="0"/>
              <w:spacing w:before="0" w:after="20"/>
              <w:jc w:val="left"/>
              <w:rPr/>
            </w:pPr>
            <w:r>
              <w:rPr/>
              <w:t>    </w:t>
            </w:r>
          </w:p>
        </w:tc>
      </w:tr>
      <w:tr>
        <w:trPr>
          <w:trHeight w:val="240" w:hRule="atLeast"/>
        </w:trPr>
        <w:tc>
          <w:tcPr>
            <w:tcW w:w="1588"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283"/>
              <w:jc w:val="left"/>
              <w:rPr/>
            </w:pPr>
            <w:r>
              <w:rPr/>
              <w:t>Account Number:</w:t>
            </w:r>
          </w:p>
        </w:tc>
        <w:tc>
          <w:tcPr>
            <w:tcW w:w="109" w:type="dxa"/>
            <w:tcBorders/>
            <w:vAlign w:val="bottom"/>
          </w:tcPr>
          <w:p>
            <w:pPr>
              <w:pStyle w:val="TableContents"/>
              <w:bidi w:val="0"/>
              <w:spacing w:before="0" w:after="283"/>
              <w:jc w:val="left"/>
              <w:rPr/>
            </w:pPr>
            <w:r>
              <w:rPr/>
              <w:t> </w:t>
            </w:r>
          </w:p>
        </w:tc>
        <w:tc>
          <w:tcPr>
            <w:tcW w:w="8508" w:type="dxa"/>
            <w:tcBorders/>
            <w:vAlign w:val="bottom"/>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_____________ __,</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of Registered Holder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pBdr>
                <w:bottom w:val="single" w:sz="2" w:space="1" w:color="000000"/>
              </w:pBdr>
              <w:bidi w:val="0"/>
              <w:spacing w:before="0" w:after="20"/>
              <w:jc w:val="left"/>
              <w:rPr/>
            </w:pPr>
            <w:r>
              <w:rPr/>
              <w:t>    </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bidi w:val="0"/>
              <w:spacing w:before="0" w:after="283"/>
              <w:jc w:val="left"/>
              <w:rPr/>
            </w:pPr>
            <w:r>
              <w:rPr/>
              <w:t>Name:</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bidi w:val="0"/>
              <w:spacing w:before="0" w:after="283"/>
              <w:jc w:val="left"/>
              <w:rPr/>
            </w:pPr>
            <w:r>
              <w:rPr/>
              <w:t>Title:</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tcPr>
          <w:p>
            <w:pPr>
              <w:pStyle w:val="TableContents"/>
              <w:bidi w:val="0"/>
              <w:spacing w:before="0" w:after="283"/>
              <w:jc w:val="left"/>
              <w:rPr/>
            </w:pPr>
            <w:r>
              <w:rPr/>
              <w:t>Tax ID:_____________________</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II </w:t>
      </w:r>
    </w:p>
    <w:p>
      <w:pPr>
        <w:pStyle w:val="TextBody"/>
        <w:bidi w:val="0"/>
        <w:spacing w:before="240" w:after="0"/>
        <w:jc w:val="center"/>
        <w:rPr>
          <w:rFonts w:ascii="Times New Roman" w:hAnsi="Times New Roman"/>
          <w:b/>
          <w:sz w:val="20"/>
        </w:rPr>
      </w:pPr>
      <w:r>
        <w:rPr>
          <w:rFonts w:ascii="Times New Roman" w:hAnsi="Times New Roman"/>
          <w:b/>
          <w:sz w:val="20"/>
        </w:rPr>
        <w:t xml:space="preserve">ACKNOWLEDGMENT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 number of shares of Common Stock in accordance with the Transfer Agent Instructions dated _____________, 20__ from the Company and acknowledged and agreed to by ________________________.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1"/>
        <w:gridCol w:w="95"/>
        <w:gridCol w:w="3446"/>
      </w:tblGrid>
      <w:tr>
        <w:trPr/>
        <w:tc>
          <w:tcPr>
            <w:tcW w:w="54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CERENOME, INC.</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pBdr>
                <w:bottom w:val="single" w:sz="2" w:space="1" w:color="000000"/>
              </w:pBdr>
              <w:bidi w:val="0"/>
              <w:spacing w:before="0" w:after="20"/>
              <w:jc w:val="left"/>
              <w:rPr/>
            </w:pPr>
            <w:r>
              <w:rPr/>
              <w:t>    </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Name:</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4" w:name="d382364dex101.htm"/>
      <w:bookmarkStart w:id="5" w:name="ksd382364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September 4, 2026, is by and among Cerenome, Inc., a Delaware corporation with offices located at 6420 Levit Green Boulevard, Suite 310, Houston, Texas 77021 (the “</w:t>
      </w:r>
      <w:r>
        <w:rPr>
          <w:rFonts w:ascii="Times New Roman" w:hAnsi="Times New Roman"/>
          <w:b/>
          <w:sz w:val="20"/>
        </w:rPr>
        <w:t>Company</w:t>
      </w:r>
      <w:r>
        <w:rPr>
          <w:rFonts w:ascii="Times New Roman" w:hAnsi="Times New Roman"/>
          <w:sz w:val="20"/>
        </w:rPr>
        <w:t>”), and each of the investors listed on the Schedule of Buyers attached hereto (individually, a “</w:t>
      </w:r>
      <w:r>
        <w:rPr>
          <w:rFonts w:ascii="Times New Roman" w:hAnsi="Times New Roman"/>
          <w:b/>
          <w:sz w:val="20"/>
        </w:rPr>
        <w:t>Buyer</w:t>
      </w:r>
      <w:r>
        <w:rPr>
          <w:rFonts w:ascii="Times New Roman" w:hAnsi="Times New Roman"/>
          <w:sz w:val="20"/>
        </w:rPr>
        <w:t>” and collectively, the “</w:t>
      </w:r>
      <w:r>
        <w:rPr>
          <w:rFonts w:ascii="Times New Roman" w:hAnsi="Times New Roman"/>
          <w:b/>
          <w:sz w:val="20"/>
        </w:rPr>
        <w:t>Buyers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u w:val="single"/>
        </w:rPr>
        <w:t>RECITALS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Agreement, the Company and each Buyer desire to enter into this Agreement to purchase the Notes (as defined below) pursuant to an exemption from the registration requirements of Section 5 of the 1933 Act contained in Section 4(a)(2) thereof and/or Regulation D thereunder.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authorized a new series of Senior Secured Convertible Notes of the Company, in the aggregate original principal amount of $21,276,596 in the form attached hereto as </w:t>
      </w:r>
      <w:r>
        <w:rPr>
          <w:rFonts w:ascii="Times New Roman" w:hAnsi="Times New Roman"/>
          <w:b/>
          <w:sz w:val="20"/>
          <w:u w:val="single"/>
        </w:rPr>
        <w:t>Exhibit A</w:t>
      </w:r>
      <w:r>
        <w:rPr>
          <w:rFonts w:ascii="Times New Roman" w:hAnsi="Times New Roman"/>
          <w:sz w:val="20"/>
        </w:rPr>
        <w:t xml:space="preserve"> (the “</w:t>
      </w:r>
      <w:r>
        <w:rPr>
          <w:rFonts w:ascii="Times New Roman" w:hAnsi="Times New Roman"/>
          <w:b/>
          <w:sz w:val="20"/>
        </w:rPr>
        <w:t>Notes</w:t>
      </w:r>
      <w:r>
        <w:rPr>
          <w:rFonts w:ascii="Times New Roman" w:hAnsi="Times New Roman"/>
          <w:sz w:val="20"/>
        </w:rPr>
        <w:t>”), consisting of (i) Notes in the aggregate original principal amount of $3,191,489 (the “</w:t>
      </w:r>
      <w:r>
        <w:rPr>
          <w:rFonts w:ascii="Times New Roman" w:hAnsi="Times New Roman"/>
          <w:b/>
          <w:sz w:val="20"/>
        </w:rPr>
        <w:t>Initial Notes</w:t>
      </w:r>
      <w:r>
        <w:rPr>
          <w:rFonts w:ascii="Times New Roman" w:hAnsi="Times New Roman"/>
          <w:sz w:val="20"/>
        </w:rPr>
        <w:t>”), which Initial Notes are convertible into shares of Common Stock (as defined below) (the shares of Common Stock issuable pursuant to the terms of the Initial Notes, including, without limitation, upon conversion or otherwise, collectively, the “</w:t>
      </w:r>
      <w:r>
        <w:rPr>
          <w:rFonts w:ascii="Times New Roman" w:hAnsi="Times New Roman"/>
          <w:b/>
          <w:sz w:val="20"/>
        </w:rPr>
        <w:t>Initial</w:t>
      </w:r>
      <w:r>
        <w:rPr>
          <w:rFonts w:ascii="Times New Roman" w:hAnsi="Times New Roman"/>
          <w:sz w:val="20"/>
        </w:rPr>
        <w:t xml:space="preserve"> </w:t>
      </w:r>
      <w:r>
        <w:rPr>
          <w:rFonts w:ascii="Times New Roman" w:hAnsi="Times New Roman"/>
          <w:b/>
          <w:sz w:val="20"/>
        </w:rPr>
        <w:t>Conversion Shares</w:t>
      </w:r>
      <w:r>
        <w:rPr>
          <w:rFonts w:ascii="Times New Roman" w:hAnsi="Times New Roman"/>
          <w:sz w:val="20"/>
        </w:rPr>
        <w:t>”), (ii) Notes in the aggregate original principal amount of $2,127,660 (the “</w:t>
      </w:r>
      <w:r>
        <w:rPr>
          <w:rFonts w:ascii="Times New Roman" w:hAnsi="Times New Roman"/>
          <w:b/>
          <w:sz w:val="20"/>
        </w:rPr>
        <w:t>Second Notes</w:t>
      </w:r>
      <w:r>
        <w:rPr>
          <w:rFonts w:ascii="Times New Roman" w:hAnsi="Times New Roman"/>
          <w:sz w:val="20"/>
        </w:rPr>
        <w:t>”), which Second Notes are convertible into shares of Common Stock (the shares of Common Stock issuable pursuant to the terms of theSecond Notes, including, without limitation, upon conversion or otherwise, collectively, the “</w:t>
      </w:r>
      <w:r>
        <w:rPr>
          <w:rFonts w:ascii="Times New Roman" w:hAnsi="Times New Roman"/>
          <w:b/>
          <w:sz w:val="20"/>
        </w:rPr>
        <w:t>Second</w:t>
      </w:r>
      <w:r>
        <w:rPr>
          <w:rFonts w:ascii="Times New Roman" w:hAnsi="Times New Roman"/>
          <w:sz w:val="20"/>
        </w:rPr>
        <w:t xml:space="preserve"> </w:t>
      </w:r>
      <w:r>
        <w:rPr>
          <w:rFonts w:ascii="Times New Roman" w:hAnsi="Times New Roman"/>
          <w:b/>
          <w:sz w:val="20"/>
        </w:rPr>
        <w:t>Conversion Shares)</w:t>
      </w:r>
      <w:r>
        <w:rPr>
          <w:rFonts w:ascii="Times New Roman" w:hAnsi="Times New Roman"/>
          <w:sz w:val="20"/>
        </w:rPr>
        <w:t xml:space="preserve"> and (iii) Notes (the “</w:t>
      </w:r>
      <w:r>
        <w:rPr>
          <w:rFonts w:ascii="Times New Roman" w:hAnsi="Times New Roman"/>
          <w:b/>
          <w:sz w:val="20"/>
        </w:rPr>
        <w:t>Additional Notes</w:t>
      </w:r>
      <w:r>
        <w:rPr>
          <w:rFonts w:ascii="Times New Roman" w:hAnsi="Times New Roman"/>
          <w:sz w:val="20"/>
        </w:rPr>
        <w:t>”) in the aggregate original principal amount of $15,957,447, which Additional Notes are convertible into shares of Common Stock (the shares of Common Stock issuable pursuant to the terms of the Additional Notes, including, without limitation, upon conversion or otherwise, collectively, the “</w:t>
      </w:r>
      <w:r>
        <w:rPr>
          <w:rFonts w:ascii="Times New Roman" w:hAnsi="Times New Roman"/>
          <w:b/>
          <w:sz w:val="20"/>
        </w:rPr>
        <w:t>Additional</w:t>
      </w:r>
      <w:r>
        <w:rPr>
          <w:rFonts w:ascii="Times New Roman" w:hAnsi="Times New Roman"/>
          <w:sz w:val="20"/>
        </w:rPr>
        <w:t xml:space="preserve"> </w:t>
      </w:r>
      <w:r>
        <w:rPr>
          <w:rFonts w:ascii="Times New Roman" w:hAnsi="Times New Roman"/>
          <w:b/>
          <w:sz w:val="20"/>
        </w:rPr>
        <w:t>Conversion Shares</w:t>
      </w:r>
      <w:r>
        <w:rPr>
          <w:rFonts w:ascii="Times New Roman" w:hAnsi="Times New Roman"/>
          <w:sz w:val="20"/>
        </w:rPr>
        <w:t>,” and together with the Initial Conversion Shares and the Second Conversion Shares, the “</w:t>
      </w:r>
      <w:r>
        <w:rPr>
          <w:rFonts w:ascii="Times New Roman" w:hAnsi="Times New Roman"/>
          <w:b/>
          <w:sz w:val="20"/>
        </w:rPr>
        <w:t>Conversion Shares</w:t>
      </w:r>
      <w:r>
        <w:rPr>
          <w:rFonts w:ascii="Times New Roman" w:hAnsi="Times New Roman"/>
          <w:sz w:val="20"/>
        </w:rPr>
        <w:t xml:space="preserve">”), in each case in accordance with the 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C. Each Buyer wishes to purchase, and the Company wishes to sell, at the Initial Closing (as defined below), upon the terms and conditions stated in this Agreement, a Note in the original principal amount set forth opposite such Buyer’s name in column (3) on the Schedule of Buyers. </w:t>
      </w:r>
    </w:p>
    <w:p>
      <w:pPr>
        <w:pStyle w:val="TextBody"/>
        <w:bidi w:val="0"/>
        <w:spacing w:before="240" w:after="0"/>
        <w:jc w:val="left"/>
        <w:rPr>
          <w:rFonts w:ascii="Times New Roman" w:hAnsi="Times New Roman"/>
          <w:sz w:val="20"/>
        </w:rPr>
      </w:pPr>
      <w:r>
        <w:rPr>
          <w:rFonts w:ascii="Times New Roman" w:hAnsi="Times New Roman"/>
          <w:sz w:val="20"/>
        </w:rPr>
        <w:t xml:space="preserve">D. Each Buyer wishes to purchase, and the Company wishes to sell, at the Second Closing (as defined below), upon the terms and conditions stated in this Agreement, a Note in the original principal amount set forth opposite such Buyer’s name in column (4) on the Schedule of Buyers. </w:t>
      </w:r>
    </w:p>
    <w:p>
      <w:pPr>
        <w:pStyle w:val="TextBody"/>
        <w:bidi w:val="0"/>
        <w:spacing w:before="240" w:after="0"/>
        <w:jc w:val="left"/>
        <w:rPr>
          <w:rFonts w:ascii="Times New Roman" w:hAnsi="Times New Roman"/>
          <w:sz w:val="20"/>
        </w:rPr>
      </w:pPr>
      <w:r>
        <w:rPr>
          <w:rFonts w:ascii="Times New Roman" w:hAnsi="Times New Roman"/>
          <w:sz w:val="20"/>
        </w:rPr>
        <w:t xml:space="preserve">E. Subject to the terms and conditions set forth in this Agreement, the Company may require each Buyer to purchase, severally, and one or more Buyers may require the Company to sell, in one or more Additional Closings (as defined below), up to such aggregate original principal amount of Additional Notes as set forth opposite such Buyer’s name in column (5) of the Schedule of Buyers.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The Notes and the Conversion Shares are collectively referred to herein as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Notes will rank senior to all outstanding and future indebtedness of the Company and its Subsidiaries (as defined below) and the Notes will be secured by a first priority perfected security interest in all of the existing and future assets of the Company and its direct and indirect Subsidiaries, including a pledge of all of the capital stock of each of the Subsidiaries, as evidenced by (i) a security agreement in the form attached hereto as </w:t>
      </w:r>
      <w:r>
        <w:rPr>
          <w:rFonts w:ascii="Times New Roman" w:hAnsi="Times New Roman"/>
          <w:b/>
          <w:sz w:val="20"/>
          <w:u w:val="single"/>
        </w:rPr>
        <w:t>Exhibit B</w:t>
      </w:r>
      <w:r>
        <w:rPr>
          <w:rFonts w:ascii="Times New Roman" w:hAnsi="Times New Roman"/>
          <w:sz w:val="20"/>
        </w:rPr>
        <w:t xml:space="preserve"> (the “</w:t>
      </w:r>
      <w:r>
        <w:rPr>
          <w:rFonts w:ascii="Times New Roman" w:hAnsi="Times New Roman"/>
          <w:b/>
          <w:sz w:val="20"/>
        </w:rPr>
        <w:t>Security Agreement</w:t>
      </w:r>
      <w:r>
        <w:rPr>
          <w:rFonts w:ascii="Times New Roman" w:hAnsi="Times New Roman"/>
          <w:sz w:val="20"/>
        </w:rPr>
        <w:t>”), (ii) account control agreements with respect to certain accounts described in the Note and the Security Agreement, in form and substance acceptable to each Buyer, duly executed by the Company and each depositary bank (each, an “</w:t>
      </w:r>
      <w:r>
        <w:rPr>
          <w:rFonts w:ascii="Times New Roman" w:hAnsi="Times New Roman"/>
          <w:b/>
          <w:sz w:val="20"/>
        </w:rPr>
        <w:t>Controlled Account Bank</w:t>
      </w:r>
      <w:r>
        <w:rPr>
          <w:rFonts w:ascii="Times New Roman" w:hAnsi="Times New Roman"/>
          <w:sz w:val="20"/>
        </w:rPr>
        <w:t>”) in which each such account is maintained (the “</w:t>
      </w:r>
      <w:r>
        <w:rPr>
          <w:rFonts w:ascii="Times New Roman" w:hAnsi="Times New Roman"/>
          <w:b/>
          <w:sz w:val="20"/>
        </w:rPr>
        <w:t>Controlled Account Agreements</w:t>
      </w:r>
      <w:r>
        <w:rPr>
          <w:rFonts w:ascii="Times New Roman" w:hAnsi="Times New Roman"/>
          <w:sz w:val="20"/>
        </w:rPr>
        <w:t>”, and together with the Security Agreement, the Perfection Certificate (as defined below) and the other security documents and agreements entered into in connection with this Agreement and each of such other documents and agreements, as each may be amended or modified from time to time, collectively, the “</w:t>
      </w:r>
      <w:r>
        <w:rPr>
          <w:rFonts w:ascii="Times New Roman" w:hAnsi="Times New Roman"/>
          <w:b/>
          <w:sz w:val="20"/>
        </w:rPr>
        <w:t>Security Documents</w:t>
      </w:r>
      <w:r>
        <w:rPr>
          <w:rFonts w:ascii="Times New Roman" w:hAnsi="Times New Roman"/>
          <w:sz w:val="20"/>
        </w:rPr>
        <w:t xml:space="preserve">”), and (iii) a guarantee executed by each Subsidiary of the Company, in the form attached hereto as </w:t>
      </w:r>
      <w:r>
        <w:rPr>
          <w:rFonts w:ascii="Times New Roman" w:hAnsi="Times New Roman"/>
          <w:b/>
          <w:sz w:val="20"/>
          <w:u w:val="single"/>
        </w:rPr>
        <w:t>Exhibit C</w:t>
      </w:r>
      <w:r>
        <w:rPr>
          <w:rFonts w:ascii="Times New Roman" w:hAnsi="Times New Roman"/>
          <w:sz w:val="20"/>
        </w:rPr>
        <w:t xml:space="preserve"> (collectively, the “</w:t>
      </w:r>
      <w:r>
        <w:rPr>
          <w:rFonts w:ascii="Times New Roman" w:hAnsi="Times New Roman"/>
          <w:b/>
          <w:sz w:val="20"/>
        </w:rPr>
        <w:t>Guarantees</w:t>
      </w:r>
      <w:r>
        <w:rPr>
          <w:rFonts w:ascii="Times New Roman" w:hAnsi="Times New Roman"/>
          <w:sz w:val="20"/>
        </w:rPr>
        <w:t xml:space="preserve">”) pursuant to which each of them guarantees the obligations of the Company under the Transaction Documents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H. At the Initial Closing Date (as defined below), the parties will execute and deliver a registration rights agreement, substantially in the form attached hereto as </w:t>
      </w:r>
      <w:r>
        <w:rPr>
          <w:rFonts w:ascii="Times New Roman" w:hAnsi="Times New Roman"/>
          <w:b/>
          <w:sz w:val="20"/>
          <w:u w:val="single"/>
        </w:rPr>
        <w:t>Exhibit D</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pursuant to which the Company will agree to provide certain registration rights with respect to the Registrable Securities (as defined in the Registration Rights Agreement) under the 1933 Act and the rules and regulations promulgated thereunder and applicable state securities laws. </w:t>
      </w:r>
    </w:p>
    <w:p>
      <w:pPr>
        <w:pStyle w:val="TextBody"/>
        <w:bidi w:val="0"/>
        <w:spacing w:before="480" w:after="0"/>
        <w:jc w:val="center"/>
        <w:rPr>
          <w:rFonts w:ascii="Times New Roman" w:hAnsi="Times New Roman"/>
          <w:b/>
          <w:sz w:val="20"/>
        </w:rPr>
      </w:pPr>
      <w:r>
        <w:rPr>
          <w:rFonts w:ascii="Times New Roman" w:hAnsi="Times New Roman"/>
          <w:b/>
          <w:sz w:val="20"/>
          <w:u w:val="single"/>
        </w:rPr>
        <w:t>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mutual covenants contained herein and for other good and valuable consideration, the receipt and sufficiency of which are hereby acknowledged, the Company and each Buyer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 AND SALE OF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Purchase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Initial Closing</w:t>
      </w:r>
      <w:r>
        <w:rPr>
          <w:rFonts w:ascii="Times New Roman" w:hAnsi="Times New Roman"/>
          <w:sz w:val="20"/>
        </w:rPr>
        <w:t>. Subject to the satisfaction (or waiver) of the conditions set forth in Sections 6(a) and 7(a) below, the Company agrees to issue and sell to each Buyer, and each Buyer severally, but not jointly, agrees to purchase from the Company on the Initial Closing Date (as defined below), an Initial Note in the aggregate original principal amount set forth opposite such Buyer’s name in column (3) on the Schedule of Buyers (the “</w:t>
      </w:r>
      <w:r>
        <w:rPr>
          <w:rFonts w:ascii="Times New Roman" w:hAnsi="Times New Roman"/>
          <w:b/>
          <w:sz w:val="20"/>
        </w:rPr>
        <w:t>Initial Closing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 Closing</w:t>
      </w:r>
      <w:r>
        <w:rPr>
          <w:rFonts w:ascii="Times New Roman" w:hAnsi="Times New Roman"/>
          <w:sz w:val="20"/>
        </w:rPr>
        <w:t>. Subject to the satisfaction (or waiver) of (1) the conditions set forth in Sections 6(b) and 7(b) below and (2) the Second Closing Funding Conditions (as defined below), the Company agrees to issue and sell to each Buyer, and each Buyer severally, but not jointly, agrees to purchase from the Company on the Second Closing Date (as defined below), a Second Note in the aggregate original principal amount set forth opposite such Buyer’s name in column (4) on the Schedule of Buyers (the “</w:t>
      </w:r>
      <w:r>
        <w:rPr>
          <w:rFonts w:ascii="Times New Roman" w:hAnsi="Times New Roman"/>
          <w:b/>
          <w:sz w:val="20"/>
        </w:rPr>
        <w:t>Second Closing</w:t>
      </w:r>
      <w:r>
        <w:rPr>
          <w:rFonts w:ascii="Times New Roman" w:hAnsi="Times New Roman"/>
          <w:sz w:val="20"/>
        </w:rPr>
        <w:t>”). “</w:t>
      </w:r>
      <w:r>
        <w:rPr>
          <w:rFonts w:ascii="Times New Roman" w:hAnsi="Times New Roman"/>
          <w:b/>
          <w:sz w:val="20"/>
        </w:rPr>
        <w:t>Second Closing Funding Conditions</w:t>
      </w:r>
      <w:r>
        <w:rPr>
          <w:rFonts w:ascii="Times New Roman" w:hAnsi="Times New Roman"/>
          <w:sz w:val="20"/>
        </w:rPr>
        <w:t xml:space="preserve">” means (a) the initial Registration Statement (as defined in the Registration Rights Agreement) has been declared effective by the SEC (and with respect to which no stop order has been issued), and (b) there shall have been no existing event which, with the passage of time or the giving of notice, would constitute an Event of Default (as defined in the Initial Notes).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Additional Closings</w:t>
      </w:r>
      <w:r>
        <w:rPr>
          <w:rFonts w:ascii="Times New Roman" w:hAnsi="Times New Roman"/>
          <w:sz w:val="20"/>
        </w:rPr>
        <w:t>. Subject to the satisfaction (or waiver) of the conditions set forth in Sections 6(c) and 7(c) below, if a Buyer has delivered an Additional Closing Notice (as defined below) to the Company, the Company shall issue and sell to such Buyer, and such Buyer severally, but not jointly, with any other Buyer, shall purchase from the Company, on the applicable Additional Closing Date (as defined below), an Additional Note in the aggregate original principal amount as is set forth in such Additional Closing Notice, not in excess, in the aggregate with all prior Additional Closings, of such aggregate original principal amount of Additional Notes as set forth opposite such Buyer’s name in column (5) on the Schedule of Buyers (the “</w:t>
      </w:r>
      <w:r>
        <w:rPr>
          <w:rFonts w:ascii="Times New Roman" w:hAnsi="Times New Roman"/>
          <w:b/>
          <w:sz w:val="20"/>
        </w:rPr>
        <w:t>Additional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Closings</w:t>
      </w:r>
      <w:r>
        <w:rPr>
          <w:rFonts w:ascii="Times New Roman" w:hAnsi="Times New Roman"/>
          <w:sz w:val="20"/>
        </w:rPr>
        <w:t>. The Initial Closing, the Second Closing and each Additional Closing are each referred to in this Agreement as a “</w:t>
      </w:r>
      <w:r>
        <w:rPr>
          <w:rFonts w:ascii="Times New Roman" w:hAnsi="Times New Roman"/>
          <w:b/>
          <w:sz w:val="20"/>
        </w:rPr>
        <w:t>Closing</w:t>
      </w:r>
      <w:r>
        <w:rPr>
          <w:rFonts w:ascii="Times New Roman" w:hAnsi="Times New Roman"/>
          <w:sz w:val="20"/>
        </w:rPr>
        <w:t xml:space="preserve">”. Each Closing of the purchase of the Notes by the Buyers shall occur at the offices of Honigman LLP, 2290 First National Building, 660 Woodward Avenue, Detroit, MI 48226 or at a location mutually agreed upon by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Initial Closing.</w:t>
      </w:r>
      <w:r>
        <w:rPr>
          <w:rFonts w:ascii="Times New Roman" w:hAnsi="Times New Roman"/>
          <w:sz w:val="20"/>
        </w:rPr>
        <w:t xml:space="preserve"> The date and time of the Initial Closing (the “</w:t>
      </w:r>
      <w:r>
        <w:rPr>
          <w:rFonts w:ascii="Times New Roman" w:hAnsi="Times New Roman"/>
          <w:b/>
          <w:sz w:val="20"/>
        </w:rPr>
        <w:t>Initial Closing Date</w:t>
      </w:r>
      <w:r>
        <w:rPr>
          <w:rFonts w:ascii="Times New Roman" w:hAnsi="Times New Roman"/>
          <w:sz w:val="20"/>
        </w:rPr>
        <w:t xml:space="preserve">”) shall be 10:00 a.m., New York time, on the first (1st) Business Day on which the conditions to the Initial Closing set forth in </w:t>
      </w:r>
      <w:r>
        <w:rPr>
          <w:rFonts w:ascii="Times New Roman" w:hAnsi="Times New Roman"/>
          <w:sz w:val="20"/>
          <w:u w:val="single"/>
        </w:rPr>
        <w:t>Sections 6(a)</w:t>
      </w:r>
      <w:r>
        <w:rPr>
          <w:rFonts w:ascii="Times New Roman" w:hAnsi="Times New Roman"/>
          <w:sz w:val="20"/>
        </w:rPr>
        <w:t xml:space="preserve"> and </w:t>
      </w:r>
      <w:r>
        <w:rPr>
          <w:rFonts w:ascii="Times New Roman" w:hAnsi="Times New Roman"/>
          <w:sz w:val="20"/>
          <w:u w:val="single"/>
        </w:rPr>
        <w:t>7(a)</w:t>
      </w:r>
      <w:r>
        <w:rPr>
          <w:rFonts w:ascii="Times New Roman" w:hAnsi="Times New Roman"/>
          <w:sz w:val="20"/>
        </w:rPr>
        <w:t xml:space="preserve"> below are satisfied or waived (or such other date as is mutually agreed to by the Company and each Buyer). As used herein, “</w:t>
      </w:r>
      <w:r>
        <w:rPr>
          <w:rFonts w:ascii="Times New Roman" w:hAnsi="Times New Roman"/>
          <w:b/>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 Closing</w:t>
      </w:r>
      <w:r>
        <w:rPr>
          <w:rFonts w:ascii="Times New Roman" w:hAnsi="Times New Roman"/>
          <w:sz w:val="20"/>
        </w:rPr>
        <w:t>. The date and time of the Second Closing (the “</w:t>
      </w:r>
      <w:r>
        <w:rPr>
          <w:rFonts w:ascii="Times New Roman" w:hAnsi="Times New Roman"/>
          <w:b/>
          <w:sz w:val="20"/>
        </w:rPr>
        <w:t>Second Closing Date</w:t>
      </w:r>
      <w:r>
        <w:rPr>
          <w:rFonts w:ascii="Times New Roman" w:hAnsi="Times New Roman"/>
          <w:sz w:val="20"/>
        </w:rPr>
        <w:t xml:space="preserve">”) shall be 10:00 a.m., New York time, on the first (1st) Business Day on which the conditions to the Second Closing set forth in </w:t>
      </w:r>
      <w:r>
        <w:rPr>
          <w:rFonts w:ascii="Times New Roman" w:hAnsi="Times New Roman"/>
          <w:sz w:val="20"/>
          <w:u w:val="single"/>
        </w:rPr>
        <w:t>Sections 1(a)(ii)</w:t>
      </w:r>
      <w:r>
        <w:rPr>
          <w:rFonts w:ascii="Times New Roman" w:hAnsi="Times New Roman"/>
          <w:sz w:val="20"/>
        </w:rPr>
        <w:t xml:space="preserve">, </w:t>
      </w:r>
      <w:r>
        <w:rPr>
          <w:rFonts w:ascii="Times New Roman" w:hAnsi="Times New Roman"/>
          <w:sz w:val="20"/>
          <w:u w:val="single"/>
        </w:rPr>
        <w:t>6(b)</w:t>
      </w:r>
      <w:r>
        <w:rPr>
          <w:rFonts w:ascii="Times New Roman" w:hAnsi="Times New Roman"/>
          <w:sz w:val="20"/>
        </w:rPr>
        <w:t xml:space="preserve"> and </w:t>
      </w:r>
      <w:r>
        <w:rPr>
          <w:rFonts w:ascii="Times New Roman" w:hAnsi="Times New Roman"/>
          <w:sz w:val="20"/>
          <w:u w:val="single"/>
        </w:rPr>
        <w:t>7(b)</w:t>
      </w:r>
      <w:r>
        <w:rPr>
          <w:rFonts w:ascii="Times New Roman" w:hAnsi="Times New Roman"/>
          <w:sz w:val="20"/>
        </w:rPr>
        <w:t xml:space="preserve"> are satisfied or waived (or such other date as is mutually agreed to by the Company and each Buyer).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Additional Closings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Additional Closings at the Buyer’s Election.</w:t>
      </w:r>
      <w:r>
        <w:rPr>
          <w:rFonts w:ascii="Times New Roman" w:hAnsi="Times New Roman"/>
          <w:sz w:val="20"/>
        </w:rPr>
        <w:t xml:space="preserve"> Subject to the satisfaction (or waiver) of the conditions set forth in this Section 1(b)(iii) and </w:t>
      </w:r>
      <w:r>
        <w:rPr>
          <w:rFonts w:ascii="Times New Roman" w:hAnsi="Times New Roman"/>
          <w:sz w:val="20"/>
          <w:u w:val="single"/>
        </w:rPr>
        <w:t>Sections 6(c)</w:t>
      </w:r>
      <w:r>
        <w:rPr>
          <w:rFonts w:ascii="Times New Roman" w:hAnsi="Times New Roman"/>
          <w:sz w:val="20"/>
        </w:rPr>
        <w:t xml:space="preserve"> and </w:t>
      </w:r>
      <w:r>
        <w:rPr>
          <w:rFonts w:ascii="Times New Roman" w:hAnsi="Times New Roman"/>
          <w:sz w:val="20"/>
          <w:u w:val="single"/>
        </w:rPr>
        <w:t>7(c)</w:t>
      </w:r>
      <w:r>
        <w:rPr>
          <w:rFonts w:ascii="Times New Roman" w:hAnsi="Times New Roman"/>
          <w:sz w:val="20"/>
        </w:rPr>
        <w:t xml:space="preserve"> below (the “</w:t>
      </w:r>
      <w:r>
        <w:rPr>
          <w:rFonts w:ascii="Times New Roman" w:hAnsi="Times New Roman"/>
          <w:b/>
          <w:sz w:val="20"/>
        </w:rPr>
        <w:t>Additional Closing Conditions</w:t>
      </w:r>
      <w:r>
        <w:rPr>
          <w:rFonts w:ascii="Times New Roman" w:hAnsi="Times New Roman"/>
          <w:sz w:val="20"/>
        </w:rPr>
        <w:t>”), each Buyer, severally, shall have the right, exercisable by e-mail delivery of a written notice to the Company (each, an “</w:t>
      </w:r>
      <w:r>
        <w:rPr>
          <w:rFonts w:ascii="Times New Roman" w:hAnsi="Times New Roman"/>
          <w:b/>
          <w:sz w:val="20"/>
        </w:rPr>
        <w:t>Additional Optional Closing Notice</w:t>
      </w:r>
      <w:r>
        <w:rPr>
          <w:rFonts w:ascii="Times New Roman" w:hAnsi="Times New Roman"/>
          <w:sz w:val="20"/>
        </w:rPr>
        <w:t>”, and the date thereof, each an “</w:t>
      </w:r>
      <w:r>
        <w:rPr>
          <w:rFonts w:ascii="Times New Roman" w:hAnsi="Times New Roman"/>
          <w:b/>
          <w:sz w:val="20"/>
        </w:rPr>
        <w:t>Additional Optional Closing Notice Date</w:t>
      </w:r>
      <w:r>
        <w:rPr>
          <w:rFonts w:ascii="Times New Roman" w:hAnsi="Times New Roman"/>
          <w:sz w:val="20"/>
        </w:rPr>
        <w:t>”) to purchase, and to require the Company to sell to such Buyer, at one or more Additional Closings, up to such maximum aggregate original principal amount of Additional Notes as set forth opposite its name in column (5) of the Schedule of Buyers (subject to reduction, on a dollar-for-dollar basis for the aggregate original principal amount of any Additional Notes issued in any Additional Mandatory Closing prior to such date of determination), as applicable, on the Schedule of Buyers (each, an “</w:t>
      </w:r>
      <w:r>
        <w:rPr>
          <w:rFonts w:ascii="Times New Roman" w:hAnsi="Times New Roman"/>
          <w:b/>
          <w:sz w:val="20"/>
        </w:rPr>
        <w:t>Additional Optional Notes Amount</w:t>
      </w:r>
      <w:r>
        <w:rPr>
          <w:rFonts w:ascii="Times New Roman" w:hAnsi="Times New Roman"/>
          <w:sz w:val="20"/>
        </w:rPr>
        <w:t>”). Each Additional Optional Closing Notice shall specify (x) the proposed date and time of the applicable Additional Closing (which, if unspecified in such Additional Optional Closing Notice, shall be the tenth (10th) Trading Day after such Additional Optional Closing Notice or such other date as is mutually agreed to by the Company and each Buyer, each, an “</w:t>
      </w:r>
      <w:r>
        <w:rPr>
          <w:rFonts w:ascii="Times New Roman" w:hAnsi="Times New Roman"/>
          <w:b/>
          <w:sz w:val="20"/>
        </w:rPr>
        <w:t>Additional Optional Closing Date</w:t>
      </w:r>
      <w:r>
        <w:rPr>
          <w:rFonts w:ascii="Times New Roman" w:hAnsi="Times New Roman"/>
          <w:sz w:val="20"/>
        </w:rPr>
        <w:t>”), and (y) the applicable Additional Optional Notes Amount of the Additional Note to be issued to such Buyer at such Additional Closing, which amount shall be not less than $1,000,000. The Buyers’ rights to effect any Additional Optional Closings hereunder shall terminate at 9:00 AM, New York City time on the 18 month anniversary of the Initial Closing Date (the “</w:t>
      </w:r>
      <w:r>
        <w:rPr>
          <w:rFonts w:ascii="Times New Roman" w:hAnsi="Times New Roman"/>
          <w:b/>
          <w:sz w:val="20"/>
        </w:rPr>
        <w:t>Additional Closing Expiration Date</w:t>
      </w:r>
      <w:r>
        <w:rPr>
          <w:rFonts w:ascii="Times New Roman" w:hAnsi="Times New Roman"/>
          <w:sz w:val="20"/>
        </w:rPr>
        <w:t>”). The date and time of each Additional Closing (each an “</w:t>
      </w:r>
      <w:r>
        <w:rPr>
          <w:rFonts w:ascii="Times New Roman" w:hAnsi="Times New Roman"/>
          <w:b/>
          <w:sz w:val="20"/>
        </w:rPr>
        <w:t>Additional Closing Date</w:t>
      </w:r>
      <w:r>
        <w:rPr>
          <w:rFonts w:ascii="Times New Roman" w:hAnsi="Times New Roman"/>
          <w:sz w:val="20"/>
        </w:rPr>
        <w:t xml:space="preserve">”) shall be 10:00 a.m., New York time, on the first (1st) Business Day on which the conditions to such Additional Closing set forth in </w:t>
      </w:r>
      <w:r>
        <w:rPr>
          <w:rFonts w:ascii="Times New Roman" w:hAnsi="Times New Roman"/>
          <w:sz w:val="20"/>
          <w:u w:val="single"/>
        </w:rPr>
        <w:t>Sections 6(c)</w:t>
      </w:r>
      <w:r>
        <w:rPr>
          <w:rFonts w:ascii="Times New Roman" w:hAnsi="Times New Roman"/>
          <w:sz w:val="20"/>
        </w:rPr>
        <w:t xml:space="preserve"> and </w:t>
      </w:r>
      <w:r>
        <w:rPr>
          <w:rFonts w:ascii="Times New Roman" w:hAnsi="Times New Roman"/>
          <w:sz w:val="20"/>
          <w:u w:val="single"/>
        </w:rPr>
        <w:t>7(c)</w:t>
      </w:r>
      <w:r>
        <w:rPr>
          <w:rFonts w:ascii="Times New Roman" w:hAnsi="Times New Roman"/>
          <w:sz w:val="20"/>
        </w:rPr>
        <w:t xml:space="preserve"> below are satisfied or waived (or such other date as is mutually agreed to by the Company and the applicable Buyer). If a Buyer provides an Additional Optional Closing Notice to the Company, the Company shall be required to file a Registration Statement (as defined in the Registration Rights Agreement) to register the resale of the Additional Conversion Shares underlying such Additional Notes issued for such Additional Closing (if not previously so registered under the Registration Rights Agreement), and such Buyer shall not be required to deliver the applicable Purchase Price for such Additional Notes to the Company until a Registration Statement (as defined in the Registration Rights Agreement) registering the resale of the Additional Conversion Shares underlying such Additional Notes has been (or previously had been) declared effective by the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Additional Closings at the Company’s Election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satisfaction (or waiver) of the Additional Mandatory Closing Notice Eligibility Conditions (as defined below) and the Additional Closing Conditions, at any time of determination, if (i) no greater than $2,000,000 in aggregate principal amount of Notes then remains outstanding, (ii) no Closings have occurred hereunder for a period of at least 10 Trading Days (as defined in the Notes), (iii) no Authorized Share Failure (as defined below) exists, (iv) the Stockholder Approval (as defined below) has been obtained, (v) no Price Failure (as defined in the Notes) exists as of such date of determination and (vi) no Volume Failure (as defined in the Notes) exists as of such date of determination (such conditions, collectively, the “</w:t>
      </w:r>
      <w:r>
        <w:rPr>
          <w:rFonts w:ascii="Times New Roman" w:hAnsi="Times New Roman"/>
          <w:b/>
          <w:sz w:val="20"/>
        </w:rPr>
        <w:t>Additional Mandatory Closing Notice Eligibility Conditions</w:t>
      </w:r>
      <w:r>
        <w:rPr>
          <w:rFonts w:ascii="Times New Roman" w:hAnsi="Times New Roman"/>
          <w:sz w:val="20"/>
        </w:rPr>
        <w:t>”, and any such applicable date all such Additional Mandatory Closing Notice Eligibility Conditions are satisfied in full, each an “</w:t>
      </w:r>
      <w:r>
        <w:rPr>
          <w:rFonts w:ascii="Times New Roman" w:hAnsi="Times New Roman"/>
          <w:b/>
          <w:sz w:val="20"/>
        </w:rPr>
        <w:t>Additional Mandatory Closing Notice Eligibility Date</w:t>
      </w:r>
      <w:r>
        <w:rPr>
          <w:rFonts w:ascii="Times New Roman" w:hAnsi="Times New Roman"/>
          <w:sz w:val="20"/>
        </w:rPr>
        <w:t>”), the Company shall have the right exercisable by delivery to the Buyers of one or more written notices (each an “</w:t>
      </w:r>
      <w:r>
        <w:rPr>
          <w:rFonts w:ascii="Times New Roman" w:hAnsi="Times New Roman"/>
          <w:b/>
          <w:sz w:val="20"/>
        </w:rPr>
        <w:t>Additional Mandatory Closing Notice</w:t>
      </w:r>
      <w:r>
        <w:rPr>
          <w:rFonts w:ascii="Times New Roman" w:hAnsi="Times New Roman"/>
          <w:sz w:val="20"/>
        </w:rPr>
        <w:t>”, and together with each Additional Optional Closing Notice, each an “</w:t>
      </w:r>
      <w:r>
        <w:rPr>
          <w:rFonts w:ascii="Times New Roman" w:hAnsi="Times New Roman"/>
          <w:b/>
          <w:sz w:val="20"/>
        </w:rPr>
        <w:t>Additional Closing Notice</w:t>
      </w:r>
      <w:r>
        <w:rPr>
          <w:rFonts w:ascii="Times New Roman" w:hAnsi="Times New Roman"/>
          <w:sz w:val="20"/>
        </w:rPr>
        <w:t>”, and the date of each Additional Mandatory Closing Notice, each, an “</w:t>
      </w:r>
      <w:r>
        <w:rPr>
          <w:rFonts w:ascii="Times New Roman" w:hAnsi="Times New Roman"/>
          <w:b/>
          <w:sz w:val="20"/>
        </w:rPr>
        <w:t>Additional Mandatory Closing Notice Date</w:t>
      </w:r>
      <w:r>
        <w:rPr>
          <w:rFonts w:ascii="Times New Roman" w:hAnsi="Times New Roman"/>
          <w:sz w:val="20"/>
        </w:rPr>
        <w:t>”, together with each Additional Optional Closing Notice Date, an “</w:t>
      </w:r>
      <w:r>
        <w:rPr>
          <w:rFonts w:ascii="Times New Roman" w:hAnsi="Times New Roman"/>
          <w:b/>
          <w:sz w:val="20"/>
        </w:rPr>
        <w:t>Additional Closing Notice Date</w:t>
      </w:r>
      <w:r>
        <w:rPr>
          <w:rFonts w:ascii="Times New Roman" w:hAnsi="Times New Roman"/>
          <w:sz w:val="20"/>
        </w:rPr>
        <w:t>”), executed by the chief executive officer or chief financial officer of the Company, to require each Buyer to purchase, subject to the satisfaction (or waiver) of the Additional Closing Conditions and continued compliance with (or waiver of) the Additional Mandatory Closing Notice Eligibility Conditions, as applicable, up to $15,957,447 in aggregate original principal amount of Additional Notes in one or more Closings (each an “</w:t>
      </w:r>
      <w:r>
        <w:rPr>
          <w:rFonts w:ascii="Times New Roman" w:hAnsi="Times New Roman"/>
          <w:b/>
          <w:sz w:val="20"/>
        </w:rPr>
        <w:t>Additional Mandatory Closing</w:t>
      </w:r>
      <w:r>
        <w:rPr>
          <w:rFonts w:ascii="Times New Roman" w:hAnsi="Times New Roman"/>
          <w:sz w:val="20"/>
        </w:rPr>
        <w:t xml:space="preserve">”) in accordance with this </w:t>
      </w:r>
      <w:r>
        <w:rPr>
          <w:rFonts w:ascii="Times New Roman" w:hAnsi="Times New Roman"/>
          <w:sz w:val="20"/>
          <w:u w:val="single"/>
        </w:rPr>
        <w:t>Section 1(b)(iii)(2)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maximum aggregate original principal amount of Additional Notes to be sold at any individual Additional Closing shall not exceed $5,319,149.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w:t>
      </w:r>
      <w:r>
        <w:rPr>
          <w:rFonts w:ascii="Times New Roman" w:hAnsi="Times New Roman"/>
          <w:sz w:val="20"/>
        </w:rPr>
        <w:t xml:space="preserve"> Each Additional Mandatory Closing Notice shall (A) certify that an Additional Mandatory Closing Eligibility Date exists as of such date of determination and that, other than with respect to deliverables to be delivered to each Buyer at such Additional Mandatory Closing, all of the conditions to closing set forth in this </w:t>
      </w:r>
      <w:r>
        <w:rPr>
          <w:rFonts w:ascii="Times New Roman" w:hAnsi="Times New Roman"/>
          <w:sz w:val="20"/>
          <w:u w:val="single"/>
        </w:rPr>
        <w:t>Section 1(b)(iii)(2)</w:t>
      </w:r>
      <w:r>
        <w:rPr>
          <w:rFonts w:ascii="Times New Roman" w:hAnsi="Times New Roman"/>
          <w:sz w:val="20"/>
        </w:rPr>
        <w:t xml:space="preserve"> and Sections 6(c) and 7(c) below have been satisfied in full as of such applicable Additional Mandatory Closing Notice Date, (B) state the aggregate original principal amount of the Additional Notes to be purchased by the Buyers (which, with respect to any given Buyer (x) at the First Additional Closing shall not exceed such aggregate original principal amount of such Additional Notes as set forth opposite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name in column (5) on the Schedule of Buyers and (y) at any Additional Closing, shall not exceed the lesser of (I) such Buyer’s pro rata allocation of the aggregate original principal amount for such Additional Closing and (II) such aggregate original principal amount of such Additional Notes as set forth opposite its name in column (5) on the Schedule of Buyers (subject to reduction, on a dollar-for-dollar basis for the aggregate original principal amount of any Additional Notes issued in any Additional Closing prior to such date of determination) (or such other amount as the Company and each such applicable Buyer shall mutually agree)), (C) specify the proposed date of such Additional Mandatory Closing (which shall be no less than two (2) Business Days nor more than twenty (20) Business Days after such Additional Mandatory Closing Notice Date, subject to the right of each Buyer, by written notice to the Company, to accelerate such applicable Additional Closing Date (each, an “</w:t>
      </w:r>
      <w:r>
        <w:rPr>
          <w:rFonts w:ascii="Times New Roman" w:hAnsi="Times New Roman"/>
          <w:b/>
          <w:sz w:val="20"/>
        </w:rPr>
        <w:t>Additional Mandatory Closing Date</w:t>
      </w:r>
      <w:r>
        <w:rPr>
          <w:rFonts w:ascii="Times New Roman" w:hAnsi="Times New Roman"/>
          <w:sz w:val="20"/>
        </w:rPr>
        <w:t>”, and together with the Initial Closing Date, the Second Closing Date and each other Additional Closing Date, each a “</w:t>
      </w:r>
      <w:r>
        <w:rPr>
          <w:rFonts w:ascii="Times New Roman" w:hAnsi="Times New Roman"/>
          <w:b/>
          <w:sz w:val="20"/>
        </w:rPr>
        <w:t>Closing Date</w:t>
      </w:r>
      <w:r>
        <w:rPr>
          <w:rFonts w:ascii="Times New Roman" w:hAnsi="Times New Roman"/>
          <w:sz w:val="20"/>
        </w:rPr>
        <w:t xml:space="preserve">”) to an earlier date, not less than one (1) Trading Day after such applicable Additional Mandatory Closing Notice Date (or such other date as such Buyer and the Company shall mutually agree)), and (D) confirm whether or not such Additional Mandatory Closing Notice constitutes material non-public information. Each Additional Mandatory Closing Notice shall be irrevocable, and the Company may only deliver one Additional Mandatory Closing Notice in any sixty (60) Trading Day period (subject to extension on a day-by-day basis by the number of Trading Days during such period and any extension thereof contemplated by this proviso on which any Buyer is restricted from trading due to such Buyer’s possession of material non-public information of the Company and/or any of its Subsidiaries). For the avoidance of doubt, the Buyers shall not be required to consummate any Additional Closing if on the Additional Closing Date the Company fails to satisfy any of the Additional Mandatory Closing Notice Eligibility Conditions, if an Event of Default exists or if the Company fails to satisfy any of the other conditions to closing herein (unless waived in writing by the applicable Buyer participating in such Additional Mandatory Closing). Notwithstanding the foregoing, no Buyer shall be required to deliver the applicable Purchase Price for such Additional Notes to the Company until a Registration Statement (as defined in the Registration Rights Agreement) registering the resale of the Additional Conversion Shares underlying such Additional Notes has been (or previously had been) declared effective by the SEC. The Company’s right to require a Buyer to purchase Additional Notes pursuant to an Additional Mandatory Closing Notice shall automatically expire at 9:00 AM, New York City time on the Additional Closing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Purchase Price</w:t>
      </w:r>
      <w:r>
        <w:rPr>
          <w:rFonts w:ascii="Times New Roman" w:hAnsi="Times New Roman"/>
          <w:sz w:val="20"/>
        </w:rPr>
        <w:t>. The purchase price for the Initial Notes to be purchased by each Buyer (the “</w:t>
      </w:r>
      <w:r>
        <w:rPr>
          <w:rFonts w:ascii="Times New Roman" w:hAnsi="Times New Roman"/>
          <w:b/>
          <w:sz w:val="20"/>
        </w:rPr>
        <w:t>Initial</w:t>
      </w:r>
      <w:r>
        <w:rPr>
          <w:rFonts w:ascii="Times New Roman" w:hAnsi="Times New Roman"/>
          <w:sz w:val="20"/>
        </w:rPr>
        <w:t xml:space="preserve"> </w:t>
      </w:r>
      <w:r>
        <w:rPr>
          <w:rFonts w:ascii="Times New Roman" w:hAnsi="Times New Roman"/>
          <w:b/>
          <w:sz w:val="20"/>
        </w:rPr>
        <w:t>Purchase Price</w:t>
      </w:r>
      <w:r>
        <w:rPr>
          <w:rFonts w:ascii="Times New Roman" w:hAnsi="Times New Roman"/>
          <w:sz w:val="20"/>
        </w:rPr>
        <w:t>”) shall be the amount set forth opposite such Buyer’s name in column (6) on the Schedule of Buyers. The purchase price for the Second Notes to be purchased by each Buyer (the “</w:t>
      </w:r>
      <w:r>
        <w:rPr>
          <w:rFonts w:ascii="Times New Roman" w:hAnsi="Times New Roman"/>
          <w:b/>
          <w:sz w:val="20"/>
        </w:rPr>
        <w:t>Second Purchase Price</w:t>
      </w:r>
      <w:r>
        <w:rPr>
          <w:rFonts w:ascii="Times New Roman" w:hAnsi="Times New Roman"/>
          <w:sz w:val="20"/>
        </w:rPr>
        <w:t>”) shall be the amount set forth opposite such Buyer’s name in column (7) on the Schedule of Buyers. The aggregate maximum purchase price for the Additional Notes to be purchased by each Buyer (the “</w:t>
      </w:r>
      <w:r>
        <w:rPr>
          <w:rFonts w:ascii="Times New Roman" w:hAnsi="Times New Roman"/>
          <w:b/>
          <w:sz w:val="20"/>
        </w:rPr>
        <w:t>Aggregate Maximum</w:t>
      </w:r>
      <w:r>
        <w:rPr>
          <w:rFonts w:ascii="Times New Roman" w:hAnsi="Times New Roman"/>
          <w:sz w:val="20"/>
        </w:rPr>
        <w:t xml:space="preserve"> </w:t>
      </w:r>
      <w:r>
        <w:rPr>
          <w:rFonts w:ascii="Times New Roman" w:hAnsi="Times New Roman"/>
          <w:b/>
          <w:sz w:val="20"/>
        </w:rPr>
        <w:t>Additional</w:t>
      </w:r>
      <w:r>
        <w:rPr>
          <w:rFonts w:ascii="Times New Roman" w:hAnsi="Times New Roman"/>
          <w:sz w:val="20"/>
        </w:rPr>
        <w:t xml:space="preserve"> </w:t>
      </w:r>
      <w:r>
        <w:rPr>
          <w:rFonts w:ascii="Times New Roman" w:hAnsi="Times New Roman"/>
          <w:b/>
          <w:sz w:val="20"/>
        </w:rPr>
        <w:t>Purchase Price</w:t>
      </w:r>
      <w:r>
        <w:rPr>
          <w:rFonts w:ascii="Times New Roman" w:hAnsi="Times New Roman"/>
          <w:sz w:val="20"/>
        </w:rPr>
        <w:t xml:space="preserve">”) shall be the amount set forth opposite such Buyer’s name in column (8) on the Schedule of Buyers. Each Buyer shall pay $940 for each $1,000 of original principal amount of Notes.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Form of Payment; Deliveries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 the Initial Closing Date, (i) each Buyer shall pay its respective Initial Purchase Price (less, in the case of any Buyer, the amounts withheld pursuant to Section 4(j)) to the Company for the Initial Notes to be issued and sold to such Buyer at the Initial Closing, by wire transfer of immediately available funds in accordance with the Initial Flow of Funds Letter (as defined below) and (ii) the Company shall deliver to each Buyer an Initial Note in the aggregate original principal amount as is set forth opposite such Buyer’s name in column (6) of the Schedule of Buyers, duly executed on behalf of the Company and registered in the name of such Buyer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(ii) On the Second Closing Date, (i) each Buyer shall pay its respective Second Purchase Price (less, in the case of any Buyer, the amounts withheld pursuant to Section 4(j)) to the Company for the Second Notes to be issued and sold to such Buyer at the Second Closing, by wire transfer of immediately available funds in accordance with the Second Flow of Funds Letter (as defined below) and (ii) the Company shall deliver to each Buyer a Second Note in the aggregate original principal amount as is set forth opposite such Buyer’s name in column (7) of the Schedule of Buyers, duly executed on behalf of the Company and registered in the name of such Buyer or its designee. </w:t>
      </w:r>
    </w:p>
    <w:p>
      <w:pPr>
        <w:pStyle w:val="TextBody"/>
        <w:bidi w:val="0"/>
        <w:spacing w:before="120" w:after="0"/>
        <w:jc w:val="left"/>
        <w:rPr>
          <w:rFonts w:ascii="Times New Roman" w:hAnsi="Times New Roman"/>
          <w:sz w:val="20"/>
        </w:rPr>
      </w:pPr>
      <w:r>
        <w:rPr>
          <w:rFonts w:ascii="Times New Roman" w:hAnsi="Times New Roman"/>
          <w:sz w:val="20"/>
        </w:rPr>
        <w:t xml:space="preserve">(iii) On the applicable Additional Closing Date, (A) each Buyer participating in such Additional Closing shall pay its respective portion of the purchase price of the Additional Notes in such Additional Closing (less, in the case of any Buyer, the amounts withheld pursuant to Section 4(j)) to the Company for such aggregate original principal amount of Additional Notes to be issued and sold to such Buyer at such Additional Closing, by wire transfer of immediately available funds in accordance with the Additional Flow of Funds Letter (as defined below) and (B) the Company shall deliver to each such applicable Buyer an Additional Note in the original principal amount as is set forth in the applicable Additional Closing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BUYER’S REPRESENTATIONS AND WARRANTIES.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Buyer, severally and not jointly, represents and warrants to the Company with respect to only itself that, as of the date hereof and as of each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Authority</w:t>
      </w:r>
      <w:r>
        <w:rPr>
          <w:rFonts w:ascii="Times New Roman" w:hAnsi="Times New Roman"/>
          <w:sz w:val="20"/>
        </w:rPr>
        <w:t xml:space="preserve">.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Public Sale or Distribution</w:t>
      </w:r>
      <w:r>
        <w:rPr>
          <w:rFonts w:ascii="Times New Roman" w:hAnsi="Times New Roman"/>
          <w:sz w:val="20"/>
        </w:rPr>
        <w:t>. Such Buyer (i) is acquiring the Notes, and (ii) upon conversion of its Notes shall acquire the Conversion Shares issuable upon conversion thereof,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Securities Act. Such Buyer does not presently have any agreement or understanding, directly or indirectly, with any Person to distribute any of the Securities in violation of applicable securities laws. For purposes of this Agreement, “</w:t>
      </w:r>
      <w:r>
        <w:rPr>
          <w:rFonts w:ascii="Times New Roman" w:hAnsi="Times New Roman"/>
          <w:b/>
          <w:sz w:val="20"/>
        </w:rPr>
        <w:t>Person</w:t>
      </w:r>
      <w:r>
        <w:rPr>
          <w:rFonts w:ascii="Times New Roman" w:hAnsi="Times New Roman"/>
          <w:sz w:val="20"/>
        </w:rPr>
        <w:t xml:space="preserve">” means an individual, a limited liability company, a partnership, a joint venture, a corporation, a trust, an unincorporated organization, any other entity and any Governmental Entity (as defined below)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Accredited Investor Status</w:t>
      </w:r>
      <w:r>
        <w:rPr>
          <w:rFonts w:ascii="Times New Roman" w:hAnsi="Times New Roman"/>
          <w:sz w:val="20"/>
        </w:rPr>
        <w:t xml:space="preserve">. Such Buyer is an “accredited investor” as that term is defined in Rule 501(a) of Regulation 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Reliance on Exemptions</w:t>
      </w:r>
      <w:r>
        <w:rPr>
          <w:rFonts w:ascii="Times New Roman" w:hAnsi="Times New Roman"/>
          <w:sz w:val="20"/>
        </w:rPr>
        <w:t xml:space="preserve">. Such Buyer understands that the Notes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Notes.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Information</w:t>
      </w:r>
      <w:r>
        <w:rPr>
          <w:rFonts w:ascii="Times New Roman" w:hAnsi="Times New Roman"/>
          <w:sz w:val="20"/>
        </w:rPr>
        <w:t xml:space="preserve">. Such Buyer and its advisors, if any, have been furnished with all materials relating to the business, finances and operations of the Company and materials relating to the offer and sale of the Notes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Governmental Review</w:t>
      </w:r>
      <w:r>
        <w:rPr>
          <w:rFonts w:ascii="Times New Roman" w:hAnsi="Times New Roman"/>
          <w:sz w:val="20"/>
        </w:rPr>
        <w:t xml:space="preserve">.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Transfer or Resale</w:t>
      </w:r>
      <w:r>
        <w:rPr>
          <w:rFonts w:ascii="Times New Roman" w:hAnsi="Times New Roman"/>
          <w:sz w:val="20"/>
        </w:rPr>
        <w:t>. Such Buyer understands that, except as provided in the Registration Rights Agreement and Section 4(k) hereof: (i) the Securities have not been and are not being registered under the Securities Act or any state securities laws, and may not be offered for sale, sold, assigned or transferred unless (A) subsequently registered thereunder,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hAnsi="Times New Roman"/>
          <w:b/>
          <w:sz w:val="20"/>
        </w:rPr>
        <w:t>Rule 144</w:t>
      </w:r>
      <w:r>
        <w:rPr>
          <w:rFonts w:ascii="Times New Roman" w:hAnsi="Times New Roman"/>
          <w:sz w:val="20"/>
        </w:rPr>
        <w:t xml:space="preserve">”);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Validity; Enforcement</w:t>
      </w:r>
      <w:r>
        <w:rPr>
          <w:rFonts w:ascii="Times New Roman" w:hAnsi="Times New Roman"/>
          <w:sz w:val="20"/>
        </w:rPr>
        <w:t xml:space="preserve">. This Agreement and each of the other Transaction Documents to which such Buyer is a party has been duly and validly authorized, executed and delivered on behalf of such Buyer and shall constitute the legal, valid and binding obligations of such Buyer enforceable against such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Conflicts</w:t>
      </w:r>
      <w:r>
        <w:rPr>
          <w:rFonts w:ascii="Times New Roman" w:hAnsi="Times New Roman"/>
          <w:sz w:val="20"/>
        </w:rPr>
        <w:t xml:space="preserve">. The execution, delivery and performance by such Buyer of this Agreement and each of the other Transaction Documents to which such Buyer is a party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Group</w:t>
      </w:r>
      <w:r>
        <w:rPr>
          <w:rFonts w:ascii="Times New Roman" w:hAnsi="Times New Roman"/>
          <w:sz w:val="20"/>
        </w:rPr>
        <w:t xml:space="preserve">. Other than affiliates of such Buyer who are also Buyers under this Agreement, such Buyer is not under common control with or acting in concert with any other Buyer and is not part of a “group” for purposes of the 1934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represents and warrants to each of the Buyers that, as of the date hereof and as of each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Qualification</w:t>
      </w:r>
      <w:r>
        <w:rPr>
          <w:rFonts w:ascii="Times New Roman" w:hAnsi="Times New Roman"/>
          <w:sz w:val="20"/>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hAnsi="Times New Roman"/>
          <w:b/>
          <w:sz w:val="20"/>
        </w:rPr>
        <w:t>Material Adverse Effect</w:t>
      </w:r>
      <w:r>
        <w:rPr>
          <w:rFonts w:ascii="Times New Roman" w:hAnsi="Times New Roman"/>
          <w:sz w:val="20"/>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below). Other than CNSide Diagnostics, LLC, a Delaware limited liability company, the Company has no Subsidiaries. “</w:t>
      </w:r>
      <w:r>
        <w:rPr>
          <w:rFonts w:ascii="Times New Roman" w:hAnsi="Times New Roman"/>
          <w:b/>
          <w:sz w:val="20"/>
        </w:rPr>
        <w:t>Subsidiaries</w:t>
      </w:r>
      <w:r>
        <w:rPr>
          <w:rFonts w:ascii="Times New Roman" w:hAnsi="Times New Roman"/>
          <w:sz w:val="20"/>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hAnsi="Times New Roman"/>
          <w:b/>
          <w:sz w:val="20"/>
        </w:rPr>
        <w:t>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Enforcement; Validity</w:t>
      </w:r>
      <w:r>
        <w:rPr>
          <w:rFonts w:ascii="Times New Roman" w:hAnsi="Times New Roman"/>
          <w:sz w:val="20"/>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its Subsidiaries, and the consummation by the Company and its Subsidiaries of the transactions contemplated hereby and thereby (including, without limitation, the issuance of the Notes and the reservation for issuance and issuance of the Conversion Shares issuable upon conversion of the Notes) have been duly authorized by the Company’s board of directors and each of its Subsidiaries’ board of directors or other governing body, as applicable, and (other than the filing with the SEC of (A) the 8-K Filings (as defined below) and (B) any other filings as may be required by any state securities agencies (collectively, the “</w:t>
      </w:r>
      <w:r>
        <w:rPr>
          <w:rFonts w:ascii="Times New Roman" w:hAnsi="Times New Roman"/>
          <w:b/>
          <w:sz w:val="20"/>
        </w:rPr>
        <w:t>Required Approvals</w:t>
      </w:r>
      <w:r>
        <w:rPr>
          <w:rFonts w:ascii="Times New Roman" w:hAnsi="Times New Roman"/>
          <w:sz w:val="20"/>
        </w:rPr>
        <w:t xml:space="preserve">”)) and no further filing, consent or authorization is required by the Company, its Subsidiaries, their respective boards of directors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their stockholders or other governing body. This Agreement has been, and the other Transaction Documents to which it is a party will be prior to the Initial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Initial Closing, the Transaction Documents to which each Subsidiary is a party will be duly executed and delivered by each such Subsidiary, and shall constitute the legal, valid and binding obligations of each such Subsidiary, enforceable against each such Subsidiary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hAnsi="Times New Roman"/>
          <w:b/>
          <w:sz w:val="20"/>
        </w:rPr>
        <w:t>Transaction Documents</w:t>
      </w:r>
      <w:r>
        <w:rPr>
          <w:rFonts w:ascii="Times New Roman" w:hAnsi="Times New Roman"/>
          <w:sz w:val="20"/>
        </w:rPr>
        <w:t xml:space="preserve">” means, collectively, this Agreement, the Notes, the Registration Rights Agreement, the Guarantees, the Security Documents, the Irrevocable Transfer Agent Instructions (as defined below) and each of the other agreements and instruments entered into or delivered by any of the parties hereto in connection with the transactions contemplated hereby and thereby,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Issuance of Securities</w:t>
      </w:r>
      <w:r>
        <w:rPr>
          <w:rFonts w:ascii="Times New Roman" w:hAnsi="Times New Roman"/>
          <w:sz w:val="20"/>
        </w:rPr>
        <w:t>. The issuance of the Notes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hAnsi="Times New Roman"/>
          <w:b/>
          <w:sz w:val="20"/>
        </w:rPr>
        <w:t>Liens</w:t>
      </w:r>
      <w:r>
        <w:rPr>
          <w:rFonts w:ascii="Times New Roman" w:hAnsi="Times New Roman"/>
          <w:sz w:val="20"/>
        </w:rPr>
        <w:t xml:space="preserve">”) with respect to the issuance thereof. As of each Closing, the Company shall have reserved from its duly authorized capital stock not less than 300% of the maximum number of Conversion Shares issuable upon conversion of the Notes (assuming for purposes hereof that (w) all Additional Notes issuable hereunder shall have been issued as of such time of determination, (x) the Notes are convertible at the Alternate Conversion Price (as defined in the Notes) assuming an Alternate Conversion Date (as defined in the Note) as of the date hereof, (y) interest on the Notes shall accrue through the first anniversary of the Initial Closing Date and will be converted in shares of Common Stock at a conversion price equal to the Alternate Conversion Price assuming an Alternate Conversion Date as of the date hereof and (z) any such conversion shall not take into account any limitations on the conversion of the Notes set forth in the Notes). Upon issuance or conversion in accordance with the Notes, the Conversion Shares,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 Upon receipt of the Securities, each of the Buyers will have good and marketable title to the Securities. At the earliest time that the Company or another offering participant made a bona fide offer (within the meaning of Rule 164(h)(2) under the 1933 Act) relating to any of the Securities, the Company was not and is not an “Ineligible Issuer” (as defined in Rule 405 under the 1933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Conflicts</w:t>
      </w:r>
      <w:r>
        <w:rPr>
          <w:rFonts w:ascii="Times New Roman" w:hAnsi="Times New Roman"/>
          <w:sz w:val="20"/>
        </w:rPr>
        <w:t>. The execution, delivery and performance of the Transaction Documents by the Company and its Subsidiaries and the consummation by the Company and its Subsidiaries of the transactions contemplated hereby and thereby (including, without limitation, the issuance of the Notes and the Conversion Shares and the reservation for issuance of the Conversion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Times New Roman" w:hAnsi="Times New Roman"/>
          <w:b/>
          <w:sz w:val="20"/>
        </w:rPr>
        <w:t>Principal Market</w:t>
      </w:r>
      <w:r>
        <w:rPr>
          <w:rFonts w:ascii="Times New Roman" w:hAnsi="Times New Roman"/>
          <w:sz w:val="20"/>
        </w:rPr>
        <w:t xml:space="preserve">”) and including all applicable foreign, federal and state laws, rules and regulations) applicable to the Company or any of its Subsidiaries or by which any property or asset of the Company or any of its Subsidiaries is bound or affected.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Consents</w:t>
      </w:r>
      <w:r>
        <w:rPr>
          <w:rFonts w:ascii="Times New Roman" w:hAnsi="Times New Roman"/>
          <w:sz w:val="20"/>
        </w:rPr>
        <w:t>. Neither the Company nor any Subsidiary is required to obtain any consent from, authorization or order of, or make any filing or registration with (other than the Required Approvals), any Governmental Entity (as defined below) or any regulatory or self-regulatory agency or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applicable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would reasonably lead to delisting or suspension of the Common Stock in the foreseeable future. “</w:t>
      </w:r>
      <w:r>
        <w:rPr>
          <w:rFonts w:ascii="Times New Roman" w:hAnsi="Times New Roman"/>
          <w:b/>
          <w:sz w:val="20"/>
        </w:rPr>
        <w:t>Governmental Entity</w:t>
      </w:r>
      <w:r>
        <w:rPr>
          <w:rFonts w:ascii="Times New Roman" w:hAnsi="Times New Roman"/>
          <w:sz w:val="20"/>
        </w:rPr>
        <w:t xml:space="preserve">”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Acknowledgment Regarding Buyer’s Purchase of Securities</w:t>
      </w:r>
      <w:r>
        <w:rPr>
          <w:rFonts w:ascii="Times New Roman" w:hAnsi="Times New Roman"/>
          <w:sz w:val="20"/>
        </w:rPr>
        <w:t xml:space="preserve">.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an “affiliate” (as defined in Rule 144) of the Company or any of its Subsidiaries or (iii)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knowledge, a “beneficial owner” of more than 10% of the shares of Common Stock (as defined for purposes of Rule 13d-3 of the Securities Exchange Act of 1934, as amended (the “</w:t>
      </w:r>
      <w:r>
        <w:rPr>
          <w:rFonts w:ascii="Times New Roman" w:hAnsi="Times New Roman"/>
          <w:b/>
          <w:sz w:val="20"/>
        </w:rPr>
        <w:t>1934 Act</w:t>
      </w:r>
      <w:r>
        <w:rPr>
          <w:rFonts w:ascii="Times New Roman" w:hAnsi="Times New Roman"/>
          <w:sz w:val="20"/>
        </w:rPr>
        <w:t xml:space="preserve">”)).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and each Subsidiary’s decision to enter into the Transaction Documents to which it is a party has been based solely on the independent evaluation by the Company, each Subsidiary and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Placement Agent’s Fees</w:t>
      </w:r>
      <w:r>
        <w:rPr>
          <w:rFonts w:ascii="Times New Roman" w:hAnsi="Times New Roman"/>
          <w:sz w:val="20"/>
        </w:rPr>
        <w:t xml:space="preserve">. The Company shall be responsible for the payment of any placement agent fees, financial advisory fees, or brokers’ commissions (other than for Persons engaged by any Buyer or its investment advisor) relating to or arising out of the transactions contemplated hereby, in connection with the sale of the Notes. The Company shall pay, and hold each Buyer harmless against, any liability, loss or expense (including, without limitation, attorneys’ fees and out-of-pocket expenses) arising in connection with any such claim arising out of any action by the Company. Neither the Company nor any of its Subsidiaries has engaged any placement agent or other agent in connection with the offer or 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Integrated Offering</w:t>
      </w:r>
      <w:r>
        <w:rPr>
          <w:rFonts w:ascii="Times New Roman" w:hAnsi="Times New Roman"/>
          <w:sz w:val="20"/>
        </w:rPr>
        <w:t xml:space="preserve">.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Dilutive Effect</w:t>
      </w:r>
      <w:r>
        <w:rPr>
          <w:rFonts w:ascii="Times New Roman" w:hAnsi="Times New Roman"/>
          <w:sz w:val="20"/>
        </w:rPr>
        <w:t xml:space="preserve">. The Company understands and acknowledges that the number of Conversion Shares will increase in certain circumstances. The Company further acknowledges that its obligation to issue the Conversion Shares pursuant to the terms of the Notes in accordance with this Agreement, is absolute and unconditional regardless of the dilutive effect that such issuance may have on the ownership interests of other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Application of Takeover Protections; Rights Agreement</w:t>
      </w:r>
      <w:r>
        <w:rPr>
          <w:rFonts w:ascii="Times New Roman" w:hAnsi="Times New Roman"/>
          <w:sz w:val="20"/>
        </w:rPr>
        <w:t xml:space="preserve">.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 Documents; Financial Statements</w:t>
      </w:r>
      <w:r>
        <w:rPr>
          <w:rFonts w:ascii="Times New Roman" w:hAnsi="Times New Roman"/>
          <w:sz w:val="20"/>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hAnsi="Times New Roman"/>
          <w:b/>
          <w:sz w:val="20"/>
        </w:rPr>
        <w:t>SEC Documents</w:t>
      </w:r>
      <w:r>
        <w:rPr>
          <w:rFonts w:ascii="Times New Roman" w:hAnsi="Times New Roman"/>
          <w:sz w:val="20"/>
        </w:rPr>
        <w:t>”).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hAnsi="Times New Roman"/>
          <w:b/>
          <w:sz w:val="20"/>
        </w:rPr>
        <w:t>GAAP</w:t>
      </w:r>
      <w:r>
        <w:rPr>
          <w:rFonts w:ascii="Times New Roman" w:hAnsi="Times New Roman"/>
          <w:sz w:val="20"/>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hAnsi="Times New Roman"/>
          <w:b/>
          <w:sz w:val="20"/>
        </w:rPr>
        <w:t>Financial Statements</w:t>
      </w:r>
      <w:r>
        <w:rPr>
          <w:rFonts w:ascii="Times New Roman" w:hAnsi="Times New Roman"/>
          <w:sz w:val="20"/>
        </w:rPr>
        <w:t xml:space="preserve">”), nor is the Company currently aware of facts or circumstances which would require the Company to amend or restate any of the Financial Statements, in each case, in order for any of the Financial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Absence of Certain Changes</w:t>
      </w:r>
      <w:r>
        <w:rPr>
          <w:rFonts w:ascii="Times New Roman" w:hAnsi="Times New Roman"/>
          <w:sz w:val="20"/>
        </w:rPr>
        <w:t>. Since December 31, 2025, there has been no material adverse change and no material adverse development in the business, assets, liabilities, properties, operations (including results thereof), condition (financial or otherwise) or prospects of the Company or any of its Subsidiaries. Since December 31, 2025,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applicable Closing, will not be Insolvent (as defined below). For purposes of this Section 3(l), “</w:t>
      </w:r>
      <w:r>
        <w:rPr>
          <w:rFonts w:ascii="Times New Roman" w:hAnsi="Times New Roman"/>
          <w:b/>
          <w:sz w:val="20"/>
        </w:rPr>
        <w:t>Insolvent</w:t>
      </w:r>
      <w:r>
        <w:rPr>
          <w:rFonts w:ascii="Times New Roman" w:hAnsi="Times New Roman"/>
          <w:sz w:val="20"/>
        </w:rPr>
        <w:t xml:space="preserve">”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Undisclosed Events, Liabilities, Developments or Circumstances</w:t>
      </w:r>
      <w:r>
        <w:rPr>
          <w:rFonts w:ascii="Times New Roman" w:hAnsi="Times New Roman"/>
          <w:sz w:val="20"/>
        </w:rPr>
        <w:t xml:space="preserve">.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(A)(i) would be required to be disclosed by the Company under applicable securities laws on a registration statement on a form the Company is currently eligible to use relating to an issuance and sale by the Company of the Notes, (ii) would reasonably be expected to have a material effect on a Buyer’s investment decision with respect to the Notes or (iii) would have a Material Adverse Effect and (B) has not been publicly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Conduct of Business; Regulatory Permits</w:t>
      </w:r>
      <w:r>
        <w:rPr>
          <w:rFonts w:ascii="Times New Roman" w:hAnsi="Times New Roman"/>
          <w:sz w:val="20"/>
        </w:rPr>
        <w:t xml:space="preserve">.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the Company is not in violation of any of the rules, regulations or requirements of the Principal Market and has no knowledge of any facts or circumstances that would reasonably lead to delisting or suspension of the Common Stock by the Principal Market in the foreseeable future. During the two years prior to the date hereof,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other than those from the Principal Markets as disclosed in the SEC Documents.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Foreign Corrupt Practices</w:t>
      </w:r>
      <w:r>
        <w:rPr>
          <w:rFonts w:ascii="Times New Roman" w:hAnsi="Times New Roman"/>
          <w:sz w:val="20"/>
        </w:rPr>
        <w:t>. Neither the Company, the Company’s subsidiary or any director, officer, agent, employee, nor any other person acting for or on behalf of the foregoing (individually and collectively, a “</w:t>
      </w:r>
      <w:r>
        <w:rPr>
          <w:rFonts w:ascii="Times New Roman" w:hAnsi="Times New Roman"/>
          <w:b/>
          <w:sz w:val="20"/>
        </w:rPr>
        <w:t>Company Affiliate</w:t>
      </w:r>
      <w:r>
        <w:rPr>
          <w:rFonts w:ascii="Times New Roman" w:hAnsi="Times New Roman"/>
          <w:sz w:val="20"/>
        </w:rPr>
        <w:t>”) have violated the U.S. Foreign Corrupt Practices Act (the “</w:t>
      </w:r>
      <w:r>
        <w:rPr>
          <w:rFonts w:ascii="Times New Roman" w:hAnsi="Times New Roman"/>
          <w:b/>
          <w:sz w:val="20"/>
        </w:rPr>
        <w:t>FCPA</w:t>
      </w:r>
      <w:r>
        <w:rPr>
          <w:rFonts w:ascii="Times New Roman" w:hAnsi="Times New Roman"/>
          <w:sz w:val="20"/>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hAnsi="Times New Roman"/>
          <w:b/>
          <w:sz w:val="20"/>
        </w:rPr>
        <w:t>Government Official</w:t>
      </w:r>
      <w:r>
        <w:rPr>
          <w:rFonts w:ascii="Times New Roman" w:hAnsi="Times New Roman"/>
          <w:sz w:val="20"/>
        </w:rPr>
        <w:t xml:space="preserve">”) or to any person under circumstances where such Company Affiliate knew or was aware of a high probability that all or a portion of such money or thing of value would be offered, given or promised, directly or indirectly, to any Government Official, for the purpose of: </w:t>
      </w:r>
    </w:p>
    <w:p>
      <w:pPr>
        <w:pStyle w:val="TextBody"/>
        <w:bidi w:val="0"/>
        <w:spacing w:before="120" w:after="0"/>
        <w:jc w:val="left"/>
        <w:rPr>
          <w:rFonts w:ascii="Times New Roman" w:hAnsi="Times New Roman"/>
          <w:sz w:val="20"/>
        </w:rPr>
      </w:pPr>
      <w:r>
        <w:rPr>
          <w:rFonts w:ascii="Times New Roman" w:hAnsi="Times New Roman"/>
          <w:sz w:val="20"/>
        </w:rPr>
        <w:t xml:space="preserve">(i)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assisting the Company or its Subsidiaries in obtaining or retaining business for or with, or directing business to,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Sarbanes-Oxley Act</w:t>
      </w:r>
      <w:r>
        <w:rPr>
          <w:rFonts w:ascii="Times New Roman" w:hAnsi="Times New Roman"/>
          <w:sz w:val="20"/>
        </w:rPr>
        <w:t xml:space="preserve">. The Company and each Subsidiary is in compliance with any and all applicable requirements of the Sarbanes-Oxley Act of 2002, as amended, and any and all applicable rules and regulations promulgated by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Transactions With Affiliates</w:t>
      </w:r>
      <w:r>
        <w:rPr>
          <w:rFonts w:ascii="Times New Roman" w:hAnsi="Times New Roman"/>
          <w:sz w:val="20"/>
        </w:rPr>
        <w:t xml:space="preserve">. No current or former employee, partner, director, officer or stockholder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in the Notes)), nor does any such Person receive income from any source other than the Company or its Subsidiaries which relates to the business of the Company or its Subsidiaries or should properly accrue to the Company or its Subsidiaries.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plan approved by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 xml:space="preserve">Equity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Common Stock</w:t>
      </w:r>
      <w:r>
        <w:rPr>
          <w:rFonts w:ascii="Times New Roman" w:hAnsi="Times New Roman"/>
          <w:sz w:val="20"/>
        </w:rPr>
        <w:t xml:space="preserve">” means (x) the Company’s shares of common stock, $0.001 par value per share, and (y) any capital stock into which such common stock shall have been changed or any share capital resulting from a reclassification of such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Preferred Stock</w:t>
      </w:r>
      <w:r>
        <w:rPr>
          <w:rFonts w:ascii="Times New Roman" w:hAnsi="Times New Roman"/>
          <w:sz w:val="20"/>
        </w:rPr>
        <w:t xml:space="preserve">” means (x) the Company’s blank check preferred stock, $0.001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Authorized and Outstanding Capital Stock</w:t>
      </w:r>
      <w:r>
        <w:rPr>
          <w:rFonts w:ascii="Times New Roman" w:hAnsi="Times New Roman"/>
          <w:sz w:val="20"/>
        </w:rPr>
        <w:t>. As of the date hereof, the authorized capital stock of the Company consists of (A) 2,000,000,000 shares of Common Stock, of which, 7,589,774 are issued and outstanding and 4,736,622 shares are reserved for issuance pursuant to Common Stock Equivalents (as defined below) (other than the Notes) exchangeable for, or convertible into, shares of Common Stock and (B) 5,000,000 shares of Preferred Stock, 1,952 of which are issued and outstanding. 10,337 shares of Common Stock are held in the treasury of the Company. “</w:t>
      </w:r>
      <w:r>
        <w:rPr>
          <w:rFonts w:ascii="Times New Roman" w:hAnsi="Times New Roman"/>
          <w:b/>
          <w:sz w:val="20"/>
        </w:rPr>
        <w:t>Common Stock Equivalents</w:t>
      </w:r>
      <w:r>
        <w:rPr>
          <w:rFonts w:ascii="Times New Roman" w:hAnsi="Times New Roman"/>
          <w:sz w:val="20"/>
        </w:rPr>
        <w:t xml:space="preserve">” means any capital stock or other security of the Company or any of its Subsidiaries that is at any time and under any circumstances directly or indirectly convertible into or exchangeable for, or which otherwise entitles the holder thereof to acquire, any capital stock or other security of the Company (including, without limitation, Common Stock)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Valid Issuance; Available Shares; Affiliates</w:t>
      </w:r>
      <w:r>
        <w:rPr>
          <w:rFonts w:ascii="Times New Roman" w:hAnsi="Times New Roman"/>
          <w:sz w:val="20"/>
        </w:rPr>
        <w:t xml:space="preserve">. All of such outstanding shares are duly authorized and have been, or upon issuance will be, validly issued and are fully paid and nonassessable. </w:t>
      </w:r>
      <w:r>
        <w:rPr>
          <w:rFonts w:ascii="Times New Roman" w:hAnsi="Times New Roman"/>
          <w:sz w:val="20"/>
          <w:u w:val="single"/>
        </w:rPr>
        <w:t>Schedule 3(r)(iii)</w:t>
      </w:r>
      <w:r>
        <w:rPr>
          <w:rFonts w:ascii="Times New Roman" w:hAnsi="Times New Roman"/>
          <w:sz w:val="20"/>
        </w:rPr>
        <w:t xml:space="preserve"> sets forth the number of shares of Common Stock that are (A) reserved for issuance pursuant to Common Stock Equivalents (as defined below) (other than the Notes) and (B) that are, as of the date hereof,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Common Stock Equivalents, whether or not presently convertible, have been fully converted (as the case may be) taking account of any limitations on conversion (including “blockers”) contained therein without conceding that such identified Person is a 10% stockholder for purposes of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Existing Securities; Obligations</w:t>
      </w:r>
      <w:r>
        <w:rPr>
          <w:rFonts w:ascii="Times New Roman" w:hAnsi="Times New Roman"/>
          <w:sz w:val="20"/>
        </w:rPr>
        <w:t xml:space="preserve">.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or arrangements under which the Company or any of its Subsidiaries is obligated to register the sale of any of their securities under the 1933 Act (except pursuant to any of the Transaction Documents);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Organizational Documents</w:t>
      </w:r>
      <w:r>
        <w:rPr>
          <w:rFonts w:ascii="Times New Roman" w:hAnsi="Times New Roman"/>
          <w:sz w:val="20"/>
        </w:rPr>
        <w:t>. The Company has furnished to the Buyers true, correct and complete copies of the Company’s Certificate of Incorporation, as amended and as in effect on the date hereof (the “</w:t>
      </w:r>
      <w:r>
        <w:rPr>
          <w:rFonts w:ascii="Times New Roman" w:hAnsi="Times New Roman"/>
          <w:b/>
          <w:sz w:val="20"/>
        </w:rPr>
        <w:t>Certificate</w:t>
      </w:r>
      <w:r>
        <w:rPr>
          <w:rFonts w:ascii="Times New Roman" w:hAnsi="Times New Roman"/>
          <w:sz w:val="20"/>
        </w:rPr>
        <w:t xml:space="preserve"> </w:t>
      </w:r>
      <w:r>
        <w:rPr>
          <w:rFonts w:ascii="Times New Roman" w:hAnsi="Times New Roman"/>
          <w:b/>
          <w:sz w:val="20"/>
        </w:rPr>
        <w:t>of Incorporation</w:t>
      </w:r>
      <w:r>
        <w:rPr>
          <w:rFonts w:ascii="Times New Roman" w:hAnsi="Times New Roman"/>
          <w:sz w:val="20"/>
        </w:rPr>
        <w:t>”), and the Company’s bylaws, as amended and as in effect on the date hereof (the “</w:t>
      </w:r>
      <w:r>
        <w:rPr>
          <w:rFonts w:ascii="Times New Roman" w:hAnsi="Times New Roman"/>
          <w:b/>
          <w:sz w:val="20"/>
        </w:rPr>
        <w:t>Bylaws</w:t>
      </w:r>
      <w:r>
        <w:rPr>
          <w:rFonts w:ascii="Times New Roman" w:hAnsi="Times New Roman"/>
          <w:sz w:val="20"/>
        </w:rPr>
        <w:t xml:space="preserve">”), and the terms of all Common Stock Equivalents and the material rights of the holders thereof in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Indebtedness and Other Contracts</w:t>
      </w:r>
      <w:r>
        <w:rPr>
          <w:rFonts w:ascii="Times New Roman" w:hAnsi="Times New Roman"/>
          <w:sz w:val="20"/>
        </w:rPr>
        <w:t xml:space="preserve">. Neither the Company nor any of its Subsidiaries, (i) except as disclosed on </w:t>
      </w:r>
      <w:r>
        <w:rPr>
          <w:rFonts w:ascii="Times New Roman" w:hAnsi="Times New Roman"/>
          <w:sz w:val="20"/>
          <w:u w:val="single"/>
        </w:rPr>
        <w:t>Schedule 3(s)(i)</w:t>
      </w:r>
      <w:r>
        <w:rPr>
          <w:rFonts w:ascii="Times New Roman" w:hAnsi="Times New Roman"/>
          <w:sz w:val="20"/>
        </w:rPr>
        <w:t>,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would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(x) “</w:t>
      </w:r>
      <w:r>
        <w:rPr>
          <w:rFonts w:ascii="Times New Roman" w:hAnsi="Times New Roman"/>
          <w:b/>
          <w:sz w:val="20"/>
        </w:rPr>
        <w:t>Indebtedness</w:t>
      </w:r>
      <w:r>
        <w:rPr>
          <w:rFonts w:ascii="Times New Roman" w:hAnsi="Times New Roman"/>
          <w:sz w:val="20"/>
        </w:rPr>
        <w:t xml:space="preserve">”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 (y) “</w:t>
      </w:r>
      <w:r>
        <w:rPr>
          <w:rFonts w:ascii="Times New Roman" w:hAnsi="Times New Roman"/>
          <w:b/>
          <w:sz w:val="20"/>
        </w:rPr>
        <w:t>Contingent Obligation</w:t>
      </w:r>
      <w:r>
        <w:rPr>
          <w:rFonts w:ascii="Times New Roman" w:hAnsi="Times New Roman"/>
          <w:sz w:val="20"/>
        </w:rPr>
        <w:t xml:space="preserve">”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Litigation</w:t>
      </w:r>
      <w:r>
        <w:rPr>
          <w:rFonts w:ascii="Times New Roman" w:hAnsi="Times New Roman"/>
          <w:sz w:val="20"/>
        </w:rPr>
        <w:t xml:space="preserve">.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employees,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Insurance</w:t>
      </w:r>
      <w:r>
        <w:rPr>
          <w:rFonts w:ascii="Times New Roman" w:hAnsi="Times New Roman"/>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Employee Relations</w:t>
      </w:r>
      <w:r>
        <w:rPr>
          <w:rFonts w:ascii="Times New Roman" w:hAnsi="Times New Roman"/>
          <w:sz w:val="20"/>
        </w:rPr>
        <w:t xml:space="preserve">.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Title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Real Property</w:t>
      </w:r>
      <w:r>
        <w:rPr>
          <w:rFonts w:ascii="Times New Roman" w:hAnsi="Times New Roman"/>
          <w:sz w:val="20"/>
        </w:rPr>
        <w:t>. Any real property (“</w:t>
      </w:r>
      <w:r>
        <w:rPr>
          <w:rFonts w:ascii="Times New Roman" w:hAnsi="Times New Roman"/>
          <w:b/>
          <w:sz w:val="20"/>
        </w:rPr>
        <w:t>Real Property</w:t>
      </w:r>
      <w:r>
        <w:rPr>
          <w:rFonts w:ascii="Times New Roman" w:hAnsi="Times New Roman"/>
          <w:sz w:val="20"/>
        </w:rPr>
        <w:t xml:space="preserve">”)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Fixtures and Equipment</w:t>
      </w:r>
      <w:r>
        <w:rPr>
          <w:rFonts w:ascii="Times New Roman" w:hAnsi="Times New Roman"/>
          <w:sz w:val="20"/>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hAnsi="Times New Roman"/>
          <w:b/>
          <w:sz w:val="20"/>
        </w:rPr>
        <w:t>Fixtures and Equipment</w:t>
      </w:r>
      <w:r>
        <w:rPr>
          <w:rFonts w:ascii="Times New Roman" w:hAnsi="Times New Roman"/>
          <w:sz w:val="20"/>
        </w:rPr>
        <w:t xml:space="preserve">”).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applicable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Intellectual Property Rights</w:t>
      </w:r>
      <w:r>
        <w:rPr>
          <w:rFonts w:ascii="Times New Roman" w:hAnsi="Times New Roman"/>
          <w:sz w:val="20"/>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hAnsi="Times New Roman"/>
          <w:b/>
          <w:sz w:val="20"/>
        </w:rPr>
        <w:t>Intellectual Property Rights</w:t>
      </w:r>
      <w:r>
        <w:rPr>
          <w:rFonts w:ascii="Times New Roman" w:hAnsi="Times New Roman"/>
          <w:sz w:val="20"/>
        </w:rPr>
        <w:t xml:space="preserve">”) necessary to conduct their respective businesses as now conducted and presently proposed to be conducted. Each of patents owned by the Company or any of its Subsidiaries is listed on </w:t>
      </w:r>
      <w:r>
        <w:rPr>
          <w:rFonts w:ascii="Times New Roman" w:hAnsi="Times New Roman"/>
          <w:sz w:val="20"/>
          <w:u w:val="single"/>
        </w:rPr>
        <w:t>Schedule 3(x)(i)</w:t>
      </w:r>
      <w:r>
        <w:rPr>
          <w:rFonts w:ascii="Times New Roman" w:hAnsi="Times New Roman"/>
          <w:sz w:val="20"/>
        </w:rPr>
        <w:t xml:space="preserve">. Except as set forth in </w:t>
      </w:r>
      <w:r>
        <w:rPr>
          <w:rFonts w:ascii="Times New Roman" w:hAnsi="Times New Roman"/>
          <w:sz w:val="20"/>
          <w:u w:val="single"/>
        </w:rPr>
        <w:t>Schedule 3(x)(ii)</w:t>
      </w:r>
      <w:r>
        <w:rPr>
          <w:rFonts w:ascii="Times New Roman" w:hAnsi="Times New Roman"/>
          <w:sz w:val="20"/>
        </w:rPr>
        <w:t xml:space="preserve">, none of the Company’s Intellectual Property Rights have expired or terminated or have been abandoned or are expected to expire or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are expected to be abandoned, within three years from the date of this Agreement.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Environmental Laws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 w:hAnsi="Times New Roman"/>
                <w:b/>
                <w:sz w:val="20"/>
              </w:rPr>
              <w:t>Environmental Laws</w:t>
            </w:r>
            <w:r>
              <w:rPr>
                <w:rFonts w:ascii="Times New Roman" w:hAnsi="Times New Roman"/>
                <w:sz w:val="20"/>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hAnsi="Times New Roman"/>
                <w:b/>
                <w:sz w:val="20"/>
              </w:rPr>
              <w:t>Hazardous Materials</w:t>
            </w:r>
            <w:r>
              <w:rPr>
                <w:rFonts w:ascii="Times New Roman" w:hAnsi="Times New Roman"/>
                <w:sz w:val="20"/>
              </w:rPr>
              <w:t xml:space="preserve">”)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Hazardous Materials (A) have been disposed of or otherwise released from any Real Property of the Company or any of its Subsidiaries in violation of any Environmental Laws; or (B) 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None of the Real Properties are on any federal or state “Superfund” list or Liability Information System (“</w:t>
            </w:r>
            <w:r>
              <w:rPr>
                <w:rFonts w:ascii="Times New Roman" w:hAnsi="Times New Roman"/>
                <w:b/>
                <w:sz w:val="20"/>
              </w:rPr>
              <w:t>CERCLIS</w:t>
            </w:r>
            <w:r>
              <w:rPr>
                <w:rFonts w:ascii="Times New Roman" w:hAnsi="Times New Roman"/>
                <w:sz w:val="20"/>
              </w:rPr>
              <w:t xml:space="preserve">”) list or any state environmental agency list of sites under consideration for CERCLIS, nor subject to any environmental related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Subsidiary Rights</w:t>
      </w:r>
      <w:r>
        <w:rPr>
          <w:rFonts w:ascii="Times New Roman" w:hAnsi="Times New Roman"/>
          <w:sz w:val="20"/>
        </w:rPr>
        <w:t xml:space="preserve">. The Company or one of its Subsidiaries has the unrestricted right to vote, and (subject to limitations imposed by applicable law) to receive dividends and distributions on, all capital securities of its Subsidiaries as owned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Tax Status</w:t>
      </w:r>
      <w:r>
        <w:rPr>
          <w:rFonts w:ascii="Times New Roman" w:hAnsi="Times New Roman"/>
          <w:sz w:val="20"/>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 The Company is not operated in such a manner as to qualify as a passive foreign investment company, as defined in Section 1297 of the Internal Revenue Code of 1986, as amended (the “</w:t>
      </w:r>
      <w:r>
        <w:rPr>
          <w:rFonts w:ascii="Times New Roman" w:hAnsi="Times New Roman"/>
          <w:b/>
          <w:sz w:val="20"/>
        </w:rPr>
        <w:t>Code</w:t>
      </w:r>
      <w:r>
        <w:rPr>
          <w:rFonts w:ascii="Times New Roman" w:hAnsi="Times New Roman"/>
          <w:sz w:val="20"/>
        </w:rPr>
        <w:t>”). The net operating loss carryforwards (“</w:t>
      </w:r>
      <w:r>
        <w:rPr>
          <w:rFonts w:ascii="Times New Roman" w:hAnsi="Times New Roman"/>
          <w:b/>
          <w:sz w:val="20"/>
        </w:rPr>
        <w:t>NOLs</w:t>
      </w:r>
      <w:r>
        <w:rPr>
          <w:rFonts w:ascii="Times New Roman" w:hAnsi="Times New Roman"/>
          <w:sz w:val="20"/>
        </w:rPr>
        <w:t xml:space="preserve">”)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Internal Accounting and Disclosure Controls</w:t>
      </w:r>
      <w:r>
        <w:rPr>
          <w:rFonts w:ascii="Times New Roman" w:hAnsi="Times New Roman"/>
          <w:sz w:val="20"/>
        </w:rPr>
        <w:t xml:space="preserve">.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Off Balance Sheet Arrangements</w:t>
      </w:r>
      <w:r>
        <w:rPr>
          <w:rFonts w:ascii="Times New Roman" w:hAnsi="Times New Roman"/>
          <w:sz w:val="20"/>
        </w:rPr>
        <w:t xml:space="preserve">.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Investment Company Status</w:t>
      </w:r>
      <w:r>
        <w:rPr>
          <w:rFonts w:ascii="Times New Roman" w:hAnsi="Times New Roman"/>
          <w:sz w:val="20"/>
        </w:rPr>
        <w:t xml:space="preserve">.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Acknowledgement Regarding Buyers’ Trading Activity</w:t>
      </w:r>
      <w:r>
        <w:rPr>
          <w:rFonts w:ascii="Times New Roman" w:hAnsi="Times New Roman"/>
          <w:sz w:val="20"/>
        </w:rPr>
        <w:t xml:space="preserve">.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conversion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(as defined below)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Conversion Shares, as applicable,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Notes or any other Transaction Document or any of the documents executed in connection herewith or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Manipulation of Price</w:t>
      </w:r>
      <w:r>
        <w:rPr>
          <w:rFonts w:ascii="Times New Roman" w:hAnsi="Times New Roman"/>
          <w:sz w:val="20"/>
        </w:rPr>
        <w:t xml:space="preserve">.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U.S. Real Property Holding Corporation</w:t>
      </w:r>
      <w:r>
        <w:rPr>
          <w:rFonts w:ascii="Times New Roman" w:hAnsi="Times New Roman"/>
          <w:sz w:val="20"/>
        </w:rPr>
        <w:t xml:space="preserve">.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Transfer Taxes</w:t>
      </w:r>
      <w:r>
        <w:rPr>
          <w:rFonts w:ascii="Times New Roman" w:hAnsi="Times New Roman"/>
          <w:sz w:val="20"/>
        </w:rPr>
        <w:t xml:space="preserve"> . On the applicable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Bank Holding Company Act; Regulation U or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Neither the Company nor any of its Subsidiaries is subject to the Bank Holding Company Act of 1956, as amended (the “</w:t>
      </w:r>
      <w:r>
        <w:rPr>
          <w:rFonts w:ascii="Times New Roman" w:hAnsi="Times New Roman"/>
          <w:b/>
          <w:sz w:val="20"/>
        </w:rPr>
        <w:t>BHCA</w:t>
      </w:r>
      <w:r>
        <w:rPr>
          <w:rFonts w:ascii="Times New Roman" w:hAnsi="Times New Roman"/>
          <w:sz w:val="20"/>
        </w:rPr>
        <w:t>”) and to regulation by the Board of Governors of the Federal Reserve System of the United States (the “</w:t>
      </w:r>
      <w:r>
        <w:rPr>
          <w:rFonts w:ascii="Times New Roman" w:hAnsi="Times New Roman"/>
          <w:b/>
          <w:sz w:val="20"/>
        </w:rPr>
        <w:t>Federal Reserve</w:t>
      </w:r>
      <w:r>
        <w:rPr>
          <w:rFonts w:ascii="Times New Roman" w:hAnsi="Times New Roman"/>
          <w:sz w:val="20"/>
        </w:rPr>
        <w:t xml:space="p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 </w:t>
      </w:r>
    </w:p>
    <w:p>
      <w:pPr>
        <w:pStyle w:val="TextBody"/>
        <w:bidi w:val="0"/>
        <w:spacing w:before="120" w:after="0"/>
        <w:jc w:val="left"/>
        <w:rPr>
          <w:rFonts w:ascii="Times New Roman" w:hAnsi="Times New Roman"/>
          <w:sz w:val="20"/>
        </w:rPr>
      </w:pPr>
      <w:r>
        <w:rPr>
          <w:rFonts w:ascii="Times New Roman" w:hAnsi="Times New Roman"/>
          <w:sz w:val="20"/>
        </w:rPr>
        <w:t xml:space="preserve">(ii) The sale of the Notes, the use of proceeds thereof and the other transactions contemplated thereby or by the other Transaction Documents, will not violate or be inconsistent with the provisions of Regulation U or X of the Board of Governors of the Federal Reserve.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Shell Company Status</w:t>
      </w:r>
      <w:r>
        <w:rPr>
          <w:rFonts w:ascii="Times New Roman" w:hAnsi="Times New Roman"/>
          <w:sz w:val="20"/>
        </w:rPr>
        <w:t xml:space="preserve">. The Company is not, and has never been, an issuer identified in, or subject to, Rule 144(i).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Illegal or Unauthorized Payments; Political Contributions</w:t>
      </w:r>
      <w:r>
        <w:rPr>
          <w:rFonts w:ascii="Times New Roman" w:hAnsi="Times New Roman"/>
          <w:sz w:val="20"/>
        </w:rPr>
        <w:t xml:space="preserve">.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Money Laundering</w:t>
      </w:r>
      <w:r>
        <w:rPr>
          <w:rFonts w:ascii="Times New Roman" w:hAnsi="Times New Roman"/>
          <w:sz w:val="20"/>
        </w:rPr>
        <w:t xml:space="preserve">.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 </w:t>
      </w:r>
    </w:p>
    <w:p>
      <w:pPr>
        <w:pStyle w:val="TextBody"/>
        <w:bidi w:val="0"/>
        <w:spacing w:before="24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Management</w:t>
      </w:r>
      <w:r>
        <w:rPr>
          <w:rFonts w:ascii="Times New Roman" w:hAnsi="Times New Roman"/>
          <w:sz w:val="20"/>
        </w:rPr>
        <w:t xml:space="preserve">. To the knowledge of the Company, during the past five year period, no current or former officer or director or no current ten percent (10%) or greater stockholder of the Company or any of its Subsidiaries has been the subject of: </w:t>
      </w:r>
    </w:p>
    <w:p>
      <w:pPr>
        <w:pStyle w:val="TextBody"/>
        <w:bidi w:val="0"/>
        <w:spacing w:before="120" w:after="0"/>
        <w:jc w:val="left"/>
        <w:rPr>
          <w:rFonts w:ascii="Times New Roman" w:hAnsi="Times New Roman"/>
          <w:sz w:val="20"/>
        </w:rPr>
      </w:pPr>
      <w:r>
        <w:rPr>
          <w:rFonts w:ascii="Times New Roman" w:hAnsi="Times New Roman"/>
          <w:sz w:val="20"/>
        </w:rPr>
        <w:t xml:space="preserve">(i) 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 </w:t>
      </w:r>
    </w:p>
    <w:p>
      <w:pPr>
        <w:pStyle w:val="TextBody"/>
        <w:bidi w:val="0"/>
        <w:spacing w:before="120" w:after="0"/>
        <w:jc w:val="left"/>
        <w:rPr>
          <w:rFonts w:ascii="Times New Roman" w:hAnsi="Times New Roman"/>
          <w:sz w:val="20"/>
        </w:rPr>
      </w:pPr>
      <w:r>
        <w:rPr>
          <w:rFonts w:ascii="Times New Roman" w:hAnsi="Times New Roman"/>
          <w:sz w:val="20"/>
        </w:rPr>
        <w:t xml:space="preserve">(ii) a conviction in a criminal proceeding or a named subject of a pending criminal proceeding (excluding traffic violations that do not relate to driving while intoxicated or driving under the influence); </w:t>
      </w:r>
    </w:p>
    <w:p>
      <w:pPr>
        <w:pStyle w:val="TextBody"/>
        <w:bidi w:val="0"/>
        <w:spacing w:before="120" w:after="0"/>
        <w:jc w:val="left"/>
        <w:rPr>
          <w:rFonts w:ascii="Times New Roman" w:hAnsi="Times New Roman"/>
          <w:sz w:val="20"/>
        </w:rPr>
      </w:pPr>
      <w:r>
        <w:rPr>
          <w:rFonts w:ascii="Times New Roman" w:hAnsi="Times New Roman"/>
          <w:sz w:val="20"/>
        </w:rPr>
        <w:t xml:space="preserve">(iii) any order, judgment or decree, not subsequently reversed, suspended or vacated, of any court of competent jurisdiction, permanently or temporarily enjoining any such person from, or otherwise limiting, the following activities: </w:t>
      </w:r>
    </w:p>
    <w:p>
      <w:pPr>
        <w:pStyle w:val="TextBody"/>
        <w:bidi w:val="0"/>
        <w:spacing w:before="120" w:after="0"/>
        <w:jc w:val="left"/>
        <w:rPr>
          <w:rFonts w:ascii="Times New Roman" w:hAnsi="Times New Roman"/>
          <w:sz w:val="20"/>
        </w:rPr>
      </w:pPr>
      <w:r>
        <w:rPr>
          <w:rFonts w:ascii="Times New Roman" w:hAnsi="Times New Roman"/>
          <w:sz w:val="20"/>
        </w:rPr>
        <w:t xml:space="preserve">(1) 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Engaging in any particular type of business practice; or </w:t>
      </w:r>
    </w:p>
    <w:p>
      <w:pPr>
        <w:pStyle w:val="TextBody"/>
        <w:bidi w:val="0"/>
        <w:spacing w:before="120" w:after="0"/>
        <w:jc w:val="left"/>
        <w:rPr>
          <w:rFonts w:ascii="Times New Roman" w:hAnsi="Times New Roman"/>
          <w:sz w:val="20"/>
        </w:rPr>
      </w:pPr>
      <w:r>
        <w:rPr>
          <w:rFonts w:ascii="Times New Roman" w:hAnsi="Times New Roman"/>
          <w:sz w:val="20"/>
        </w:rPr>
        <w:t xml:space="preserve">(3) Engaging in any activity in connection with the purchase or sale of any security or commodity or in connection with any violation of securities laws or commodities laws; </w:t>
      </w:r>
    </w:p>
    <w:p>
      <w:pPr>
        <w:pStyle w:val="TextBody"/>
        <w:bidi w:val="0"/>
        <w:spacing w:before="120" w:after="0"/>
        <w:jc w:val="left"/>
        <w:rPr>
          <w:rFonts w:ascii="Times New Roman" w:hAnsi="Times New Roman"/>
          <w:sz w:val="20"/>
        </w:rPr>
      </w:pPr>
      <w:r>
        <w:rPr>
          <w:rFonts w:ascii="Times New Roman" w:hAnsi="Times New Roman"/>
          <w:sz w:val="20"/>
        </w:rPr>
        <w:t xml:space="preserve">(iv) 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 </w:t>
      </w:r>
    </w:p>
    <w:p>
      <w:pPr>
        <w:pStyle w:val="TextBody"/>
        <w:bidi w:val="0"/>
        <w:spacing w:before="120" w:after="0"/>
        <w:jc w:val="left"/>
        <w:rPr>
          <w:rFonts w:ascii="Times New Roman" w:hAnsi="Times New Roman"/>
          <w:sz w:val="20"/>
        </w:rPr>
      </w:pPr>
      <w:r>
        <w:rPr>
          <w:rFonts w:ascii="Times New Roman" w:hAnsi="Times New Roman"/>
          <w:sz w:val="20"/>
        </w:rPr>
        <w:t xml:space="preserve">(v) 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 </w:t>
      </w:r>
    </w:p>
    <w:p>
      <w:pPr>
        <w:pStyle w:val="TextBody"/>
        <w:bidi w:val="0"/>
        <w:spacing w:before="120" w:after="0"/>
        <w:jc w:val="left"/>
        <w:rPr>
          <w:rFonts w:ascii="Times New Roman" w:hAnsi="Times New Roman"/>
          <w:sz w:val="20"/>
        </w:rPr>
      </w:pPr>
      <w:r>
        <w:rPr>
          <w:rFonts w:ascii="Times New Roman" w:hAnsi="Times New Roman"/>
          <w:sz w:val="20"/>
        </w:rPr>
        <w:t xml:space="preserve">(vi) a finding by a court of competent jurisdiction in a civil action or by the Commodity Futures Trading Commission to have violated any federal commodities law, and the judgment in such civil action or finding has not been subsequently reversed, suspended or vacated.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Stock Option Plans</w:t>
      </w:r>
      <w:r>
        <w:rPr>
          <w:rFonts w:ascii="Times New Roman" w:hAnsi="Times New Roman"/>
          <w:sz w:val="20"/>
        </w:rPr>
        <w:t xml:space="preserve">.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No Disagreements with Accountants and Lawyers</w:t>
      </w:r>
      <w:r>
        <w:rPr>
          <w:rFonts w:ascii="Times New Roman" w:hAnsi="Times New Roman"/>
          <w:sz w:val="20"/>
        </w:rPr>
        <w:t xml:space="preserve">.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No Additional Agreements</w:t>
      </w:r>
      <w:r>
        <w:rPr>
          <w:rFonts w:ascii="Times New Roman" w:hAnsi="Times New Roman"/>
          <w:sz w:val="20"/>
        </w:rPr>
        <w:t xml:space="preserve">. The Company does not have any agreement or understanding with any Buyer with respect to the transactions contemplated by the Transaction Documents other than as specified in the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Public Utility Holding Company Act</w:t>
      </w:r>
      <w:r>
        <w:rPr>
          <w:rFonts w:ascii="Times New Roman" w:hAnsi="Times New Roman"/>
          <w:sz w:val="20"/>
        </w:rPr>
        <w:t xml:space="preserve">. None of the Company nor any of its Subsidiaries is a “holding company,” or an “affiliate” of a “holding company,” as such terms are defined in the Public Utility Holding Company Act of 2005.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Federal Power Act</w:t>
      </w:r>
      <w:r>
        <w:rPr>
          <w:rFonts w:ascii="Times New Roman" w:hAnsi="Times New Roman"/>
          <w:sz w:val="20"/>
        </w:rPr>
        <w:t xml:space="preserve">. None of the Company nor any of its Subsidiaries is subject to regulation as a “public utility” under the Federal Power Act, as amended. </w:t>
      </w:r>
    </w:p>
    <w:p>
      <w:pPr>
        <w:pStyle w:val="TextBody"/>
        <w:bidi w:val="0"/>
        <w:spacing w:before="24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Ranking of Notes</w:t>
      </w:r>
      <w:r>
        <w:rPr>
          <w:rFonts w:ascii="Times New Roman" w:hAnsi="Times New Roman"/>
          <w:sz w:val="20"/>
        </w:rPr>
        <w:t xml:space="preserve">. No Indebtedness of the Company, at each Closing, will be senior to, or </w:t>
      </w:r>
      <w:r>
        <w:rPr>
          <w:rFonts w:ascii="Times New Roman" w:hAnsi="Times New Roman"/>
          <w:i/>
          <w:sz w:val="20"/>
        </w:rPr>
        <w:t>pari passu</w:t>
      </w:r>
      <w:r>
        <w:rPr>
          <w:rFonts w:ascii="Times New Roman" w:hAnsi="Times New Roman"/>
          <w:sz w:val="20"/>
        </w:rPr>
        <w:t xml:space="preserve"> with, the Notes in right of payment, whether with respect to payment or redemptions, interest, damages, upon liquidation or dissolution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Potential Products; FDA; EMEA.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Company possesses all certificates, authorizations and permits issued by the appropriate federal, state or foreign regulatory authorities necessary to conduct its business as currently conducted, including without limitation all such certificates, authorizations and permits required by the United States Food and Drug Administration (the “</w:t>
      </w:r>
      <w:r>
        <w:rPr>
          <w:rFonts w:ascii="Times New Roman" w:hAnsi="Times New Roman"/>
          <w:b/>
          <w:sz w:val="20"/>
        </w:rPr>
        <w:t>FDA</w:t>
      </w:r>
      <w:r>
        <w:rPr>
          <w:rFonts w:ascii="Times New Roman" w:hAnsi="Times New Roman"/>
          <w:sz w:val="20"/>
        </w:rPr>
        <w:t xml:space="preserve">”) or any other federal, state or foreign agencies or bodies engaged in the regulation of pharmaceuticals or biohazardous materials, except where the failure to so possess such certificates, authorizations and permits, individually or in the aggregate, would not result in a Material Adverse Effect. The Company has not received any notice of proceedings relating to the revocation or modification of any such certificate, authorization or permit which, individually or in the aggregate, if the subject of an unfavorable decision, ruling or finding, would have a Material Adverse Effect. </w:t>
      </w:r>
    </w:p>
    <w:p>
      <w:pPr>
        <w:pStyle w:val="TextBody"/>
        <w:bidi w:val="0"/>
        <w:spacing w:before="120" w:after="0"/>
        <w:jc w:val="left"/>
        <w:rPr>
          <w:rFonts w:ascii="Times New Roman" w:hAnsi="Times New Roman"/>
          <w:sz w:val="20"/>
        </w:rPr>
      </w:pPr>
      <w:r>
        <w:rPr>
          <w:rFonts w:ascii="Times New Roman" w:hAnsi="Times New Roman"/>
          <w:sz w:val="20"/>
        </w:rPr>
        <w:t>(ii) The Company has not received any written notices or statements from the FDA, the European Medicines Agency (the “</w:t>
      </w:r>
      <w:r>
        <w:rPr>
          <w:rFonts w:ascii="Times New Roman" w:hAnsi="Times New Roman"/>
          <w:b/>
          <w:sz w:val="20"/>
        </w:rPr>
        <w:t>EMEA</w:t>
      </w:r>
      <w:r>
        <w:rPr>
          <w:rFonts w:ascii="Times New Roman" w:hAnsi="Times New Roman"/>
          <w:sz w:val="20"/>
        </w:rPr>
        <w:t>”) or any other governmental agency, and otherwise has no knowledge or reason to believe, that (i) any drug candidate of the Company (each a “</w:t>
      </w:r>
      <w:r>
        <w:rPr>
          <w:rFonts w:ascii="Times New Roman" w:hAnsi="Times New Roman"/>
          <w:b/>
          <w:sz w:val="20"/>
        </w:rPr>
        <w:t>Potential Product</w:t>
      </w:r>
      <w:r>
        <w:rPr>
          <w:rFonts w:ascii="Times New Roman" w:hAnsi="Times New Roman"/>
          <w:sz w:val="20"/>
        </w:rPr>
        <w:t xml:space="preserve">”) may or will be rejected or determined to be non-approvable; (ii) a delay in time for review and/or approval of a marketing authorization application or marketing approval application in any jurisdiction for any Potential Product is or may be required, requested or being implemented; (iii) one or more clinical studies for any Potential Product shall or may be requested or required in addition to the clinical studies submitted to the FDA prior to the date hereof as a precondition to or condition of issuance or maintenance of a marketing approval for any Potential Product; (iv) any license, approval, permit or authorization to conduct any clinical trial of or market any product or Potential Product of the Company has been, will be or may be suspended, revoked, modified or limited, except in the cases of clauses (i), (ii), (iii) and (iv) where such rejections, determinations, delays, requests, suspensions, revocations, modifications or limitations might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the Company’s knowledge, the preclinical and clinical testing, application for marketing approval of, manufacture, distribution, promotion and sale of the products and Potential Products of the Company is in compliance, in all material respects, with all laws, rules and regulations applicable to such activities, including without limitation applicable good laboratory practices, good clinical practices and good manufacturing practices, except for such non-compliance as would not, individually or in the aggregate, have a Material Adverse Effect. The Company is not aware of any studies, tests or trial the results of which reasonably call into question the results of the tests and trials conducted by or on behalf of the Company. The Company has not received notice of adverse finding, warning letter or clinical hold notice from the FDA or any non-U.S. counterpart of any of the foregoing, or any untitled letter or other correspondence or notice from the FDA or any other governmental authority or agency or any institutional or ethical review board alleging or asserting noncompliance with any law, rule or regulation applicable in any jurisdiction, except notices, letters, and correspondences and non-U.S. counterparts thereof alleging or asserting such noncompliance as would not, individually or in the aggregate, have a Material Adverse Effect. The Company has not, either voluntarily or involuntarily, initiated, conducted or issued, or caused to be initiated, conducted or issued, any recall, field correction, market withdrawal or replacement, safety alert, warning, “dear doctor” letter, investigator notice, or other notice or action relating to an alleged or potential lack of safety or efficacy of any product or Potential Product of the Company, any alleged product defect of any product or Potential Product of the Company, or any violation of any material applicable law, rule, regulation or any clinical trial or marketing license, approval, permit or authorization for any product or potential product of the Company, and the Company is not aware of any facts or information that would cause it to initiate any such notice or action and has no knowledge or reason to believe that the FDA, the EMEA or any other governmental agency or authority or any institutional or ethical review board or other non-governmental authority intends to impose, require, request or suggest such notice or action. </w:t>
      </w:r>
    </w:p>
    <w:p>
      <w:pPr>
        <w:pStyle w:val="TextBody"/>
        <w:bidi w:val="0"/>
        <w:spacing w:before="240" w:after="0"/>
        <w:jc w:val="left"/>
        <w:rPr>
          <w:rFonts w:ascii="Times New Roman" w:hAnsi="Times New Roman"/>
          <w:sz w:val="20"/>
        </w:rPr>
      </w:pPr>
      <w:r>
        <w:rPr>
          <w:rFonts w:ascii="Times New Roman" w:hAnsi="Times New Roman"/>
          <w:sz w:val="20"/>
        </w:rPr>
        <w:t xml:space="preserve">(vv)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hAnsi="Times New Roman"/>
          <w:b/>
          <w:sz w:val="20"/>
        </w:rPr>
        <w:t>Personal Data</w:t>
      </w:r>
      <w:r>
        <w:rPr>
          <w:rFonts w:ascii="Times New Roman" w:hAnsi="Times New Roman"/>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hAnsi="Times New Roman"/>
          <w:b/>
          <w:sz w:val="20"/>
        </w:rPr>
        <w:t>GDPR</w:t>
      </w:r>
      <w:r>
        <w:rPr>
          <w:rFonts w:ascii="Times New Roman" w:hAnsi="Times New Roman"/>
          <w:sz w:val="20"/>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(v) any other piece of information that allows the identification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hAnsi="Times New Roman"/>
          <w:b/>
          <w:sz w:val="20"/>
        </w:rPr>
        <w:t>Privacy Laws</w:t>
      </w:r>
      <w:r>
        <w:rPr>
          <w:rFonts w:ascii="Times New Roman" w:hAnsi="Times New Roman"/>
          <w:sz w:val="20"/>
        </w:rPr>
        <w:t>”) except in each case, where such would not, either individually or in the aggregate, reasonably be expected to result in a Material Adverse Effect.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sz w:val="20"/>
        </w:rPr>
        <w:t>Policies</w:t>
      </w:r>
      <w:r>
        <w:rPr>
          <w:rFonts w:ascii="Times New Roman" w:hAnsi="Times New Roman"/>
          <w:sz w:val="20"/>
        </w:rPr>
        <w:t xml:space="preserve">”).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Registration Rights</w:t>
      </w:r>
      <w:r>
        <w:rPr>
          <w:rFonts w:ascii="Times New Roman" w:hAnsi="Times New Roman"/>
          <w:sz w:val="20"/>
        </w:rPr>
        <w:t>. No holder of securities of the Company has rights to the registration of any securities of the Company because of the issuance of the Securities hereunder that could expose the Company to material liability or any Buyer to any liability or that could impair the Company’s ability to consummate the issuance and sale of the Securities in the manner, and at the times, contemplated hereby, which rights have not been waived by the holder thereof as of the date hereof.</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(yy) Disclosure. The Company confirms that neither it nor any other Person acting on its behalf has provided any of the Buyers or their agents or counsel with any information that constitutes or would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or any of its Subsidiaries and made available to you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Best Efforts</w:t>
      </w:r>
      <w:r>
        <w:rPr>
          <w:rFonts w:ascii="Times New Roman" w:hAnsi="Times New Roman"/>
          <w:sz w:val="20"/>
        </w:rPr>
        <w:t xml:space="preserve">.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Blue Sky</w:t>
      </w:r>
      <w:r>
        <w:rPr>
          <w:rFonts w:ascii="Times New Roman" w:hAnsi="Times New Roman"/>
          <w:sz w:val="20"/>
        </w:rPr>
        <w:t xml:space="preserve">. The Company shall, on or before each Additional Closing Date, take such action as the Company shall reasonably determine is necessary in order to obtain an exemption for, or to, qualify the Securities for sale to the Buyers at such Additional Closing pursuant to this Agreement under applicable securities or “Blue Sky” laws of the states of the United States (or to obtain an exemption from such qualification), and shall provide evidence of any such action so taken to the Buyers on or prior to such Additional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Reporting Status</w:t>
      </w:r>
      <w:r>
        <w:rPr>
          <w:rFonts w:ascii="Times New Roman" w:hAnsi="Times New Roman"/>
          <w:sz w:val="20"/>
        </w:rPr>
        <w:t xml:space="preserve">. Until the later of (x) the Additional Closing Expiration Date and (y) such date on which the Buyers shall have sold all of the Securities (the “Reporting Period”),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termination.(g) Use of Proceeds. The Company will not use the proceeds from the sale of the Initial Notes or the Second Notes, directly or indirectly, for (i) the satisfaction of any indebtedness of the Company or any of its Subsidiaries, (ii) the redemption or repurchase of any securities of the Company or any of its Subsidiaries, or (iii) the settlement of any outstanding litigation.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Financial Information</w:t>
      </w:r>
      <w:r>
        <w:rPr>
          <w:rFonts w:ascii="Times New Roman" w:hAnsi="Times New Roman"/>
          <w:sz w:val="20"/>
        </w:rPr>
        <w:t xml:space="preserve">. The Company agrees to send the following to each holder of Notes (each, an “Investor”)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Listing</w:t>
      </w:r>
      <w:r>
        <w:rPr>
          <w:rFonts w:ascii="Times New Roman" w:hAnsi="Times New Roman"/>
          <w:sz w:val="20"/>
        </w:rPr>
        <w:t xml:space="preserve">. The Company shall promptly secure the listing or designation for quotation (as the case may be) of all of the Underlying Securities (as defined below)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Underlying Securities from time to time issuable under the terms of the Transaction Documents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national securities exchange or automated quotation system. The Company shall maintain the Common Stock’s listing or authorization for quotation (as the case may be) on The New York Stock Exchange, the NYSE American, the Nasdaq Capital Market, the Nasdaq Global Market or the Nasdaq Global Select Market (each, an “</w:t>
      </w:r>
      <w:r>
        <w:rPr>
          <w:rFonts w:ascii="Times New Roman" w:hAnsi="Times New Roman"/>
          <w:b/>
          <w:sz w:val="20"/>
        </w:rPr>
        <w:t>Eligible Market</w:t>
      </w:r>
      <w:r>
        <w:rPr>
          <w:rFonts w:ascii="Times New Roman" w:hAnsi="Times New Roman"/>
          <w:sz w:val="20"/>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4(i). “</w:t>
      </w:r>
      <w:r>
        <w:rPr>
          <w:rFonts w:ascii="Times New Roman" w:hAnsi="Times New Roman"/>
          <w:b/>
          <w:sz w:val="20"/>
        </w:rPr>
        <w:t>Underlying Securities</w:t>
      </w:r>
      <w:r>
        <w:rPr>
          <w:rFonts w:ascii="Times New Roman" w:hAnsi="Times New Roman"/>
          <w:sz w:val="20"/>
        </w:rPr>
        <w:t xml:space="preserve">” means (i) the Conversion Shares and (ii) any capital stock of the Company issued or issuable with respect to the Conversion Shares or the Notes, respectively,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(as defined in the Notes) into which the shares of Common Stock are converted or exchanged, in each case, without regard to any limitations on conversion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Fees</w:t>
      </w:r>
      <w:r>
        <w:rPr>
          <w:rFonts w:ascii="Times New Roman" w:hAnsi="Times New Roman"/>
          <w:sz w:val="20"/>
        </w:rPr>
        <w:t>. The Company shall reimburse the lead Buyer for all reasonable and documented costs and expenses incurred by it or its affiliates in connection with the structuring, documentation, diligence, negotiation, applicable closing and post-closing, as applicable, of the transactions contemplated by the Transaction Documents up to a maximum amount of $175,000 for the Initial Closing and a maximum amount of $225,000 for all Closings (including, without limitation, as applicable, all reasonable legal fees of outside counsel and disbursements of Honigman LLP, counsel to the lead Buyer, any other reasonable and documented fees and expenses in connection with the structuring, documentation, negotiation and closing of the transactions contemplated by the Transaction Documents and due diligence and regulatory filings in connection therewith) (the “</w:t>
      </w:r>
      <w:r>
        <w:rPr>
          <w:rFonts w:ascii="Times New Roman" w:hAnsi="Times New Roman"/>
          <w:b/>
          <w:sz w:val="20"/>
        </w:rPr>
        <w:t>Transaction Expenses</w:t>
      </w:r>
      <w:r>
        <w:rPr>
          <w:rFonts w:ascii="Times New Roman" w:hAnsi="Times New Roman"/>
          <w:sz w:val="20"/>
        </w:rPr>
        <w:t xml:space="preserve">”) and shall be withheld by the lead Buyer from its Purchase Price at the applicable Closing, provided, that the Company shall promptly reimburse Honigman LLP on demand for all Transaction Expenses not so reimbursed through such withholding at a Closing. The Company shall be responsible for the payment of any placement agent’s fees, financial advisory fees, Controlled Account Bank (as defined in the Notes) fees, transfer agent fees, DTC (as defined below) fees or broker’s commissions (other than for Persons engaged by any Buyer) relating to or arising out of the transactions contemplated hereby.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Pledge of Securities</w:t>
      </w:r>
      <w:r>
        <w:rPr>
          <w:rFonts w:ascii="Times New Roman" w:hAnsi="Times New Roman"/>
          <w:sz w:val="20"/>
        </w:rPr>
        <w:t xml:space="preserve">. Notwithstanding anything to the contrary contained in this Agreement, the Company acknowledges and agrees that the Securities may be pledged by an Investor in connection with a bona fide margin agreement or other loan or financing arrangement that is secured by the Securities. The pledge of Securities shall not be deemed to be a transfer, sale or assignment of the Securities hereunder, and no Investor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Disclosure of Transactions and Other Material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Disclosure of Transaction</w:t>
      </w:r>
      <w:r>
        <w:rPr>
          <w:rFonts w:ascii="Times New Roman" w:hAnsi="Times New Roman"/>
          <w:sz w:val="20"/>
        </w:rPr>
        <w:t>. The Company shall, on or before 9:00 a.m., New York time, on the first (1st) Business Day after the date of this Agreement, issue a press release (the “</w:t>
      </w:r>
      <w:r>
        <w:rPr>
          <w:rFonts w:ascii="Times New Roman" w:hAnsi="Times New Roman"/>
          <w:b/>
          <w:sz w:val="20"/>
        </w:rPr>
        <w:t>Press Release</w:t>
      </w:r>
      <w:r>
        <w:rPr>
          <w:rFonts w:ascii="Times New Roman" w:hAnsi="Times New Roman"/>
          <w:sz w:val="20"/>
        </w:rPr>
        <w:t>”) reasonably acceptable to the Buyers disclosing all the material terms of the transactions contemplated by the Transaction Documents. On or before 9:00 a.m., New York time, on the third (3rd)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Notes and the form of Security Documents) (including all attachments, the “</w:t>
      </w:r>
      <w:r>
        <w:rPr>
          <w:rFonts w:ascii="Times New Roman" w:hAnsi="Times New Roman"/>
          <w:b/>
          <w:sz w:val="20"/>
        </w:rPr>
        <w:t>Initial</w:t>
      </w:r>
      <w:r>
        <w:rPr>
          <w:rFonts w:ascii="Times New Roman" w:hAnsi="Times New Roman"/>
          <w:sz w:val="20"/>
        </w:rPr>
        <w:t xml:space="preserve"> </w:t>
      </w:r>
      <w:r>
        <w:rPr>
          <w:rFonts w:ascii="Times New Roman" w:hAnsi="Times New Roman"/>
          <w:b/>
          <w:sz w:val="20"/>
        </w:rPr>
        <w:t>8-K Filing</w:t>
      </w:r>
      <w:r>
        <w:rPr>
          <w:rFonts w:ascii="Times New Roman" w:hAnsi="Times New Roman"/>
          <w:sz w:val="20"/>
        </w:rPr>
        <w:t>”). From and after the filing of the Initial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Initial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From and after the filing of the Initial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The Company shall, on or before 9:30 a.m., New York time, on the first (1st) Business Day after the Company delivers to any Buyer (or receives from any Buyer, as applicable) an Additional Closing, either issue a press release (the “</w:t>
      </w:r>
      <w:r>
        <w:rPr>
          <w:rFonts w:ascii="Times New Roman" w:hAnsi="Times New Roman"/>
          <w:b/>
          <w:sz w:val="20"/>
        </w:rPr>
        <w:t>Press Release</w:t>
      </w:r>
      <w:r>
        <w:rPr>
          <w:rFonts w:ascii="Times New Roman" w:hAnsi="Times New Roman"/>
          <w:sz w:val="20"/>
        </w:rPr>
        <w:t>”) or file a Current Report on Form 8-K (the “</w:t>
      </w:r>
      <w:r>
        <w:rPr>
          <w:rFonts w:ascii="Times New Roman" w:hAnsi="Times New Roman"/>
          <w:b/>
          <w:sz w:val="20"/>
        </w:rPr>
        <w:t>Additional 8-K Filing</w:t>
      </w:r>
      <w:r>
        <w:rPr>
          <w:rFonts w:ascii="Times New Roman" w:hAnsi="Times New Roman"/>
          <w:sz w:val="20"/>
        </w:rPr>
        <w:t>”, and together with the Initial 8-K Filing, the “</w:t>
      </w:r>
      <w:r>
        <w:rPr>
          <w:rFonts w:ascii="Times New Roman" w:hAnsi="Times New Roman"/>
          <w:b/>
          <w:sz w:val="20"/>
        </w:rPr>
        <w:t>8-K Filings</w:t>
      </w:r>
      <w:r>
        <w:rPr>
          <w:rFonts w:ascii="Times New Roman" w:hAnsi="Times New Roman"/>
          <w:sz w:val="20"/>
        </w:rPr>
        <w:t xml:space="preserve">”), in each case reasonably acceptable to such Buyer participation in such Additional Closing, disclosing that “an institutional investor” has elected to deliver an Additional Closing Notice to the Company or the Company has elected to effect an Additional Closing, as applicable. From and after the filing of the Press Release or Additional 8-K Filing, solely to the extent such Additional Closing Notice constitutes material non-public information (as specified by the Company in its acknowledgement to such applicable Additional Optional Closing Notice),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Additional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Limitations on Disclosure</w:t>
      </w:r>
      <w:r>
        <w:rPr>
          <w:rFonts w:ascii="Times New Roman" w:hAnsi="Times New Roman"/>
          <w:sz w:val="20"/>
        </w:rPr>
        <w:t xml:space="preserve">.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including, without limitation, Section 4(q) of this Agreement,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 and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Other Confidential Information</w:t>
      </w:r>
      <w:r>
        <w:rPr>
          <w:rFonts w:ascii="Times New Roman" w:hAnsi="Times New Roman"/>
          <w:sz w:val="20"/>
        </w:rPr>
        <w:t xml:space="preserve">. </w:t>
      </w:r>
      <w:r>
        <w:rPr>
          <w:rFonts w:ascii="Times New Roman" w:hAnsi="Times New Roman"/>
          <w:sz w:val="20"/>
          <w:u w:val="single"/>
        </w:rPr>
        <w:t>Disclosure Failures; Disclosure Delay Payments</w:t>
      </w:r>
      <w:r>
        <w:rPr>
          <w:rFonts w:ascii="Times New Roman" w:hAnsi="Times New Roman"/>
          <w:sz w:val="20"/>
        </w:rPr>
        <w:t xml:space="preserve">. In addition to other remedies set forth in this Section 4(l), and without limiting anything set forth in any other Transaction Document, at any time after the applicable Closing Date if the Company, any of its Subsidiaries, or any of their respective officers, directors, employees or agents, provides any Buyer with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relating to the Company or any of its Subsidiaries (each, the “</w:t>
      </w:r>
      <w:r>
        <w:rPr>
          <w:rFonts w:ascii="Times New Roman" w:hAnsi="Times New Roman"/>
          <w:b/>
          <w:sz w:val="20"/>
        </w:rPr>
        <w:t>Confidential Information</w:t>
      </w:r>
      <w:r>
        <w:rPr>
          <w:rFonts w:ascii="Times New Roman" w:hAnsi="Times New Roman"/>
          <w:sz w:val="20"/>
        </w:rPr>
        <w:t>”), the Company shall, on or prior to the applicable Required Disclosure Date (as defined below), publicly disclose such Confidential Information on a Current Report on Form 8-K or otherwise (each, a “</w:t>
      </w:r>
      <w:r>
        <w:rPr>
          <w:rFonts w:ascii="Times New Roman" w:hAnsi="Times New Roman"/>
          <w:b/>
          <w:sz w:val="20"/>
        </w:rPr>
        <w:t>Disclosure</w:t>
      </w:r>
      <w:r>
        <w:rPr>
          <w:rFonts w:ascii="Times New Roman" w:hAnsi="Times New Roman"/>
          <w:sz w:val="20"/>
        </w:rPr>
        <w:t xml:space="preserve">”). From and after such Disclosure, the Company shall have disclosed all Confidential Information provided to such Buyer by the Company or any of its Subsidiaries or any of their respective officers, directors, employees or agents in connection with the transactions contemplated by the Transaction Documents.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In the event that the Company fails to effect such Disclosure on or prior to the </w:t>
      </w:r>
      <w:r>
        <w:rPr>
          <w:rFonts w:ascii="Times New Roman" w:hAnsi="Times New Roman"/>
          <w:b/>
          <w:sz w:val="20"/>
        </w:rPr>
        <w:t>Required Disclosure Date</w:t>
      </w:r>
      <w:r>
        <w:rPr>
          <w:rFonts w:ascii="Times New Roman" w:hAnsi="Times New Roman"/>
          <w:sz w:val="20"/>
        </w:rPr>
        <w:t xml:space="preserve"> and such Buyer shall have possessed Confidential Information for at least ten (10) consecutive Trading Days (as defined in the Notes) (each, a “</w:t>
      </w:r>
      <w:r>
        <w:rPr>
          <w:rFonts w:ascii="Times New Roman" w:hAnsi="Times New Roman"/>
          <w:b/>
          <w:sz w:val="20"/>
        </w:rPr>
        <w:t>Disclosure Failure</w:t>
      </w:r>
      <w:r>
        <w:rPr>
          <w:rFonts w:ascii="Times New Roman" w:hAnsi="Times New Roman"/>
          <w:sz w:val="20"/>
        </w:rPr>
        <w:t>”), then, as partial relief for the damages to such Buyer by reason of any such delay in, or reduction of, its ability to buy or sell shares of Common Stock after such Required Disclosure Date (which remedy shall not be exclusive of any other remedies available at law or in equity), the Company shall pay to such Buyer an amount in cash equal to the greater of (I) two percent (2%) of the aggregate Purchase Price and (II) the applicable Disclosure Restitution Amount, on each of the following dates (each, a “</w:t>
      </w:r>
      <w:r>
        <w:rPr>
          <w:rFonts w:ascii="Times New Roman" w:hAnsi="Times New Roman"/>
          <w:b/>
          <w:sz w:val="20"/>
        </w:rPr>
        <w:t>Disclosure Delay Payment Date</w:t>
      </w:r>
      <w:r>
        <w:rPr>
          <w:rFonts w:ascii="Times New Roman" w:hAnsi="Times New Roman"/>
          <w:sz w:val="20"/>
        </w:rPr>
        <w:t>”): (i) on the date of such Disclosure Failure and (ii) on every thirty (30) day anniversary such Disclosure Failure until the earlier of (x) the date such Disclosure Failure is cured and (y) such time as all such non-public information provided to such Buyer shall cease to be Confidential Information (as evidenced by a certificate, duly executed by an authorized officer of the Company to the foregoing effect) (such earlier date, as applicable, a “</w:t>
      </w:r>
      <w:r>
        <w:rPr>
          <w:rFonts w:ascii="Times New Roman" w:hAnsi="Times New Roman"/>
          <w:b/>
          <w:sz w:val="20"/>
        </w:rPr>
        <w:t>Disclosure Cure Date</w:t>
      </w:r>
      <w:r>
        <w:rPr>
          <w:rFonts w:ascii="Times New Roman" w:hAnsi="Times New Roman"/>
          <w:sz w:val="20"/>
        </w:rPr>
        <w:t>”). Following the initial Disclosure Delay Payment for any particular Disclosure Failure, without limiting the foregoing, if a Disclosure Cure Date occurs prior to any thirty (30) day anniversary of such Disclosure Failure, then such Disclosure Delay Payment (prorated for such partial month) shall be made on the second (2nd) Business Day after such Disclosure Cure Date. The payments to which an Investor shall be entitled pursuant to this Section 4(l)(iii) are referred to herein as “</w:t>
      </w:r>
      <w:r>
        <w:rPr>
          <w:rFonts w:ascii="Times New Roman" w:hAnsi="Times New Roman"/>
          <w:b/>
          <w:sz w:val="20"/>
        </w:rPr>
        <w:t>Disclosure Delay Payments.</w:t>
      </w:r>
      <w:r>
        <w:rPr>
          <w:rFonts w:ascii="Times New Roman" w:hAnsi="Times New Roman"/>
          <w:sz w:val="20"/>
        </w:rPr>
        <w:t xml:space="preserve">” In the event the Company fails to make Disclosure Delay Payments in a timely manner in accordance with the foregoing, such Disclosure Delay Payments shall bear interest at the rate of two percent (2%) per month (prorated for partial months) until paid in full. </w:t>
      </w:r>
    </w:p>
    <w:p>
      <w:pPr>
        <w:pStyle w:val="TextBody"/>
        <w:bidi w:val="0"/>
        <w:spacing w:before="120" w:after="0"/>
        <w:jc w:val="left"/>
        <w:rPr>
          <w:rFonts w:ascii="Times New Roman" w:hAnsi="Times New Roman"/>
          <w:sz w:val="20"/>
        </w:rPr>
      </w:pPr>
      <w:r>
        <w:rPr>
          <w:rFonts w:ascii="Times New Roman" w:hAnsi="Times New Roman"/>
          <w:sz w:val="20"/>
        </w:rPr>
        <w:t xml:space="preserve">(iv) For the purpose of this Agreement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b/>
          <w:sz w:val="20"/>
        </w:rPr>
        <w:t>Disclosure Failure Market Price</w:t>
      </w:r>
      <w:r>
        <w:rPr>
          <w:rFonts w:ascii="Times New Roman" w:hAnsi="Times New Roman"/>
          <w:sz w:val="20"/>
        </w:rPr>
        <w:t>” means, as of any Disclosure Delay Payment Date, the price computed as the quotient of (I) the sum of the five (5) highest VWAPs (as defined in the Notes) of the Common Stock during the applicable Disclosure Restitution Period (as defined below), divided by (II) five (5) (such period, the “</w:t>
      </w:r>
      <w:r>
        <w:rPr>
          <w:rFonts w:ascii="Times New Roman" w:hAnsi="Times New Roman"/>
          <w:b/>
          <w:sz w:val="20"/>
        </w:rPr>
        <w:t>Disclosure Failure Measuring Period</w:t>
      </w:r>
      <w:r>
        <w:rPr>
          <w:rFonts w:ascii="Times New Roman" w:hAnsi="Times New Roman"/>
          <w:sz w:val="20"/>
        </w:rPr>
        <w:t xml:space="preserve">”). All such determinations to be appropriately adjusted for any share dividend, share split, share combination, reclassification or similar transaction that proportionately decreases or increases the Common Stock during such Disclosure Failure Measuring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w:t>
      </w:r>
      <w:r>
        <w:rPr>
          <w:rFonts w:ascii="Times New Roman" w:hAnsi="Times New Roman"/>
          <w:b/>
          <w:sz w:val="20"/>
        </w:rPr>
        <w:t>Disclosure Restitution Amount</w:t>
      </w:r>
      <w:r>
        <w:rPr>
          <w:rFonts w:ascii="Times New Roman" w:hAnsi="Times New Roman"/>
          <w:sz w:val="20"/>
        </w:rPr>
        <w:t>” means, as of any Disclosure Delay Payment Date, the product of (x) difference of (I) the Disclosure Failure Market Price less (II) the lowest purchase price, per share of Common Stock, of any Common Stock issued or issuable to such Buyer Documents, multiplied by (y) 10% of the aggregate daily dollar trading volume (as reported on Bloomberg (as defined in the Notes)) of the Common Stock on the Principal Market for each Trading Day either (1) with respect to the initial Disclosure Delay Payment Date, during the period commencing on the applicable Required Disclosure Date through and including the Trading Day immediately prior to the initial Disclosure Delay Payment Date or (2) with respect to each other Disclosure Delay Payment Date, during the period commencing the immediately preceding Disclosure Delay Payment Date through and including the Trading Day immediately prior to such applicable Disclosure Delay Payment Date (such applicable period, the “</w:t>
      </w:r>
      <w:r>
        <w:rPr>
          <w:rFonts w:ascii="Times New Roman" w:hAnsi="Times New Roman"/>
          <w:b/>
          <w:sz w:val="20"/>
        </w:rPr>
        <w:t>Disclosure Restitution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b/>
          <w:sz w:val="20"/>
        </w:rPr>
        <w:t>Required Disclosure Date</w:t>
      </w:r>
      <w:r>
        <w:rPr>
          <w:rFonts w:ascii="Times New Roman" w:hAnsi="Times New Roman"/>
          <w:sz w:val="20"/>
        </w:rPr>
        <w:t xml:space="preserve">” means (x) if such Buyer authorized the delivery of such Confidential Information, either (I) if the Company and such Buyer have mutually agreed upon a date (as evidenced by an e-mail or other writing) of Disclosure of such Confidential Information, such agreed upon date or (II) otherwise, the seventh (7th) calendar day after the date such Buyer first received any Confidential Information or (y) if such Buyer did not authorize the delivery of such Confidential Information, the first (1st) Business Day after such Buyer’s receipt of such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Reservation of Shares</w:t>
      </w:r>
      <w:r>
        <w:rPr>
          <w:rFonts w:ascii="Times New Roman" w:hAnsi="Times New Roman"/>
          <w:sz w:val="20"/>
        </w:rPr>
        <w:t xml:space="preserve">. Until the later of (x) the Additional Closing Expiration Date and (y) such date as no Notes remain outstanding, the Company shall take all action necessary to at all times have authorized, and reserved for the purpose of issuance, no less than 300% of the maximum number of shares of Common Stock issuable upon conversion of all the Notes then outstanding (assuming for purposes hereof that (w) all Additional Notes shall have been issued as of such time of determination, (x) the Notes are convertible at the Alternate Conversion Price assuming an Alternate Conversion Date as of such applicable date of determination, (y) interest on the Notes shall accrue through the first anniversary of the Initial Closing Date and will be converted in shares of Common Stock at a conversion price equal to the Alternate Conversion Price assuming an Alternate Conversion Date as of such applicable date of determination and (z) any such conversion shall not take into account any limitations on the conversion of the Notes set forth in the Notes)(the “Required Reserve Amount”); provided that at no time shall the number of shares of Common Stock reserved pursuant to this Section 4(n) be reduced other than proportionally in connection with any conversion, and/or redemption, as applicable of Notes. If at any time the number of shares of Common Stock authorized and reserved for issuance is not sufficient to meet the Required Reserve Amount (each an “Authorized Share Failure”), the Company will promptly take all corporate action necessary to authorize and reserve a 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Conduct of Business</w:t>
      </w:r>
      <w:r>
        <w:rPr>
          <w:rFonts w:ascii="Times New Roman" w:hAnsi="Times New Roman"/>
          <w:sz w:val="20"/>
        </w:rPr>
        <w:t xml:space="preserve">. Until the later of (x) the Additional Closing Expiration Date and (y) such date as no Notes remain outstanding,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Variable Rate Transactions</w:t>
      </w:r>
      <w:r>
        <w:rPr>
          <w:rFonts w:ascii="Times New Roman" w:hAnsi="Times New Roman"/>
          <w:sz w:val="20"/>
        </w:rPr>
        <w:t>. Until the later of (x) the Additional Closing Expiration Date and (y) such date as no Notes remain outstanding, the Company and each Subsidiary shall be prohibited from effecting or entering into an agreement to effect any Subsequent Placement involving a Variable Rate Transaction (other than pursuant to the Permitted ATM). “</w:t>
      </w:r>
      <w:r>
        <w:rPr>
          <w:rFonts w:ascii="Times New Roman" w:hAnsi="Times New Roman"/>
          <w:b/>
          <w:sz w:val="20"/>
        </w:rPr>
        <w:t>Variable Rate Transaction</w:t>
      </w:r>
      <w:r>
        <w:rPr>
          <w:rFonts w:ascii="Times New Roman" w:hAnsi="Times New Roman"/>
          <w:sz w:val="20"/>
        </w:rPr>
        <w:t>” means a transaction in which the Company or any Subsidiary (i) issues or sells any Common Stock Equivalents either (A) at a conversion, exercise or exchange rate or other price that is based upon and/or varies with the trading prices of or quotations for the shares of Common Stock at any time after the initial issuance of such Common Stock Equivalents, or (B) with a conversion, exercise or exchange price that is subject to being reset at some future date after the initial issuance of such Common Stock Equivalents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 “</w:t>
      </w:r>
      <w:r>
        <w:rPr>
          <w:rFonts w:ascii="Times New Roman" w:hAnsi="Times New Roman"/>
          <w:b/>
          <w:sz w:val="20"/>
        </w:rPr>
        <w:t>Permitted ATM</w:t>
      </w:r>
      <w:r>
        <w:rPr>
          <w:rFonts w:ascii="Times New Roman" w:hAnsi="Times New Roman"/>
          <w:sz w:val="20"/>
        </w:rPr>
        <w:t xml:space="preserve">” means that certain Equity Distribution Agreement with Canaccord Genuity LLC, dated as of June 1, 2026.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Participation Right</w:t>
      </w:r>
      <w:r>
        <w:rPr>
          <w:rFonts w:ascii="Times New Roman" w:hAnsi="Times New Roman"/>
          <w:sz w:val="20"/>
        </w:rPr>
        <w:t xml:space="preserve">. At any time on or prior to the first anniversary of the Closing Date, neither the Company nor any of its Subsidiaries shall, directly or indirectly, effect any Subsequent Placement unless the Company shall have first complied with this Section 4(q). The Company acknowledges and agrees that the right set forth in this Section 4(q) is a right granted by the Company, separately, to each Buyer. </w:t>
      </w:r>
    </w:p>
    <w:p>
      <w:pPr>
        <w:pStyle w:val="TextBody"/>
        <w:bidi w:val="0"/>
        <w:spacing w:before="120" w:after="0"/>
        <w:jc w:val="left"/>
        <w:rPr>
          <w:rFonts w:ascii="Times New Roman" w:hAnsi="Times New Roman"/>
          <w:sz w:val="20"/>
        </w:rPr>
      </w:pPr>
      <w:r>
        <w:rPr>
          <w:rFonts w:ascii="Times New Roman" w:hAnsi="Times New Roman"/>
          <w:sz w:val="20"/>
        </w:rPr>
        <w:t>(i) At least five (5) Trading Days prior to any proposed or intended Subsequent Placement, the Company shall deliver to each Buyer a written notice (each such notice, a “</w:t>
      </w:r>
      <w:r>
        <w:rPr>
          <w:rFonts w:ascii="Times New Roman" w:hAnsi="Times New Roman"/>
          <w:b/>
          <w:sz w:val="20"/>
        </w:rPr>
        <w:t>Pre-Notice</w:t>
      </w:r>
      <w:r>
        <w:rPr>
          <w:rFonts w:ascii="Times New Roman" w:hAnsi="Times New Roman"/>
          <w:sz w:val="20"/>
        </w:rPr>
        <w:t xml:space="preserve">”), which Pre-Notice shall not contain any information (including, without limitation, material, non-public information) other than: (A) if the proposed Offer Notice (as defined below) constitutes or contains material, non-public information, a statement asking whether the Investor is willing to accept material non-public information or (B) if the proposed Offer Notice does not constitute or contain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a statement that the Company proposes or intends to effect a Subsequent Placement, (y) a statement that the statement in clause (x) above does not constitute material, non-public information and (z) a statement informing such Buyer that it is entitled to receive an Offer Notice (as defined below) with respect to such Subsequent Placement upon its written request. Upon the written request of a Buyer within three (3)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Times New Roman" w:hAnsi="Times New Roman"/>
          <w:b/>
          <w:sz w:val="20"/>
        </w:rPr>
        <w:t>Offer Notice</w:t>
      </w:r>
      <w:r>
        <w:rPr>
          <w:rFonts w:ascii="Times New Roman" w:hAnsi="Times New Roman"/>
          <w:sz w:val="20"/>
        </w:rPr>
        <w:t>”) of any proposed or intended issuance or sale or exchange (the “</w:t>
      </w:r>
      <w:r>
        <w:rPr>
          <w:rFonts w:ascii="Times New Roman" w:hAnsi="Times New Roman"/>
          <w:b/>
          <w:sz w:val="20"/>
        </w:rPr>
        <w:t>Offer</w:t>
      </w:r>
      <w:r>
        <w:rPr>
          <w:rFonts w:ascii="Times New Roman" w:hAnsi="Times New Roman"/>
          <w:sz w:val="20"/>
        </w:rPr>
        <w:t>”) of the securities being offered (the “</w:t>
      </w:r>
      <w:r>
        <w:rPr>
          <w:rFonts w:ascii="Times New Roman" w:hAnsi="Times New Roman"/>
          <w:b/>
          <w:sz w:val="20"/>
        </w:rPr>
        <w:t>Offered Securities</w:t>
      </w:r>
      <w:r>
        <w:rPr>
          <w:rFonts w:ascii="Times New Roman" w:hAnsi="Times New Roman"/>
          <w:sz w:val="20"/>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such Buyer in accordance with the terms of the Offer such Buyer’s pro rata portion of 25% of the Offered Securities, provided that the number of Offered Securities which such Buyer shall have the right to subscribe for under this Section 4(q) shall be (x) based on such Buyer’s pro rata portion of the aggregate original principal amount of the Notes purchased hereunder by all Buyers (the “</w:t>
      </w:r>
      <w:r>
        <w:rPr>
          <w:rFonts w:ascii="Times New Roman" w:hAnsi="Times New Roman"/>
          <w:b/>
          <w:sz w:val="20"/>
        </w:rPr>
        <w:t>Basic Amount</w:t>
      </w:r>
      <w:r>
        <w:rPr>
          <w:rFonts w:ascii="Times New Roman" w:hAnsi="Times New Roman"/>
          <w:sz w:val="20"/>
        </w:rPr>
        <w:t>”), and (y)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 w:hAnsi="Times New Roman"/>
          <w:b/>
          <w:sz w:val="20"/>
        </w:rPr>
        <w:t>Undersubscription Amount</w:t>
      </w:r>
      <w:r>
        <w:rPr>
          <w:rFonts w:ascii="Times New Roman" w:hAnsi="Times New Roman"/>
          <w:sz w:val="20"/>
        </w:rPr>
        <w:t xml:space="preserve">”), which process shall be repeated until each Buyer shall have an opportunity to subscribe for any remaining Undersubscription Amount. </w:t>
      </w:r>
    </w:p>
    <w:p>
      <w:pPr>
        <w:pStyle w:val="TextBody"/>
        <w:bidi w:val="0"/>
        <w:spacing w:before="120" w:after="0"/>
        <w:jc w:val="left"/>
        <w:rPr>
          <w:rFonts w:ascii="Times New Roman" w:hAnsi="Times New Roman"/>
          <w:sz w:val="20"/>
        </w:rPr>
      </w:pPr>
      <w:r>
        <w:rPr>
          <w:rFonts w:ascii="Times New Roman" w:hAnsi="Times New Roman"/>
          <w:sz w:val="20"/>
        </w:rPr>
        <w:t>(ii) To accept an Offer, in whole or in part, such Buyer must deliver a written notice to the Company prior to the end of the fifth (5th) Business Day after such Buyer’s receipt of the Offer Notice (the “</w:t>
      </w:r>
      <w:r>
        <w:rPr>
          <w:rFonts w:ascii="Times New Roman" w:hAnsi="Times New Roman"/>
          <w:b/>
          <w:sz w:val="20"/>
        </w:rPr>
        <w:t>Offer Period</w:t>
      </w:r>
      <w:r>
        <w:rPr>
          <w:rFonts w:ascii="Times New Roman" w:hAnsi="Times New Roman"/>
          <w:sz w:val="20"/>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Times New Roman" w:hAnsi="Times New Roman"/>
          <w:b/>
          <w:sz w:val="20"/>
        </w:rPr>
        <w:t>Notice of Acceptance</w:t>
      </w:r>
      <w:r>
        <w:rPr>
          <w:rFonts w:ascii="Times New Roman" w:hAnsi="Times New Roman"/>
          <w:sz w:val="20"/>
        </w:rPr>
        <w:t>”). If the Basic Amounts subscribed for by all Buyers are less than the total of all of the Basic Amounts, then each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hAnsi="Times New Roman"/>
          <w:b/>
          <w:sz w:val="20"/>
        </w:rPr>
        <w:t>Available Undersubscription Amount</w:t>
      </w:r>
      <w:r>
        <w:rPr>
          <w:rFonts w:ascii="Times New Roman" w:hAnsi="Times New Roman"/>
          <w:sz w:val="20"/>
        </w:rPr>
        <w:t xml:space="preserve">”),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(5th) Business Day after such Buyer’s receipt of such new Offer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The Company shall have five (5) Business Days from the expiration of the Offer Period above (A) to offer, issue, sell or exchange all or any part of such Offered Securities as to which a Notice of Acceptance has not been given by a Buyer (the “</w:t>
      </w:r>
      <w:r>
        <w:rPr>
          <w:rFonts w:ascii="Times New Roman" w:hAnsi="Times New Roman"/>
          <w:b/>
          <w:sz w:val="20"/>
        </w:rPr>
        <w:t>Refused Securities</w:t>
      </w:r>
      <w:r>
        <w:rPr>
          <w:rFonts w:ascii="Times New Roman" w:hAnsi="Times New Roman"/>
          <w:sz w:val="20"/>
        </w:rPr>
        <w:t>”) pursuant to a definitive agreement(s) (the “</w:t>
      </w:r>
      <w:r>
        <w:rPr>
          <w:rFonts w:ascii="Times New Roman" w:hAnsi="Times New Roman"/>
          <w:b/>
          <w:sz w:val="20"/>
        </w:rPr>
        <w:t>Subsequent Placement Agreement</w:t>
      </w:r>
      <w:r>
        <w:rPr>
          <w:rFonts w:ascii="Times New Roman" w:hAnsi="Times New Roman"/>
          <w:sz w:val="20"/>
        </w:rPr>
        <w:t xml:space="preserve">”),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Current Report on Form 8-K with such Subsequent Placement Agreement and any documents contemplated therein filed as exhibits thereto.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the Company shall propose to sell less than all the Refused Securities (any such sale to be in the manner and on the terms specified in Section 4(q)(iii) above), then each Buyer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Buyer elected to purchase pursuant to Section 4(q)(ii) above multiplied by a fraction, (i) the numerator of which shall be the number or amount of Offered Securities the Company actually proposes to issue, sell or exchange (including Offered Securities to be issued or sold to Buyers pursuant to this Section 4(q)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4(q)(i) above. </w:t>
      </w:r>
    </w:p>
    <w:p>
      <w:pPr>
        <w:pStyle w:val="TextBody"/>
        <w:bidi w:val="0"/>
        <w:spacing w:before="120" w:after="0"/>
        <w:jc w:val="left"/>
        <w:rPr>
          <w:rFonts w:ascii="Times New Roman" w:hAnsi="Times New Roman"/>
          <w:sz w:val="20"/>
        </w:rPr>
      </w:pPr>
      <w:r>
        <w:rPr>
          <w:rFonts w:ascii="Times New Roman" w:hAnsi="Times New Roman"/>
          <w:sz w:val="20"/>
        </w:rPr>
        <w:t xml:space="preserve">(v) Upon the closing of the issuance, sale or exchange of all or less than all of the Refused Securities, such Buyer shall acquire from the Company, and the Company shall issue to such Buyer, the number or amount of Offered Securities specified in its Notice of Acceptance, as reduced pursuant to Section 4(q)(iv) above if such Buyer has so elected, upon the terms and conditions specified in the Offer.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 </w:t>
      </w:r>
    </w:p>
    <w:p>
      <w:pPr>
        <w:pStyle w:val="TextBody"/>
        <w:bidi w:val="0"/>
        <w:spacing w:before="120" w:after="0"/>
        <w:jc w:val="left"/>
        <w:rPr>
          <w:rFonts w:ascii="Times New Roman" w:hAnsi="Times New Roman"/>
          <w:sz w:val="20"/>
        </w:rPr>
      </w:pPr>
      <w:r>
        <w:rPr>
          <w:rFonts w:ascii="Times New Roman" w:hAnsi="Times New Roman"/>
          <w:sz w:val="20"/>
        </w:rPr>
        <w:t xml:space="preserve">(vi) Any Offered Securities not acquired by a Buyer or other Persons in accordance with this Section 4(q) may not be issued, sold or exchanged until they are again offered to such Buyer under the procedures specified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The Company and each Buyer agree that if any Buyer elects to participate in the Offer, neither the Subsequent Placement Agreement with respect to such Offer nor any other transaction documents related thereto (collectively, the “</w:t>
      </w:r>
      <w:r>
        <w:rPr>
          <w:rFonts w:ascii="Times New Roman" w:hAnsi="Times New Roman"/>
          <w:b/>
          <w:sz w:val="20"/>
        </w:rPr>
        <w:t>Subsequent Placement Documents</w:t>
      </w:r>
      <w:r>
        <w:rPr>
          <w:rFonts w:ascii="Times New Roman" w:hAnsi="Times New Roman"/>
          <w:sz w:val="20"/>
        </w:rPr>
        <w:t xml:space="preserve">”) shall include any term or provision whereby such Buyer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Notwithstanding anything to the contrary in this Section 4(q)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(5th) Business Day following delivery of the Offer Notice. If by such fifth (5th)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Section 4(q). The Company shall not be permitted to deliver more than one such Offer Notice to such Buyer in any sixty (60) day period, except as expressly contemplated by the last sentence of Section 4(q)(ii). </w:t>
      </w:r>
    </w:p>
    <w:p>
      <w:pPr>
        <w:pStyle w:val="TextBody"/>
        <w:bidi w:val="0"/>
        <w:spacing w:before="120" w:after="0"/>
        <w:jc w:val="left"/>
        <w:rPr>
          <w:rFonts w:ascii="Times New Roman" w:hAnsi="Times New Roman"/>
          <w:sz w:val="20"/>
        </w:rPr>
      </w:pPr>
      <w:r>
        <w:rPr>
          <w:rFonts w:ascii="Times New Roman" w:hAnsi="Times New Roman"/>
          <w:sz w:val="20"/>
        </w:rPr>
        <w:t xml:space="preserve">(ix) The restrictions contained in this Section 4(q) shall not apply in connection with the issuance of any Excluded Securities (as defined in the Notes). The Company shall not circumvent the provisions of this Section 4(q) by providing terms or conditions to one Buyer that are not provided to all.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Dilutive Issuances</w:t>
      </w:r>
      <w:r>
        <w:rPr>
          <w:rFonts w:ascii="Times New Roman" w:hAnsi="Times New Roman"/>
          <w:sz w:val="20"/>
        </w:rPr>
        <w:t xml:space="preserve">. Until the later of (x) the Additional Closing Expiration Date and (y) such date as no Notes remain outstanding, the Company shall not, in any manner, enter into or affect any Dilutive Issuance (as defined in the Notes) if the effect of such Dilutive Issuance is to cause the Company to be required to issue upon conversion of any Notes any shares of Common Stock in excess of that number of shares of Common Stock which the Company may issue upon conversion of the Notes without breaching the Company’s obligations under the rules or regulations of the Principal Market.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Most Favored Nation</w:t>
      </w:r>
      <w:r>
        <w:rPr>
          <w:rFonts w:ascii="Times New Roman" w:hAnsi="Times New Roman"/>
          <w:sz w:val="20"/>
        </w:rPr>
        <w:t>. So long as any Notes are outstanding, in the event that the Company issues any shares of Common Stock or Common Stock Equivalents to any Person who is not a Buyer or an affiliate of a Buyer, if a Buyer then holding outstanding Notes reasonably believes that any of the terms and conditions appurtenant to such issuance are more favorable (such issuance, a “</w:t>
      </w:r>
      <w:r>
        <w:rPr>
          <w:rFonts w:ascii="Times New Roman" w:hAnsi="Times New Roman"/>
          <w:b/>
          <w:sz w:val="20"/>
        </w:rPr>
        <w:t>Covered Issuance</w:t>
      </w:r>
      <w:r>
        <w:rPr>
          <w:rFonts w:ascii="Times New Roman" w:hAnsi="Times New Roman"/>
          <w:sz w:val="20"/>
        </w:rPr>
        <w:t xml:space="preserve">”) to such Person than are the terms and conditions granted to such Buyer pursuant to the Transaction Documents, then the terms of the Transaction Documents (including the Notes, if applicable) shall be automatically amended as to such Buyer so as to give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Buyer the benefit of such more favorable terms or conditions, effective upon the earliest to occur of (i) the date the Company notifies such Buyer of such issuance and the terms thereof, (ii) the date the Company publicly discloses such issuance and the terms thereof, and (iii) the date such Buyer becomes aware of such issuance and the terms thereof; </w:t>
      </w:r>
      <w:r>
        <w:rPr>
          <w:rFonts w:ascii="Times New Roman" w:hAnsi="Times New Roman"/>
          <w:i/>
          <w:sz w:val="20"/>
        </w:rPr>
        <w:t>provided, however</w:t>
      </w:r>
      <w:r>
        <w:rPr>
          <w:rFonts w:ascii="Times New Roman" w:hAnsi="Times New Roman"/>
          <w:sz w:val="20"/>
        </w:rPr>
        <w:t xml:space="preserve">, that the terms of the Notes shall only be amended if any promissory notes, convertible notes or similar instruments are issued in any Covered Issuance. If at any time while any Notes remain outstanding the Company enters into, amends, restates, supplements or otherwise modifies any agreement with any Buyer or any other investor relating to securities that are substantially similar to the Notes, including this Agreement, the Notes or any other Transaction Documents, or permits any exchange, replacement, refinancing or conversion of any such securities into new securities, in each case on terms that are more favorable in any material respect than the terms granted to any Buyer under this Agreement, the Notes or the other Transaction Documents, then each Buyer shall have the right, at its option, by written notice to the Company, to elect to have such more favorable terms incorporated into its Notes and the other Transaction Documents applicable to such Buyer, and the Company shall promptly amend the applicable Transaction Documents accordingly. The Company shall not directly or indirectly circumvent the intent of this Section 4(s), including through any amendment, waiver, side letter, separate agreement or otherwise, whether structured as a single transaction or a series of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Compliance with Rules of Trading Market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w:t>
      </w:r>
      <w:r>
        <w:rPr>
          <w:rFonts w:ascii="Times New Roman" w:hAnsi="Times New Roman"/>
          <w:sz w:val="20"/>
        </w:rPr>
        <w:t xml:space="preserve">. The Company shall not issue or sell any shares of Common Stock pursuant to this Agreement if such issuance or sale would reasonably be expected to result in (A) violation of the 1933 Act or (B) breach of the rules of the Trading Market. The provisions of this Section 4(t) shall be implemented in a manner otherwise than in strict conformity with the terms of this Section 4(t) only if necessary to ensure compliance with the 1933 Act and the applicable rules of the Trading Market. The limitations contained in this Section 4(t) may not be waived by the Company or any Buyer.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Exchange Cap</w:t>
      </w:r>
      <w:r>
        <w:rPr>
          <w:rFonts w:ascii="Times New Roman" w:hAnsi="Times New Roman"/>
          <w:sz w:val="20"/>
        </w:rPr>
        <w:t>. Subject to Sections 4(t)(iii) and (iv), the Company shall not issue or sell any shares of Common Stock to the Buyers upon conversion of any Notes, if, to the extent that after giving effect thereto, the aggregate number of shares of Common Stock that would be issued to Buyers or any of their affiliates pursuant to this Agreement or otherwise and the transactions contemplated hereby would exceed the number of shares equal to 19.99% of the number of shares of Common Stock issued and outstanding immediately prior to the applicable Closing Date, which number of shares shall be reduced, on a share-for-share basis, by the number of shares of Common Stock issued or issuable to Buyers or any of their affiliates pursuant to any transaction or series of transactions that may be aggregated with the transactions contemplated by this Agreement under applicable rules of the Trading Market (such maximum number of shares, the “</w:t>
      </w:r>
      <w:r>
        <w:rPr>
          <w:rFonts w:ascii="Times New Roman" w:hAnsi="Times New Roman"/>
          <w:b/>
          <w:sz w:val="20"/>
        </w:rPr>
        <w:t>Exchange Cap</w:t>
      </w:r>
      <w:r>
        <w:rPr>
          <w:rFonts w:ascii="Times New Roman" w:hAnsi="Times New Roman"/>
          <w:sz w:val="20"/>
        </w:rPr>
        <w:t>” and such limitation on the Company’s issuance of shares to the Buyers, the “</w:t>
      </w:r>
      <w:r>
        <w:rPr>
          <w:rFonts w:ascii="Times New Roman" w:hAnsi="Times New Roman"/>
          <w:b/>
          <w:sz w:val="20"/>
        </w:rPr>
        <w:t>Exchange Cap Limitation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Exchange Cap Allocation</w:t>
      </w:r>
      <w:r>
        <w:rPr>
          <w:rFonts w:ascii="Times New Roman" w:hAnsi="Times New Roman"/>
          <w:sz w:val="20"/>
        </w:rPr>
        <w:t>. Until Stockholder Approval (as defined below) is obtained, the Company shall issue each Buyer in the aggregate, upon conversion of any of the Notes, shares of Common Stock in an amount no greater than the product of (A) the Exchange Cap multiplied by (B) the quotient of (1) the aggregate number of shares of Common Stock initially convertible pursuant to the Notes held by such Buyer without regard for any limitations on conversion set forth therein divided by (2) the aggregate number of shares of Common Stock initially convertible pursuant to the Notes held by all Buyers without regard to any limitations on conversion set forth therein (with respect to each Buyer, the “</w:t>
      </w:r>
      <w:r>
        <w:rPr>
          <w:rFonts w:ascii="Times New Roman" w:hAnsi="Times New Roman"/>
          <w:b/>
          <w:sz w:val="20"/>
        </w:rPr>
        <w:t>Exchange Cap Allocation</w:t>
      </w:r>
      <w:r>
        <w:rPr>
          <w:rFonts w:ascii="Times New Roman" w:hAnsi="Times New Roman"/>
          <w:sz w:val="20"/>
        </w:rPr>
        <w:t xml:space="preserve">”).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the Notes, the difference (if any) between such Buyer’s Exchange Cap Allocation and the number of shares of Common Stock actually issued to such Buyer upon such Buyer’s conversion in full of such Notes shall be allocated to the respective Exchange Cap Allocations of the remaining Buyers on a pro rata basis in proportion to the shares of Common Stock underlying the Notes then held by each such Buyer.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Stockholder Approval</w:t>
      </w:r>
      <w:r>
        <w:rPr>
          <w:rFonts w:ascii="Times New Roman" w:hAnsi="Times New Roman"/>
          <w:sz w:val="20"/>
        </w:rPr>
        <w:t>. As soon as practicable after the Initial Closing Date, but in any event no later than one hundred twenty (120) days thereafter (the “</w:t>
      </w:r>
      <w:r>
        <w:rPr>
          <w:rFonts w:ascii="Times New Roman" w:hAnsi="Times New Roman"/>
          <w:b/>
          <w:sz w:val="20"/>
        </w:rPr>
        <w:t>Stockholder Meeting Deadline</w:t>
      </w:r>
      <w:r>
        <w:rPr>
          <w:rFonts w:ascii="Times New Roman" w:hAnsi="Times New Roman"/>
          <w:sz w:val="20"/>
        </w:rPr>
        <w:t>”), the Company shall hold a meeting of its stockholders to seek approval of a waiver of the Exchange Cap (approval of such proposal, the “</w:t>
      </w:r>
      <w:r>
        <w:rPr>
          <w:rFonts w:ascii="Times New Roman" w:hAnsi="Times New Roman"/>
          <w:b/>
          <w:sz w:val="20"/>
        </w:rPr>
        <w:t>Stockholder Approval</w:t>
      </w:r>
      <w:r>
        <w:rPr>
          <w:rFonts w:ascii="Times New Roman" w:hAnsi="Times New Roman"/>
          <w:sz w:val="20"/>
        </w:rPr>
        <w:t xml:space="preserve">”). In connection with such meeting, the Company shall provide each stockholder of the Company with a proxy statement in compliance with applicable SEC rules and regulations and shall use its best efforts to solicit the Stockholder Approval and to cause its board of directors to recommend to the Company’s stockholders that they approve such proposal(s). If the Company does not obtain the Stockholder Approval at meetings prior to the Stockholder Meeting Deadline, the Company shall call additional meetings every four (4) months thereafter to seek the Stockholder Approval until the date the Stockholder Approval is obtained. In the event the Company is prohibited from issuing shares of Common Stock pursuant to the conversion of the Notes due to the Exchange Cap Limitation and the Company fails to obtain Stockholder Approval by the Stockholder Meeting Deadline as required by this Section 4(t)(iv), then, in lieu of issuing and delivering to each Buyer seeking to exchange or convert its Notes such number of shares of Common Stock that is determined to be unavailable for issuance upon the conversion of Notes, the Company shall pay cash to each such Buyer in accordance with Section 3(d)(ii) of the Notes. For the avoidance of doubt, if the Company is required to and fails to obtain Stockholder Approval, the Exchange Cap shall be applicable for all purposes of this Agreement and the transactions contemplated hereby at all times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Passive Foreign Investment Company</w:t>
      </w:r>
      <w:r>
        <w:rPr>
          <w:rFonts w:ascii="Times New Roman" w:hAnsi="Times New Roman"/>
          <w:sz w:val="20"/>
        </w:rPr>
        <w:t xml:space="preserve">. Until the later of (x) the Additional Closing Expiration Date and (y) such date as no Notes remain outstanding, the Company shall conduct its business, and shall cause its Subsidiaries to conduct their respective businesses, in such a manner as will ensure that the Company will not be deemed to constitute a passive foreign investment company within the meaning of Section 1297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Restriction on Redemption and Cash Dividends</w:t>
      </w:r>
      <w:r>
        <w:rPr>
          <w:rFonts w:ascii="Times New Roman" w:hAnsi="Times New Roman"/>
          <w:sz w:val="20"/>
        </w:rPr>
        <w:t xml:space="preserve">. Until the later of (x) the Additional Closing Expiration Date and (y) such date as no Notes remain outstanding, the Company shall not, directly or indirectly, redeem, or declare or pay any cash dividend or distribution on, any securities of the Company without the prior express written consent of the Buyers.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Corporate Existence</w:t>
      </w:r>
      <w:r>
        <w:rPr>
          <w:rFonts w:ascii="Times New Roman" w:hAnsi="Times New Roman"/>
          <w:sz w:val="20"/>
        </w:rPr>
        <w:t xml:space="preserve">. Until the later of (x) the Additional Closing Expiration Date and (y) such date as no Notes remain outstanding, the Company shall not be party to any Fundamental Transaction (as defined in the Notes) unless the Company is in compliance with the applicable provisions governing Fundamental Transactions set forth in the Notes.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Stock Splits</w:t>
      </w:r>
      <w:r>
        <w:rPr>
          <w:rFonts w:ascii="Times New Roman" w:hAnsi="Times New Roman"/>
          <w:sz w:val="20"/>
        </w:rPr>
        <w:t xml:space="preserve">. Until the later of (x) the Additional Closing Expiration Date and (y) such date as no Notes remain outstanding, the Company shall not effect any stock combination, reverse stock split or other similar transaction (or make any public announcement or disclosure with respect to any of the foregoing) without the prior written consent of the Required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Conversion Procedures</w:t>
      </w:r>
      <w:r>
        <w:rPr>
          <w:rFonts w:ascii="Times New Roman" w:hAnsi="Times New Roman"/>
          <w:sz w:val="20"/>
        </w:rPr>
        <w:t xml:space="preserve">. Each form of Conversion Notice (as defined in the Notes) included in the Notes set forth the totality of the procedures required of the Buyers in order to convert the Notes. No legal opinion, other information or instructions shall be required of the Buyers to convert their Notes. The Company shall honor conversions of the Notes and shall deliver the Conversion Shares in accordance with the terms, conditions and time periods set forth in the Notes. Without limiting the preceding sentences, no ink-original Conversion Notice shall be required, nor shall any medallion guarantee (or other type of guarantee or notarization) of any Conversion Notice form be required in order to convert the Notes.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Collateral Agent</w:t>
      </w:r>
      <w:r>
        <w:rPr>
          <w:rFonts w:ascii="Times New Roman" w:hAnsi="Times New Roman"/>
          <w:sz w:val="20"/>
        </w:rPr>
        <w:t>. Each Buyer hereby (i) appoints 3i, LP as the collateral agent hereunder and under the other Security Documents (in such capacity, the “</w:t>
      </w:r>
      <w:r>
        <w:rPr>
          <w:rFonts w:ascii="Times New Roman" w:hAnsi="Times New Roman"/>
          <w:b/>
          <w:sz w:val="20"/>
        </w:rPr>
        <w:t>Collateral Agent</w:t>
      </w:r>
      <w:r>
        <w:rPr>
          <w:rFonts w:ascii="Times New Roman" w:hAnsi="Times New Roman"/>
          <w:sz w:val="20"/>
        </w:rPr>
        <w:t>”), and (ii) authorizes the Collateral Agent (and its officers, directors, employees and agents) to take such action on such Buyer’s behalf in accordance with the terms hereof and thereof. The Collateral Agent shall not have, by reason hereof or any of the other Security Documents, a fiduciary relationship in respect of any Buyer. Neither the Collateral Agent nor any of its officers, directors, employees or agents shall have any liability to any Buyer for any action taken or omitted to be taken in connection hereof or any other Security Document except to the extent caused by its own gross negligence or willful misconduct, and each Buyer agrees to defend, protect, indemnify and hold harmless the Collateral Agent and all of its officers, directors, employees and agents (collectively, the “</w:t>
      </w:r>
      <w:r>
        <w:rPr>
          <w:rFonts w:ascii="Times New Roman" w:hAnsi="Times New Roman"/>
          <w:b/>
          <w:sz w:val="20"/>
        </w:rPr>
        <w:t>Collateral Agent Indemnitees</w:t>
      </w:r>
      <w:r>
        <w:rPr>
          <w:rFonts w:ascii="Times New Roman" w:hAnsi="Times New Roman"/>
          <w:sz w:val="20"/>
        </w:rPr>
        <w:t xml:space="preserve">”) from and against any losses, damages, liabilities, obligations, penalties, actions, judgments, suits, fees, costs and expenses (including, without limitation, reasonable attorneys’ fees, costs and expenses) incurred by such Collateral Agent Indemnitee, whether direct, indirect or consequential, arising from or in connection with the performance by such Collateral Agent Indemnitee of the duties and obligations of Collateral Agent pursuant hereto or any of the Security Documents. The Collateral Agent shall not be required to exercise any discretion or take any action, but shall be required to act or to refrain from acting (and shall be fully protected in so acting or refraining from acting) upon the instructions of the Required Holders, and such instructions shall be binding upon all holders of Notes; provided, however, that the Collateral Agent shall not be required to take any action which, in the reasonable opinion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Collateral Agent, exposes the Collateral Agent to liability or which is contrary to this Agreement or any other Transaction Document or applicable law. The Collateral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Transaction Documents and its duties hereunder or thereunder, upon advice of counsel selected by it.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Successor Collateral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Collateral Agent may resign from the performance of all its functions and duties hereunder and under the other Transaction Documents at any time by giving at least ten (10) Business Days’ prior written notice to the Company and each holder of Notes. Such resignation shall take effect upon the acceptance by a successor Collateral Agent of appointment pursuant to clauses (ii) and (iii) below or as otherwise provided below. If at any time the Collateral Agent (together with its affiliates) beneficially owns less than $100,000 in aggregate principal amount of Notes, the Required Holders may, by written consent, remove the Collateral Agent from all its functions and duties hereunder and under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Upon any such notice of resignation or removal, the Required Holders shall appoint a successor collateral agent. Upon the acceptance of any appointment as Collateral Agent hereunder by a successor agent, such successor collateral agent shall thereupon succeed to and become vested with all the rights, powers, privileges and duties of the collateral agent, and the Collateral Agent shall be discharged from its duties and obligations under this Agreement and the other Transaction Documents. After the Collateral Agent’s resignation or removal hereunder as the collateral agent, the provisions of this Section 4(y) shall inure to its benefit as to any actions taken or omitted to be taken by it while it was the Collateral Agent under this Agreement and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(iii) If a successor collateral agent shall not have been so appointed within ten (10) Business Days of receipt of a written notice of resignation or removal, the Collateral Agent shall then appoint a successor collateral agent who shall serve as the Collateral Agent until such time, if any, as the Required Holders appoint a successor collateral agent as provided above.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that a successor Collateral Agent is appointed pursuant to the provisions of this Section 4(y) that is not a Buyer or an affiliate of any Buyer (or the Required Holders or the Collateral Agent (or its successor), as applicable, notify the Company that they or it wants to appoint such a successor Collateral Agent pursuant to the terms of this Section 4(y)), the Company and each Subsidiary thereof covenants and agrees to promptly take all actions reasonably requested by the Required Holders or the Collateral Agent (or its successor), as applicable, from time to time, to secure a successor Collateral Agent satisfactory to the requesting part(y)(ies), in their sole discretion, including, without limitation, by paying all reasonable and customary fees and expenses of such successor Collateral Agent, by having the Company and each Subsidiary thereof agree to indemnify any successor Collateral Agent pursuant to reasonable and customary terms and by each of the Company and each Subsidiary thereof executing a collateral agency agreement or similar agreement and/or any amendment to the Security Documents reasonably requested or required by the successor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Regulation M</w:t>
      </w:r>
      <w:r>
        <w:rPr>
          <w:rFonts w:ascii="Times New Roman" w:hAnsi="Times New Roman"/>
          <w:sz w:val="20"/>
        </w:rPr>
        <w:t xml:space="preserve">. The Company will not take any action prohibited by Regulation M under the 1934 Act, in connection with the distribution of the Securities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Integration</w:t>
      </w:r>
      <w:r>
        <w:rPr>
          <w:rFonts w:ascii="Times New Roman" w:hAnsi="Times New Roman"/>
          <w:sz w:val="20"/>
        </w:rPr>
        <w:t xml:space="preserve">.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stockholder approval under the rules and regulations of the Principal Market and the Company will take all action that is appropriate or necessary to assure that its offerings of other securities will not be integrated for purposes of the rules and regulations of the Principal Market, with the issuance of Securities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Closing Documents</w:t>
      </w:r>
      <w:r>
        <w:rPr>
          <w:rFonts w:ascii="Times New Roman" w:hAnsi="Times New Roman"/>
          <w:sz w:val="20"/>
        </w:rPr>
        <w:t xml:space="preserve">. On or prior to fourteen (14) calendar days after each Closing Date, the Company agrees to deliver, or cause to be delivered, to each Buyer and Honigman LLP a complete closing set of the executed Transaction Documents, Securities and any other document required to be delivered to any party pursuant to Section 7 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Controlled Account Agreements</w:t>
      </w:r>
      <w:r>
        <w:rPr>
          <w:rFonts w:ascii="Times New Roman" w:hAnsi="Times New Roman"/>
          <w:sz w:val="20"/>
        </w:rPr>
        <w:t xml:space="preserve">. Each Grantor (as defined in the Security Agreement) shall cause each Controlled Account Bank to execute and deliver Controlled Account Agreements to the Collateral Agent, in accordance with Section 6(i)(A) of the Security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REGISTER; TRANSFER AGENT INSTRUCTIONS; LEGEND.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Register</w:t>
      </w:r>
      <w:r>
        <w:rPr>
          <w:rFonts w:ascii="Times New Roman" w:hAnsi="Times New Roman"/>
          <w:sz w:val="20"/>
        </w:rPr>
        <w:t xml:space="preserve">. The Company shall maintain at its principal executive offices (or such other office or agency of the Company as it may designate by notice to each holder of Securities), a register for the Notes in which the Company shall record the name and address of the Person in whose name the Notes have been issued (including the name and address of each transferee), the principal amount of the Notes held by such Person, the number of Conversion Shares issuable pursuant to the terms of the Notes held by such Person. The Company shall keep the register open and available at all times during business hours for inspection of any Buyer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Agent Instructions</w:t>
      </w:r>
      <w:r>
        <w:rPr>
          <w:rFonts w:ascii="Times New Roman" w:hAnsi="Times New Roman"/>
          <w:sz w:val="20"/>
        </w:rPr>
        <w:t>. The Company shall issue irrevocable instructions to its transfer agent and any subsequent transfer agent (as applicable, the “</w:t>
      </w:r>
      <w:r>
        <w:rPr>
          <w:rFonts w:ascii="Times New Roman" w:hAnsi="Times New Roman"/>
          <w:b/>
          <w:sz w:val="20"/>
        </w:rPr>
        <w:t>Transfer Agent</w:t>
      </w:r>
      <w:r>
        <w:rPr>
          <w:rFonts w:ascii="Times New Roman" w:hAnsi="Times New Roman"/>
          <w:sz w:val="20"/>
        </w:rPr>
        <w:t>”) in a form acceptable to each of the Buyers (the “</w:t>
      </w:r>
      <w:r>
        <w:rPr>
          <w:rFonts w:ascii="Times New Roman" w:hAnsi="Times New Roman"/>
          <w:b/>
          <w:sz w:val="20"/>
        </w:rPr>
        <w:t>Irrevocable Transfer Agent Instructions</w:t>
      </w:r>
      <w:r>
        <w:rPr>
          <w:rFonts w:ascii="Times New Roman" w:hAnsi="Times New Roman"/>
          <w:sz w:val="20"/>
        </w:rPr>
        <w:t>”) to issue certificates or credit shares to the applicable balance accounts at The Depository Trust Company (“</w:t>
      </w:r>
      <w:r>
        <w:rPr>
          <w:rFonts w:ascii="Times New Roman" w:hAnsi="Times New Roman"/>
          <w:b/>
          <w:sz w:val="20"/>
        </w:rPr>
        <w:t>DTC</w:t>
      </w:r>
      <w:r>
        <w:rPr>
          <w:rFonts w:ascii="Times New Roman" w:hAnsi="Times New Roman"/>
          <w:sz w:val="20"/>
        </w:rPr>
        <w:t xml:space="preserve">”), registered in the name of each Buyer or its respective nominee(s), for the Conversion Shares in such amounts as specified from time to time by each Buyer to the Company upon conversion of the Notes. The Company represents and warrants that no instruction other than the Irrevocable Transfer Agent Instructions referred to in this Section 5(b), will be given by the Company to its transfer agent with respect to the Securities, and that the Securities shall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freely transferable on the books and records of the Company, as applicable, to the extent provided in this Agreement and the other Transaction Documents. If a Buyer effects a sale, assignment or transfer of the Notes, the Company shall permit the transfer and shall promptly instruct its transfer agent to issue one or more certificates or credit shares to the applicable balance accounts at DTC in such name and in such denominations as specified by such Buyer to effect such sale, transfer or assignment.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Transfer Agent as follows: (i) upon each conversion of the Notes (unless such issuance is covered by a prior legal opinion previously delivered to the Transfer Agent) and (ii) on each date a registration statement with respect to the issuance or resale of any of the Securities is declared effective by the SEC. Any fees (with respect to the transfer agent, counsel to the Company or otherwise) associated with the issuance of such opinion or the removal of any legends on any of the Securities shall be borne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Legends</w:t>
      </w:r>
      <w:r>
        <w:rPr>
          <w:rFonts w:ascii="Times New Roman" w:hAnsi="Times New Roman"/>
          <w:sz w:val="20"/>
        </w:rPr>
        <w:t xml:space="preserve">. Certificates and any other instruments evidencing the Securities shall not bear any restrictive or other legend.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TO THE COMPANY’S OBLIGATION TO SELL.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obligation of the Company hereunder to issue and sell the Initial Notes to each Buyer at the Initial Closing is subject to the satisfaction, at or before the Initial Closing Date, of each of the following conditions, provided that these conditions are for the Company’s sole benefit and may be waived by the Company at any time in its sole discretion by providing each Buyer with prior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(i) Such Buyer shall have executed each of the other Transaction Documents to which it is a party and delivered the same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Such Buyer and each other Buyer shall have delivered to the Company the Purchase Price (less, in the case of any Buyer, the amounts withheld pursuant to Section 4(j)) for the Initial Note being purchased by such Buyer at the Initial Closing by wire transfer of immediately available funds in accordance with the Initial Flow of Funds Letter.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of such Buyer shall be true and correct in all material respects as of the date when made and as of the Initial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Initial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obligation of the Company hereunder to issue and sell the Second Notes to each Buyer at the Second Closing is subject to the satisfaction, at or before the Second Closing Date, of each of the following conditions, provided that these conditions are for the Company’s sole benefit and may be waived by the Company at any time in its sole discretion by providing each Buyer with prior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(i) Such Buyer shall have executed each of the other Transaction Documents to which it is a party and delivered the same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Such Buyer and each other Buyer shall have delivered to the Company the Purchase Price (less, in the case of any Buyer, the amounts withheld pursuant to Section 4(j)) for the Second Note being purchased by such Buyer at the Second Closing by wire transfer of immediately available funds in accordance with the Second Flow of Funds Letter.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of such Buyer shall be true and correct in all material respects as of the date when made and as of the Second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Second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 of the Company hereunder to issue and sell the Additional Notes to each Buyer at the Additional Closing is subject to the satisfaction, at or before the Additional Closing Date, of each of the following conditions, provided that these conditions are for the Company’s sole benefit and may be waived by the Company at any time in its sole discretion by providing each Buyer with prior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(i) Such Buyer shall have executed each of the other Transaction Documents to which it is a party and delivered the same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Such Buyer and each other Buyer shall have delivered to the Company the Purchase Price (less, in the case of any Buyer, the amounts withheld pursuant to Section 4(j)) for the Additional Note being purchased by such Buyer at the Additional Closing by wire transfer of immediately available funds in accordance with the Additional Flow of Funds Letter. </w:t>
      </w:r>
    </w:p>
    <w:p>
      <w:pPr>
        <w:pStyle w:val="TextBody"/>
        <w:bidi w:val="0"/>
        <w:spacing w:before="120" w:after="0"/>
        <w:jc w:val="left"/>
        <w:rPr>
          <w:rFonts w:ascii="Times New Roman" w:hAnsi="Times New Roman"/>
          <w:sz w:val="20"/>
        </w:rPr>
      </w:pPr>
      <w:r>
        <w:rPr>
          <w:rFonts w:ascii="Times New Roman" w:hAnsi="Times New Roman"/>
          <w:sz w:val="20"/>
        </w:rPr>
        <w:t xml:space="preserve">(iii) The representations and warranties of such Buyer shall be true and correct in all material respects as of the date when made and as of the Additional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Additional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TO EACH BUYER’S OBLIGATION TO PURCHASE.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obligation of each Buyer hereunder to purchase its Initial Note at the Initial Closing is subject to the satisfaction, at or before the Initial Closing Date, of each of the following conditions, provided that these conditions are for each Buyer’s sole benefit and may be waived by such Buyer at any time in its sole discretion by providing the Company with prior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each Subsidiary (as the case may be) shall have duly executed and delivered to such Buyer each of the Transaction Documents to which it is a party and the Company shall have duly executed and delivered to such Buyer an Initial Note in such original principal amount as is set forth across from such Buyer’s name in column (3) of the Schedule of Buyers as being purchased by such Buyer at the Initial Closing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Such Buyer shall have received the opinion of Sullivan &amp; Worcester LLP, the Company’s counsel, dated as of the Initial Closing Date, in the form reasonably acceptable to such Buyer.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shall have delivered to such Buyer a copy of the Irrevocable Transfer Agent Instructions, in the form acceptable to such Buyer, which instructions shall have been delivered to and acknowledged in writing by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Initial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have delivered to such Buyer a certificate evidencing the Company’s and each Subsidiary’s qualification as a foreign corporation and good standing issued by the Secretary of State (or comparable office) of each jurisdiction in which the Company and each Subsidiary conducts business and is required to so qualify, as of a date within ten (10) days of the Initial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shall have delivered to such Buyer a certified copy of the Certificate of Incorporation as certified by the Delaware Secretary of State within ten (10) days of the Initial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Each Subsidiary shall have delivered to such Buyer a certified copy of its Certificate of Incorporation (or such equivalent organizational document) as certified by the Secretary of State (or comparable office) of such Subsidiary’s jurisdiction of incorporation within ten (10) days of the Initial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Company and each Subsidiary shall have delivered to such Buyer a certificate, in the form acceptable to such Buyer, executed by the Secretary of the Company and each Subsidiary and dated as of the Initial Closing Date, as to (i) the resolutions consistent with Section 3(b) as adopted by the Company’s and each Subsidiary’s board of directors in a form reasonably acceptable to such Buyer, (ii) the Certificate of Incorporation of the Company and the organizational documents of each Subsidiary and (iii) the Bylaws of the Company and the bylaws of each Subsidiary, each as in effect at the Initial Closing. </w:t>
      </w:r>
    </w:p>
    <w:p>
      <w:pPr>
        <w:pStyle w:val="TextBody"/>
        <w:bidi w:val="0"/>
        <w:spacing w:before="120" w:after="0"/>
        <w:jc w:val="left"/>
        <w:rPr>
          <w:rFonts w:ascii="Times New Roman" w:hAnsi="Times New Roman"/>
          <w:sz w:val="20"/>
        </w:rPr>
      </w:pPr>
      <w:r>
        <w:rPr>
          <w:rFonts w:ascii="Times New Roman" w:hAnsi="Times New Roman"/>
          <w:sz w:val="20"/>
        </w:rPr>
        <w:t xml:space="preserve">(ix) Each and every representation and warranty of the Company shall be true and correct as of the date when made and as of the Initial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Initial Closing Date. Such Buyer shall have received a certificate, duly executed by the Chief Executive Officer of the Company, dated as of the Initial Closing Date, to the foregoing effect and as to such other matters as may be reasonably requested by such Buyer in the form acceptable to such Buyer. </w:t>
      </w:r>
    </w:p>
    <w:p>
      <w:pPr>
        <w:pStyle w:val="TextBody"/>
        <w:bidi w:val="0"/>
        <w:spacing w:before="120" w:after="0"/>
        <w:jc w:val="left"/>
        <w:rPr>
          <w:rFonts w:ascii="Times New Roman" w:hAnsi="Times New Roman"/>
          <w:sz w:val="20"/>
        </w:rPr>
      </w:pPr>
      <w:r>
        <w:rPr>
          <w:rFonts w:ascii="Times New Roman" w:hAnsi="Times New Roman"/>
          <w:sz w:val="20"/>
        </w:rPr>
        <w:t xml:space="preserve">(x) The Company shall have delivered to such Buyer a letter from the Company’s transfer agent certifying the number of shares of Common Stock outstanding on the Initial Closing Date immediately prior to the Initial Closing. </w:t>
      </w:r>
    </w:p>
    <w:p>
      <w:pPr>
        <w:pStyle w:val="TextBody"/>
        <w:bidi w:val="0"/>
        <w:spacing w:before="120" w:after="0"/>
        <w:jc w:val="left"/>
        <w:rPr>
          <w:rFonts w:ascii="Times New Roman" w:hAnsi="Times New Roman"/>
          <w:sz w:val="20"/>
        </w:rPr>
      </w:pPr>
      <w:r>
        <w:rPr>
          <w:rFonts w:ascii="Times New Roman" w:hAnsi="Times New Roman"/>
          <w:sz w:val="20"/>
        </w:rPr>
        <w:t xml:space="preserve">(xi) The Common Stock (A) shall be designated for quotation or listed (as applicable) on the Principal Market and (B) shall not have been suspended, as of the Initial Closing Date, by the SEC or the Principal Market from trading on the Principal Market nor shall suspension by the SEC or the Principal Market have been threatened, as of the Initial Closing Date, either (I) in writing by the SEC or the Principal Market or (II) by falling below the minimum maintenance requirements of the Principal Market. </w:t>
      </w:r>
    </w:p>
    <w:p>
      <w:pPr>
        <w:pStyle w:val="TextBody"/>
        <w:bidi w:val="0"/>
        <w:spacing w:before="120" w:after="0"/>
        <w:jc w:val="left"/>
        <w:rPr>
          <w:rFonts w:ascii="Times New Roman" w:hAnsi="Times New Roman"/>
          <w:sz w:val="20"/>
        </w:rPr>
      </w:pPr>
      <w:r>
        <w:rPr>
          <w:rFonts w:ascii="Times New Roman" w:hAnsi="Times New Roman"/>
          <w:sz w:val="20"/>
        </w:rPr>
        <w:t xml:space="preserve">(xii) The Company shall have obtained all governmental, regulatory or third party consents and approvals, if any, necessary for the sale of the Securities, including without limitation, those required by the Principal Market, if any. </w:t>
      </w:r>
    </w:p>
    <w:p>
      <w:pPr>
        <w:pStyle w:val="TextBody"/>
        <w:bidi w:val="0"/>
        <w:spacing w:before="120" w:after="0"/>
        <w:jc w:val="left"/>
        <w:rPr>
          <w:rFonts w:ascii="Times New Roman" w:hAnsi="Times New Roman"/>
          <w:sz w:val="20"/>
        </w:rPr>
      </w:pPr>
      <w:r>
        <w:rPr>
          <w:rFonts w:ascii="Times New Roman" w:hAnsi="Times New Roman"/>
          <w:sz w:val="20"/>
        </w:rPr>
        <w:t xml:space="preserve">(xiii) 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(xiv) Since the date of execution of this Agreement, no event or series of events shall have occurred that reasonably would have or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 The Company shall have filed an Additional Listing Application with (and shared a copy of which with the Investor a reasonable time in advance of each Closing), and obtained approval of, the Principal Market to list or designate for quotation (as the case may be) the Conversion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In accordance with the terms of the Security Documents, the Company shall have delivered to the Collateral Agent (A) original certificates (I) representing the Subsidiaries’ shares of capital stock to the extent such subsidiary is a corporation or otherwise has certificated equity and (II) representing all other equity interests and all promissory notes required to be pledged thereunder, in each case, accompanied by undated stock powers and allonges executed in blank and other proper instruments of transfer and (B) appropriate financing statements on Form UCC-1 to be duly filed in such office or offices as may be necessary or, in the opinion of the Collateral Agent, desirable to perfect the security interests purported to be created by each Security Document. </w:t>
      </w:r>
    </w:p>
    <w:p>
      <w:pPr>
        <w:pStyle w:val="TextBody"/>
        <w:bidi w:val="0"/>
        <w:spacing w:before="120" w:after="0"/>
        <w:jc w:val="left"/>
        <w:rPr>
          <w:rFonts w:ascii="Times New Roman" w:hAnsi="Times New Roman"/>
          <w:sz w:val="20"/>
        </w:rPr>
      </w:pPr>
      <w:r>
        <w:rPr>
          <w:rFonts w:ascii="Times New Roman" w:hAnsi="Times New Roman"/>
          <w:sz w:val="20"/>
        </w:rPr>
        <w:t>(xvii) Within two (2) Business Days prior to the Initial Closing, the Company shall have delivered or caused to be delivered to each Buyer and the Collateral Agent (A) certified copies of requests for copies of information on Form UCC-11, listing all effective financing statements which name as debtor the Company or any of its Subsidiaries and which are filed in such office or offices as may be necessary or, in the opinion of the Collateral Agent or the Buyers, desirable to perfect the security interests purported to be created by the Security Agreement (as defined in the Amended Original Securities Purchase Agreement), together with copies of such financing statements, none of which, except as otherwise agreed in writing by the Collateral Agent, shall cover any of the Collateral (as defined in the Security Agreement), and the results of searches for any tax Lien and judgment Lien filed against such Person or its property, which results, except as otherwise agreed to in writing by the Collateral Agent and the Buyers, shall not show any such Liens; and (B) a perfection certificate, duly completed and executed by the Company and each of its Subsidiaries, in form and substance reasonably satisfactory to the Buyers (the “</w:t>
      </w:r>
      <w:r>
        <w:rPr>
          <w:rFonts w:ascii="Times New Roman" w:hAnsi="Times New Roman"/>
          <w:b/>
          <w:sz w:val="20"/>
        </w:rPr>
        <w:t>Perfection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(xviii) The Collateral Agent shall have received the Security Agreement, duly executed by the Company and each of its Subsidiaries, together with the original stock certificates representing all of the equity interests and all promissory notes required to be pledged thereunder, accompanied by undated stock powers and allonges executed in blank and other proper instruments of transfer. </w:t>
      </w:r>
    </w:p>
    <w:p>
      <w:pPr>
        <w:pStyle w:val="TextBody"/>
        <w:bidi w:val="0"/>
        <w:spacing w:before="120" w:after="0"/>
        <w:jc w:val="left"/>
        <w:rPr>
          <w:rFonts w:ascii="Times New Roman" w:hAnsi="Times New Roman"/>
          <w:sz w:val="20"/>
        </w:rPr>
      </w:pPr>
      <w:r>
        <w:rPr>
          <w:rFonts w:ascii="Times New Roman" w:hAnsi="Times New Roman"/>
          <w:sz w:val="20"/>
        </w:rPr>
        <w:t xml:space="preserve">(xix) With respect to the Intellectual Property Rights, if any, of the Company or any of its Subsidiaries, the Company and/or such Subsidiaries, as applicable, shall have duly executed and delivered to such Buyer each Assignment For Security for the Intellectual Property Rights of the Company and its Subsidiaries, in the form attached as Exhibit A to the Security Agreement. </w:t>
      </w:r>
    </w:p>
    <w:p>
      <w:pPr>
        <w:pStyle w:val="TextBody"/>
        <w:bidi w:val="0"/>
        <w:spacing w:before="120" w:after="0"/>
        <w:jc w:val="left"/>
        <w:rPr>
          <w:rFonts w:ascii="Times New Roman" w:hAnsi="Times New Roman"/>
          <w:sz w:val="20"/>
        </w:rPr>
      </w:pPr>
      <w:r>
        <w:rPr>
          <w:rFonts w:ascii="Times New Roman" w:hAnsi="Times New Roman"/>
          <w:sz w:val="20"/>
        </w:rPr>
        <w:t>(xx) Such Buyer shall have received a letter on the letterhead of the Company, duly executed by the Chief Executive Officer of the Company, setting forth the wire amounts of each Buyer in the Initial Closing and the wire transfer instructions of the Company (the “</w:t>
      </w:r>
      <w:r>
        <w:rPr>
          <w:rFonts w:ascii="Times New Roman" w:hAnsi="Times New Roman"/>
          <w:b/>
          <w:sz w:val="20"/>
        </w:rPr>
        <w:t>Initial Flow of Funds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From the date hereof to the Initial Closing Date, (i) trading in the Common Stock shall not have been suspended by the SEC or the Principal Market (except for any suspension of trading of limited duration agreed to by the Company, which suspension shall be terminated prior to the Initial Closing), and, (ii) at any time prior to the Initial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Initial Closing </w:t>
      </w:r>
    </w:p>
    <w:p>
      <w:pPr>
        <w:pStyle w:val="TextBody"/>
        <w:bidi w:val="0"/>
        <w:spacing w:before="120" w:after="0"/>
        <w:jc w:val="left"/>
        <w:rPr>
          <w:rFonts w:ascii="Times New Roman" w:hAnsi="Times New Roman"/>
          <w:sz w:val="20"/>
        </w:rPr>
      </w:pPr>
      <w:r>
        <w:rPr>
          <w:rFonts w:ascii="Times New Roman" w:hAnsi="Times New Roman"/>
          <w:sz w:val="20"/>
        </w:rPr>
        <w:t xml:space="preserve">(xxii) Reserved. </w:t>
      </w:r>
    </w:p>
    <w:p>
      <w:pPr>
        <w:pStyle w:val="TextBody"/>
        <w:bidi w:val="0"/>
        <w:spacing w:before="120" w:after="0"/>
        <w:jc w:val="left"/>
        <w:rPr>
          <w:rFonts w:ascii="Times New Roman" w:hAnsi="Times New Roman"/>
          <w:sz w:val="20"/>
        </w:rPr>
      </w:pPr>
      <w:r>
        <w:rPr>
          <w:rFonts w:ascii="Times New Roman" w:hAnsi="Times New Roman"/>
          <w:sz w:val="20"/>
        </w:rPr>
        <w:t xml:space="preserve">(xxiii) The Company and 3i, LP shall have duly executed and delivered the Royalty Sale Agreement in the form attached hereto as </w:t>
      </w:r>
      <w:r>
        <w:rPr>
          <w:rFonts w:ascii="Times New Roman" w:hAnsi="Times New Roman"/>
          <w:b/>
          <w:sz w:val="20"/>
        </w:rPr>
        <w:t>Exhibit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(xxiv) The Company and its Subsidiaries shall have delivered to such Buyer such other documents, instruments or certificates relating to the transactions contemplated by this Agreement as such Buyer or its counsel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 of each Buyer hereunder to purchase its Second Note at the Second Closing is subject to the satisfaction, at or before the Second Closing Date, of each of the following conditions, provided that these conditions are for each Buyer’s sole benefit and may be waived by such Buyer at any time in its sole discretion by providing the Company with prior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each Subsidiary (as the case may be) shall have duly executed and delivered to such Buyer each of the Transaction Documents to which it is a party and the Company shall have duly executed and delivered to such Buyer a Second Note in such original principal amount as is set forth across from such Buyer’s name in column (4) of the Schedule of Buyers as being purchased by such Buyer at the Second Closing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Registration Rights Agreement shall have been duly executed and delivered to such Buyer at or prior to the Initial Closing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(iii) Such Buyer shall have received the opinion of Sullivan &amp; Worcester LLP, the Company’s counsel, dated as of the Second Closing Date, in the form acceptable to such Buyer.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shall have delivered to such Buyer a copy of the Irrevocable Transfer Agent Instructions, in the form acceptable to such Buyer, which instructions shall have been delivered to and acknowledged in writing by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Second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 Company shall have delivered to such Buyer a certificate evidencing the Company’s and each Subsidiary’s qualification as a foreign corporation and good standing issued by the Secretary of State (or comparable office) of each jurisdiction in which the Company and each Subsidiary conducts business and is required to so qualify, as of a date within ten (10) days of the Second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The Company shall have delivered to such Buyer a certified copy of the Certificate of Incorporation as certified by the Delaware Secretary of State within ten (10) days of the Second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(viii) Each Subsidiary shall have delivered to such Buyer a certified copy of its Certificate of Incorporation (or such equivalent organizational document) as certified by the Secretary of State (or comparable office) of such Subsidiary’s jurisdiction of incorporation within ten (10) days of the Second Closing Date. </w:t>
      </w:r>
    </w:p>
    <w:p>
      <w:pPr>
        <w:pStyle w:val="TextBody"/>
        <w:bidi w:val="0"/>
        <w:spacing w:before="120" w:after="0"/>
        <w:jc w:val="left"/>
        <w:rPr>
          <w:rFonts w:ascii="Times New Roman" w:hAnsi="Times New Roman"/>
          <w:sz w:val="20"/>
        </w:rPr>
      </w:pPr>
      <w:r>
        <w:rPr>
          <w:rFonts w:ascii="Times New Roman" w:hAnsi="Times New Roman"/>
          <w:sz w:val="20"/>
        </w:rPr>
        <w:t xml:space="preserve">(ix) The Company and each Subsidiary shall have delivered to such Buyer a certificate, in the form acceptable to such Buyer, executed by the Secretary of the Company and each Subsidiary and dated as of the Second Closing Date, as to (i) the resolutions consistent with Section 3(b) as adopted by the Company’s and each Subsidiary’s board of directors in a form reasonably acceptable to such Buyer, (ii) the Certificate of Incorporation of the Company and the organizational documents of each Subsidiary and (iii) the Bylaws of the Company and the bylaws of each Subsidiary, each as in effect at the Second Closing. </w:t>
      </w:r>
    </w:p>
    <w:p>
      <w:pPr>
        <w:pStyle w:val="TextBody"/>
        <w:bidi w:val="0"/>
        <w:spacing w:before="120" w:after="0"/>
        <w:jc w:val="left"/>
        <w:rPr>
          <w:rFonts w:ascii="Times New Roman" w:hAnsi="Times New Roman"/>
          <w:sz w:val="20"/>
        </w:rPr>
      </w:pPr>
      <w:r>
        <w:rPr>
          <w:rFonts w:ascii="Times New Roman" w:hAnsi="Times New Roman"/>
          <w:sz w:val="20"/>
        </w:rPr>
        <w:t xml:space="preserve">(x) Each and every representation and warranty of the Company shall be true and correct as of the date when made and as of the Second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Second Closing Date. Such Buyer shall have received a certificate, duly executed by the Chief Executive Officer of the Company, dated as of the Second Closing Date, to the foregoing effect and as to such other matters as may be reasonably requested by such Buyer in the form acceptable to such Buyer. </w:t>
      </w:r>
    </w:p>
    <w:p>
      <w:pPr>
        <w:pStyle w:val="TextBody"/>
        <w:bidi w:val="0"/>
        <w:spacing w:before="120" w:after="0"/>
        <w:jc w:val="left"/>
        <w:rPr>
          <w:rFonts w:ascii="Times New Roman" w:hAnsi="Times New Roman"/>
          <w:sz w:val="20"/>
        </w:rPr>
      </w:pPr>
      <w:r>
        <w:rPr>
          <w:rFonts w:ascii="Times New Roman" w:hAnsi="Times New Roman"/>
          <w:sz w:val="20"/>
        </w:rPr>
        <w:t xml:space="preserve">(xi) The Company shall have delivered to such Buyer a letter from the Company’s transfer agent certifying the number of shares of Common Stock outstanding on the Second Closing Date immediately prior to the Second Closing. </w:t>
      </w:r>
    </w:p>
    <w:p>
      <w:pPr>
        <w:pStyle w:val="TextBody"/>
        <w:bidi w:val="0"/>
        <w:spacing w:before="120" w:after="0"/>
        <w:jc w:val="left"/>
        <w:rPr>
          <w:rFonts w:ascii="Times New Roman" w:hAnsi="Times New Roman"/>
          <w:sz w:val="20"/>
        </w:rPr>
      </w:pPr>
      <w:r>
        <w:rPr>
          <w:rFonts w:ascii="Times New Roman" w:hAnsi="Times New Roman"/>
          <w:sz w:val="20"/>
        </w:rPr>
        <w:t xml:space="preserve">(xii) The Common Stock (A) shall be designated for quotation or listed (as applicable) on the Principal Market and (B) shall not have been suspended, as of the Second Closing Date, by the SEC or the Principal Market from trading on the Principal Market nor shall suspension by the SEC or the Principal Market have been threatened, as of the Second Closing Date, either (I) in writing by the SEC or the Principal Market or (II) by falling below the minimum maintenance requirements of the Principal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The Company shall have obtained all governmental, regulatory or third party consents and approvals, if any, necessary for the sale of the Securities, including without limitation, those required by the Principal Market, if any. </w:t>
      </w:r>
    </w:p>
    <w:p>
      <w:pPr>
        <w:pStyle w:val="TextBody"/>
        <w:bidi w:val="0"/>
        <w:spacing w:before="120" w:after="0"/>
        <w:jc w:val="left"/>
        <w:rPr>
          <w:rFonts w:ascii="Times New Roman" w:hAnsi="Times New Roman"/>
          <w:sz w:val="20"/>
        </w:rPr>
      </w:pPr>
      <w:r>
        <w:rPr>
          <w:rFonts w:ascii="Times New Roman" w:hAnsi="Times New Roman"/>
          <w:sz w:val="20"/>
        </w:rPr>
        <w:t xml:space="preserve">(xiv) 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(xv) Since the date of execution of this Agreement, no event or series of events shall have occurred that reasonably would have or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 The Company shall have filed an Additional Listing Application with (and shared a copy of which with the Investor a reasonable time in advance of each Closing), and obtained approval of, the Principal Market to list or designate for quotation (as the case may be) the Second Conversion Shares. </w:t>
      </w:r>
    </w:p>
    <w:p>
      <w:pPr>
        <w:pStyle w:val="TextBody"/>
        <w:bidi w:val="0"/>
        <w:spacing w:before="120" w:after="0"/>
        <w:jc w:val="left"/>
        <w:rPr>
          <w:rFonts w:ascii="Times New Roman" w:hAnsi="Times New Roman"/>
          <w:sz w:val="20"/>
        </w:rPr>
      </w:pPr>
      <w:r>
        <w:rPr>
          <w:rFonts w:ascii="Times New Roman" w:hAnsi="Times New Roman"/>
          <w:sz w:val="20"/>
        </w:rPr>
        <w:t xml:space="preserve">(xvii) The Security Agreement shall be in full force and effect and shall have been duly executed and delivered by the Company and each of its Subsidiaries to the Collateral Agent at or prior to the Initial Closing, together with the original stock certificates representing all of the equity interests and all promissory notes required to be pledged thereunder, accompanied by undated stock powers and allonges executed in blank and other proper instruments of transfer. </w:t>
      </w:r>
    </w:p>
    <w:p>
      <w:pPr>
        <w:pStyle w:val="TextBody"/>
        <w:bidi w:val="0"/>
        <w:spacing w:before="120" w:after="0"/>
        <w:jc w:val="left"/>
        <w:rPr>
          <w:rFonts w:ascii="Times New Roman" w:hAnsi="Times New Roman"/>
          <w:sz w:val="20"/>
        </w:rPr>
      </w:pPr>
      <w:r>
        <w:rPr>
          <w:rFonts w:ascii="Times New Roman" w:hAnsi="Times New Roman"/>
          <w:sz w:val="20"/>
        </w:rPr>
        <w:t xml:space="preserve">(xviii) With respect to the Intellectual Property Rights, if any, of the Company or any of its Subsidiaries, each Assignment For Security for the Intellectual Property Rights of the Company and its Subsidiaries, in the form attached as Exhibit A to the Security Agreement, shall have been duly executed and delivered to such Buyer at or prior to the Initial Closing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(xix) Each Controlled Account Bank and the Collateral Agent shall have duly executed and delivered to such Buyer a Controlled Account Agreement with respect to each account of the Company or any of its Subsidiaries held at such Controlled Account Bank and each such Controlled Account Agreement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(xx) Such Buyer shall have received a letter on the letterhead of the Company, duly executed by the Chief Executive Officer of the Company, setting forth the wire amounts of each Buyer in the Second Closing and the wire transfer instructions of the Company (the “</w:t>
      </w:r>
      <w:r>
        <w:rPr>
          <w:rFonts w:ascii="Times New Roman" w:hAnsi="Times New Roman"/>
          <w:b/>
          <w:sz w:val="20"/>
        </w:rPr>
        <w:t>Second Flow of Funds Letter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 From the date hereof to the Second Closing Date, (i) trading in the Common Stock shall not have been suspended by the SEC or the Principal Market (except for any suspension of trading of limited duration agreed to by the Company, which suspension shall be terminated prior to the Second Closing), and, (ii) at any time prior to the Second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Second Closing. </w:t>
      </w:r>
    </w:p>
    <w:p>
      <w:pPr>
        <w:pStyle w:val="TextBody"/>
        <w:bidi w:val="0"/>
        <w:spacing w:before="120" w:after="0"/>
        <w:jc w:val="left"/>
        <w:rPr>
          <w:rFonts w:ascii="Times New Roman" w:hAnsi="Times New Roman"/>
          <w:sz w:val="20"/>
        </w:rPr>
      </w:pPr>
      <w:r>
        <w:rPr>
          <w:rFonts w:ascii="Times New Roman" w:hAnsi="Times New Roman"/>
          <w:sz w:val="20"/>
        </w:rPr>
        <w:t xml:space="preserve">(xxii) The Company and its Subsidiaries shall have delivered to such Buyer such other documents, instruments or certificates relating to the transactions contemplated by this Agreement as such Buyer or its counsel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 of each Buyer hereunder to purchase its Additional Note at the Additional Closing is subject to the satisfaction, at or before the Additional Closing Date, of each of the following conditions, provided that these conditions are for each Buyer’s sole benefit and may be waived by such Buyer at any time in its sole discretion by providing the Company with prior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each Subsidiary (as the case may be) shall have duly executed and delivered to such Buyer each of the Transaction Documents to which it is a party and the Company shall have duly executed and delivered to such Buyer an Additional Note in such original principal amount as is set forth in the applicable Additional Optional Closing Notice at the Additional Closing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Registration Rights Agreement shall have been duly executed and delivered to such Buyer at or prior to the Initial Closing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(iii) Such Buyer shall have received the opinion of Sullivan &amp; Worcester LLP, the Company’s counsel, dated as of the Additional Closing Date, in the form acceptable to such Buyer.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shall have delivered to such Buyer a copy of the Irrevocable Transfer Agent Instructions, in the form acceptable to such Buyer, which instructions shall have been delivered to and acknowledged in writing by the Company’s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Additional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 Company shall have delivered to such Buyer a certificate evidencing the Company’s and each Subsidiary’s qualification as a foreign corporation and good standing issued by the Secretary of State (or comparable office) of each jurisdiction in which the Company and each Subsidiary conducts business and is required to so qualify, as of a date within ten (10) days of the Additional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 The Company shall have delivered to such Buyer a certified copy of the Certificate of Incorporation as certified by the Delaware Secretary of State within ten (10) days of the Additional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(viii) Each Subsidiary shall have delivered to such Buyer a certified copy of its Certificate of Incorporation (or such equivalent organizational document) as certified by the Secretary of State (or comparable office) of such Subsidiary’s jurisdiction of incorporation within ten (10) days of the Additional Closing Date. </w:t>
      </w:r>
    </w:p>
    <w:p>
      <w:pPr>
        <w:pStyle w:val="TextBody"/>
        <w:bidi w:val="0"/>
        <w:spacing w:before="120" w:after="0"/>
        <w:jc w:val="left"/>
        <w:rPr>
          <w:rFonts w:ascii="Times New Roman" w:hAnsi="Times New Roman"/>
          <w:sz w:val="20"/>
        </w:rPr>
      </w:pPr>
      <w:r>
        <w:rPr>
          <w:rFonts w:ascii="Times New Roman" w:hAnsi="Times New Roman"/>
          <w:sz w:val="20"/>
        </w:rPr>
        <w:t xml:space="preserve">(ix) The Company and each Subsidiary shall have delivered to such Buyer a certificate, in the form acceptable to such Buyer, executed by the Secretary of the Company and each Subsidiary and dated as of the Additional Closing Date, as to (i) the resolutions consistent with Section 3(b) as adopted by the Company’s and each Subsidiary’s board of directors in a form reasonably acceptable to such Buyer, (ii) the Certificate of Incorporation of the Company and the organizational documents of each Subsidiary and (iii) the Bylaws of the Company and the bylaws of each Subsidiary, each as in effect at the Additional Closing. </w:t>
      </w:r>
    </w:p>
    <w:p>
      <w:pPr>
        <w:pStyle w:val="TextBody"/>
        <w:bidi w:val="0"/>
        <w:spacing w:before="120" w:after="0"/>
        <w:jc w:val="left"/>
        <w:rPr>
          <w:rFonts w:ascii="Times New Roman" w:hAnsi="Times New Roman"/>
          <w:sz w:val="20"/>
        </w:rPr>
      </w:pPr>
      <w:r>
        <w:rPr>
          <w:rFonts w:ascii="Times New Roman" w:hAnsi="Times New Roman"/>
          <w:sz w:val="20"/>
        </w:rPr>
        <w:t xml:space="preserve">(x) Each and every representation and warranty of the Company shall be true and correct as of the date when made and as of the Additional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Additional Closing Date. Such Buyer shall have received a certificate, duly executed by the Chief Executive Officer of the Company, dated as of the Additional Closing Date, to the foregoing effect and as to such other matters as may be reasonably requested by such Buyer in the form acceptable to such Buyer. </w:t>
      </w:r>
    </w:p>
    <w:p>
      <w:pPr>
        <w:pStyle w:val="TextBody"/>
        <w:bidi w:val="0"/>
        <w:spacing w:before="120" w:after="0"/>
        <w:jc w:val="left"/>
        <w:rPr>
          <w:rFonts w:ascii="Times New Roman" w:hAnsi="Times New Roman"/>
          <w:sz w:val="20"/>
        </w:rPr>
      </w:pPr>
      <w:r>
        <w:rPr>
          <w:rFonts w:ascii="Times New Roman" w:hAnsi="Times New Roman"/>
          <w:sz w:val="20"/>
        </w:rPr>
        <w:t xml:space="preserve">(xi) The Company shall have delivered to such Buyer a letter from the Company’s transfer agent certifying the number of shares of Common Stock outstanding on the Additional Closing Date immediately prior to the Additional Closing. </w:t>
      </w:r>
    </w:p>
    <w:p>
      <w:pPr>
        <w:pStyle w:val="TextBody"/>
        <w:bidi w:val="0"/>
        <w:spacing w:before="120" w:after="0"/>
        <w:jc w:val="left"/>
        <w:rPr>
          <w:rFonts w:ascii="Times New Roman" w:hAnsi="Times New Roman"/>
          <w:sz w:val="20"/>
        </w:rPr>
      </w:pPr>
      <w:r>
        <w:rPr>
          <w:rFonts w:ascii="Times New Roman" w:hAnsi="Times New Roman"/>
          <w:sz w:val="20"/>
        </w:rPr>
        <w:t xml:space="preserve">(xii) The Common Stock (A) shall be designated for quotation or listed (as applicable) on the Principal Market and (B) shall not have been suspended, as of the Additional Closing Date, by the SEC or the Principal Market from trading on the Principal Market nor shall suspension by the SEC or the Principal Market have been threatened, as of the Additional Closing Date, either (I) in writing by the SEC or the Principal Market or (II) by falling below the minimum maintenance requirements of the Principal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The Company shall have obtained all governmental, regulatory or third party consents and approvals, if any, necessary for the sale of the Securities, including without limitation, those required by the Principal Market, if any. </w:t>
      </w:r>
    </w:p>
    <w:p>
      <w:pPr>
        <w:pStyle w:val="TextBody"/>
        <w:bidi w:val="0"/>
        <w:spacing w:before="120" w:after="0"/>
        <w:jc w:val="left"/>
        <w:rPr>
          <w:rFonts w:ascii="Times New Roman" w:hAnsi="Times New Roman"/>
          <w:sz w:val="20"/>
        </w:rPr>
      </w:pPr>
      <w:r>
        <w:rPr>
          <w:rFonts w:ascii="Times New Roman" w:hAnsi="Times New Roman"/>
          <w:sz w:val="20"/>
        </w:rPr>
        <w:t xml:space="preserve">(xiv) 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(xv) Since the date of execution of this Agreement, no event or series of events shall have occurred that reasonably would have or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 The Company shall have filed an Additional Listing Application with, (and shared a copy of which with the Investor a reasonable time in advance of each Closing) and obtained approval of the Principal Market to list or designate for quotation (as the case may be) the Conversion Shares. </w:t>
      </w:r>
    </w:p>
    <w:p>
      <w:pPr>
        <w:pStyle w:val="TextBody"/>
        <w:bidi w:val="0"/>
        <w:spacing w:before="120" w:after="0"/>
        <w:jc w:val="left"/>
        <w:rPr>
          <w:rFonts w:ascii="Times New Roman" w:hAnsi="Times New Roman"/>
          <w:sz w:val="20"/>
        </w:rPr>
      </w:pPr>
      <w:r>
        <w:rPr>
          <w:rFonts w:ascii="Times New Roman" w:hAnsi="Times New Roman"/>
          <w:sz w:val="20"/>
        </w:rPr>
        <w:t xml:space="preserve">(xvii) The Security Agreement shall be in full force and effect and shall have been duly executed and delivered by the Company and each of its Subsidiaries to the Collateral Agent at or prior to the Initial Closing, together with the original stock certificates representing all of the equity interests and all promissory notes required to be pledged thereunder, accompanied by undated stock powers and allonges executed in blank and other proper instruments of transfer. </w:t>
      </w:r>
    </w:p>
    <w:p>
      <w:pPr>
        <w:pStyle w:val="TextBody"/>
        <w:bidi w:val="0"/>
        <w:spacing w:before="120" w:after="0"/>
        <w:jc w:val="left"/>
        <w:rPr>
          <w:rFonts w:ascii="Times New Roman" w:hAnsi="Times New Roman"/>
          <w:sz w:val="20"/>
        </w:rPr>
      </w:pPr>
      <w:r>
        <w:rPr>
          <w:rFonts w:ascii="Times New Roman" w:hAnsi="Times New Roman"/>
          <w:sz w:val="20"/>
        </w:rPr>
        <w:t xml:space="preserve">(xviii) With respect to the Intellectual Property Rights, if any, of the Company or any of its Subsidiaries, each Assignment For Security for the Intellectual Property Rights of the Company and its Subsidiaries, in the form attached as Exhibit A to the Security Agreement shall have been duly executed and delivered to such Buyer at or prior to the Initial Closing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(xix) Each Controlled Account Bank and the Collateral Agent shall have duly executed and delivered to such Buyer a Controlled Account Agreement with respect to each account of the Company or any of its Subsidiaries held at such Controlled Account Bank and each such Controlled Account Agreement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(xx) Such Buyer shall have received a letter on the letterhead of the Company, duly executed by the Chief Executive Officer of the Company, setting forth the wire amounts of each Buyer and the wire transfer instructions of the Company (the “</w:t>
      </w:r>
      <w:r>
        <w:rPr>
          <w:rFonts w:ascii="Times New Roman" w:hAnsi="Times New Roman"/>
          <w:b/>
          <w:sz w:val="20"/>
        </w:rPr>
        <w:t>Additional Flow of Funds Letter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(xxi) The Company and its Subsidiaries shall have delivered to such Buyer such other documents, instruments or certificates relating to the transactions contemplated by this Agreement as such Buyer or its counsel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that the Initial Closing shall not have occurred with respect to a Buyer within five (5)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shall be applicable only to such Buyer providing such written notice, provided further that no such termination shall affect any obligation of the Company under this Agreement to reimburse such Buyer for the expenses described in Section 4(j)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 Jurisdiction; Jury Trial</w:t>
      </w:r>
      <w:r>
        <w:rPr>
          <w:rFonts w:ascii="Times New Roman" w:hAnsi="Times New Roman"/>
          <w:sz w:val="20"/>
        </w:rPr>
        <w:t xml:space="preserve">.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hAnsi="Times New Roman"/>
          <w:b/>
          <w:sz w:val="20"/>
        </w:rPr>
        <w:t>EACH PARTY HEREBY IRREVOCABLY WAIVES ANY RIGHT IT MAY HAVE TO, AND AGREES NOT TO REQUEST, A JURY TRIAL FOR THE ADJUDICATION OF ANY DISPUTE HEREUNDER OR UNDER ANY OTHER TRANSACTION DOCUMENT OR IN CONNECTION WITH OR ARISING OUT OF THIS AGREEMENT, ANY OTHER</w:t>
      </w:r>
      <w:r>
        <w:rPr>
          <w:rFonts w:ascii="Times New Roman" w:hAnsi="Times New Roman"/>
          <w:sz w:val="20"/>
        </w:rPr>
        <w:t xml:space="preserve"> </w:t>
      </w:r>
      <w:r>
        <w:rPr>
          <w:rFonts w:ascii="Times New Roman" w:hAnsi="Times New Roman"/>
          <w:b/>
          <w:sz w:val="20"/>
        </w:rPr>
        <w:t>TRANSACTION DOCUMENT OR ANY TRANSACTION CONTEMPLATED HEREBY OR THEREBY.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Headings; Gender</w:t>
      </w:r>
      <w:r>
        <w:rPr>
          <w:rFonts w:ascii="Times New Roman" w:hAnsi="Times New Roman"/>
          <w:sz w:val="20"/>
        </w:rPr>
        <w:t xml:space="preserve">.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Severability; Maximum Payment Amounts</w:t>
      </w:r>
      <w:r>
        <w:rPr>
          <w:rFonts w:ascii="Times New Roman" w:hAnsi="Times New Roman"/>
          <w:sz w:val="20"/>
        </w:rPr>
        <w:t xml:space="preserv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 Amendments</w:t>
      </w:r>
      <w:r>
        <w:rPr>
          <w:rFonts w:ascii="Times New Roman" w:hAnsi="Times New Roman"/>
          <w:sz w:val="20"/>
        </w:rPr>
        <w:t xml:space="preserve">.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Holders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and provided further that the provisions of Sections 4(x) and 4(y) above cannot be amended or waived without the additional prior written approval of the Collateral Agent or its successor.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the Transaction Documents, all holders of the Notes. From the date hereof and while any Notes are outstanding, the Company shall not be permitted to receive any consideration from a Buyer or a holder of Notes that is not otherwise contemplated by the Transaction Documents in order to, directly or indirectly, induce the Company or any Subsidiary (i) to treat such Buyer or holder of Notes in a manner that is more favorable than to other similarly situated Buyers or holders of Notes, or (ii) to treat any Buyer(s) or holder(s) of Notes in a manner that is less favorable than the Buyer or holder of Notes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hAnsi="Times New Roman"/>
          <w:b/>
          <w:sz w:val="20"/>
        </w:rPr>
        <w:t>Required Holders</w:t>
      </w:r>
      <w:r>
        <w:rPr>
          <w:rFonts w:ascii="Times New Roman" w:hAnsi="Times New Roman"/>
          <w:sz w:val="20"/>
        </w:rPr>
        <w:t>” means (I) prior to the Initial Closing Date, each Buyer entitled to purchase Initial Notes at the Initial Closing and (II) on or after the Initial Closing Date, (x) 3i, LP (the “</w:t>
      </w:r>
      <w:r>
        <w:rPr>
          <w:rFonts w:ascii="Times New Roman" w:hAnsi="Times New Roman"/>
          <w:b/>
          <w:sz w:val="20"/>
        </w:rPr>
        <w:t>Lead Investor</w:t>
      </w:r>
      <w:r>
        <w:rPr>
          <w:rFonts w:ascii="Times New Roman" w:hAnsi="Times New Roman"/>
          <w:sz w:val="20"/>
        </w:rPr>
        <w:t xml:space="preserve">”), until the later of (A) Additional Closing Expiration Date and (B) such date as the Lead Investor (or any of its Affiliates) no longer holds any Securities or (y) thereafter, holders of a majority of the Underlying Securities as of such time (excluding any Underlying Securities held by the Company or any of its Subsidiaries as of such time and excluding any purchasers of Underlying Securities, unless pursuant to a written assignment by such Buyer) issued or issuable hereunder or pursuant to the Notes (or the Buyers, with respect to any waiver or amendment of Section 4(o)).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Cerenome, Inc. </w:t>
      </w:r>
    </w:p>
    <w:p>
      <w:pPr>
        <w:pStyle w:val="TextBody"/>
        <w:bidi w:val="0"/>
        <w:spacing w:before="0" w:after="0"/>
        <w:jc w:val="left"/>
        <w:rPr>
          <w:rFonts w:ascii="Times New Roman" w:hAnsi="Times New Roman"/>
          <w:sz w:val="20"/>
        </w:rPr>
      </w:pPr>
      <w:r>
        <w:rPr>
          <w:rFonts w:ascii="Times New Roman" w:hAnsi="Times New Roman"/>
          <w:sz w:val="20"/>
        </w:rPr>
        <w:t xml:space="preserve">6420 Levit Green Boulevard </w:t>
      </w:r>
    </w:p>
    <w:p>
      <w:pPr>
        <w:pStyle w:val="TextBody"/>
        <w:bidi w:val="0"/>
        <w:spacing w:before="0" w:after="0"/>
        <w:jc w:val="left"/>
        <w:rPr>
          <w:rFonts w:ascii="Times New Roman" w:hAnsi="Times New Roman"/>
          <w:sz w:val="20"/>
        </w:rPr>
      </w:pPr>
      <w:r>
        <w:rPr>
          <w:rFonts w:ascii="Times New Roman" w:hAnsi="Times New Roman"/>
          <w:sz w:val="20"/>
        </w:rPr>
        <w:t xml:space="preserve">Suite 310 </w:t>
      </w:r>
    </w:p>
    <w:p>
      <w:pPr>
        <w:pStyle w:val="TextBody"/>
        <w:bidi w:val="0"/>
        <w:spacing w:before="0" w:after="0"/>
        <w:jc w:val="left"/>
        <w:rPr>
          <w:rFonts w:ascii="Times New Roman" w:hAnsi="Times New Roman"/>
          <w:sz w:val="20"/>
        </w:rPr>
      </w:pPr>
      <w:r>
        <w:rPr>
          <w:rFonts w:ascii="Times New Roman" w:hAnsi="Times New Roman"/>
          <w:sz w:val="20"/>
        </w:rPr>
        <w:t xml:space="preserve">Houston, TX 77021 </w:t>
      </w:r>
    </w:p>
    <w:p>
      <w:pPr>
        <w:pStyle w:val="TextBody"/>
        <w:bidi w:val="0"/>
        <w:spacing w:before="0" w:after="0"/>
        <w:jc w:val="left"/>
        <w:rPr>
          <w:rFonts w:ascii="Times New Roman" w:hAnsi="Times New Roman"/>
          <w:sz w:val="20"/>
        </w:rPr>
      </w:pPr>
      <w:r>
        <w:rPr>
          <w:rFonts w:ascii="Times New Roman" w:hAnsi="Times New Roman"/>
          <w:sz w:val="20"/>
        </w:rPr>
        <w:t xml:space="preserve">Attn: Andrew Sims </w:t>
      </w:r>
    </w:p>
    <w:p>
      <w:pPr>
        <w:pStyle w:val="TextBody"/>
        <w:bidi w:val="0"/>
        <w:spacing w:before="0" w:after="0"/>
        <w:jc w:val="left"/>
        <w:rPr>
          <w:rFonts w:ascii="Times New Roman" w:hAnsi="Times New Roman"/>
          <w:sz w:val="20"/>
        </w:rPr>
      </w:pPr>
      <w:r>
        <w:rPr>
          <w:rFonts w:ascii="Times New Roman" w:hAnsi="Times New Roman"/>
          <w:sz w:val="20"/>
        </w:rPr>
        <w:t xml:space="preserve">E-Mail: asims@cerenome.com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(for informational purposes only) to: </w:t>
      </w:r>
    </w:p>
    <w:p>
      <w:pPr>
        <w:pStyle w:val="TextBody"/>
        <w:bidi w:val="0"/>
        <w:spacing w:before="120" w:after="0"/>
        <w:jc w:val="left"/>
        <w:rPr>
          <w:rFonts w:ascii="Times New Roman" w:hAnsi="Times New Roman"/>
          <w:sz w:val="20"/>
        </w:rPr>
      </w:pPr>
      <w:r>
        <w:rPr>
          <w:rFonts w:ascii="Times New Roman" w:hAnsi="Times New Roman"/>
          <w:sz w:val="20"/>
        </w:rPr>
        <w:t xml:space="preserve">Sullivan &amp; Worcester LLP </w:t>
      </w:r>
    </w:p>
    <w:p>
      <w:pPr>
        <w:pStyle w:val="TextBody"/>
        <w:bidi w:val="0"/>
        <w:spacing w:before="0" w:after="0"/>
        <w:jc w:val="left"/>
        <w:rPr>
          <w:rFonts w:ascii="Times New Roman" w:hAnsi="Times New Roman"/>
          <w:sz w:val="20"/>
        </w:rPr>
      </w:pPr>
      <w:r>
        <w:rPr>
          <w:rFonts w:ascii="Times New Roman" w:hAnsi="Times New Roman"/>
          <w:sz w:val="20"/>
        </w:rPr>
        <w:t xml:space="preserve">1251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0" w:after="0"/>
        <w:jc w:val="left"/>
        <w:rPr>
          <w:rFonts w:ascii="Times New Roman" w:hAnsi="Times New Roman"/>
          <w:sz w:val="20"/>
        </w:rPr>
      </w:pPr>
      <w:r>
        <w:rPr>
          <w:rFonts w:ascii="Times New Roman" w:hAnsi="Times New Roman"/>
          <w:sz w:val="20"/>
        </w:rPr>
        <w:t xml:space="preserve">Attn: David E. Danovitch, Esq. </w:t>
      </w:r>
    </w:p>
    <w:p>
      <w:pPr>
        <w:pStyle w:val="TextBody"/>
        <w:bidi w:val="0"/>
        <w:spacing w:before="0" w:after="0"/>
        <w:jc w:val="left"/>
        <w:rPr>
          <w:rFonts w:ascii="Times New Roman" w:hAnsi="Times New Roman"/>
          <w:sz w:val="20"/>
        </w:rPr>
      </w:pPr>
      <w:r>
        <w:rPr>
          <w:rFonts w:ascii="Times New Roman" w:hAnsi="Times New Roman"/>
          <w:sz w:val="20"/>
        </w:rPr>
        <w:t xml:space="preserve">E-Mail: ddanovitch@sullivanlaw.com </w:t>
      </w:r>
    </w:p>
    <w:p>
      <w:pPr>
        <w:pStyle w:val="TextBody"/>
        <w:bidi w:val="0"/>
        <w:spacing w:before="120" w:after="0"/>
        <w:jc w:val="left"/>
        <w:rPr>
          <w:rFonts w:ascii="Times New Roman" w:hAnsi="Times New Roman"/>
          <w:sz w:val="20"/>
        </w:rPr>
      </w:pPr>
      <w:r>
        <w:rPr>
          <w:rFonts w:ascii="Times New Roman" w:hAnsi="Times New Roman"/>
          <w:sz w:val="20"/>
        </w:rPr>
        <w:t xml:space="preserve">If to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Nevada Agency and Transfer Company </w:t>
      </w:r>
    </w:p>
    <w:p>
      <w:pPr>
        <w:pStyle w:val="TextBody"/>
        <w:bidi w:val="0"/>
        <w:spacing w:before="0" w:after="0"/>
        <w:jc w:val="left"/>
        <w:rPr>
          <w:rFonts w:ascii="Times New Roman" w:hAnsi="Times New Roman"/>
          <w:sz w:val="20"/>
        </w:rPr>
      </w:pPr>
      <w:r>
        <w:rPr>
          <w:rFonts w:ascii="Times New Roman" w:hAnsi="Times New Roman"/>
          <w:sz w:val="20"/>
        </w:rPr>
        <w:t xml:space="preserve">50 West Liberty Street, </w:t>
      </w:r>
    </w:p>
    <w:p>
      <w:pPr>
        <w:pStyle w:val="TextBody"/>
        <w:bidi w:val="0"/>
        <w:spacing w:before="0" w:after="0"/>
        <w:jc w:val="left"/>
        <w:rPr>
          <w:rFonts w:ascii="Times New Roman" w:hAnsi="Times New Roman"/>
          <w:sz w:val="20"/>
        </w:rPr>
      </w:pPr>
      <w:r>
        <w:rPr>
          <w:rFonts w:ascii="Times New Roman" w:hAnsi="Times New Roman"/>
          <w:sz w:val="20"/>
        </w:rPr>
        <w:t xml:space="preserve">Suite 880 </w:t>
      </w:r>
    </w:p>
    <w:p>
      <w:pPr>
        <w:pStyle w:val="TextBody"/>
        <w:bidi w:val="0"/>
        <w:spacing w:before="0" w:after="0"/>
        <w:jc w:val="left"/>
        <w:rPr>
          <w:rFonts w:ascii="Times New Roman" w:hAnsi="Times New Roman"/>
          <w:sz w:val="20"/>
        </w:rPr>
      </w:pPr>
      <w:r>
        <w:rPr>
          <w:rFonts w:ascii="Times New Roman" w:hAnsi="Times New Roman"/>
          <w:sz w:val="20"/>
        </w:rPr>
        <w:t xml:space="preserve">Reno NV 89501 </w:t>
      </w:r>
    </w:p>
    <w:p>
      <w:pPr>
        <w:pStyle w:val="TextBody"/>
        <w:bidi w:val="0"/>
        <w:spacing w:before="0" w:after="0"/>
        <w:jc w:val="left"/>
        <w:rPr>
          <w:rFonts w:ascii="Times New Roman" w:hAnsi="Times New Roman"/>
          <w:sz w:val="20"/>
        </w:rPr>
      </w:pPr>
      <w:r>
        <w:rPr>
          <w:rFonts w:ascii="Times New Roman" w:hAnsi="Times New Roman"/>
          <w:sz w:val="20"/>
        </w:rPr>
        <w:t xml:space="preserve">Attn: Tiffany Baxter </w:t>
      </w:r>
    </w:p>
    <w:p>
      <w:pPr>
        <w:pStyle w:val="TextBody"/>
        <w:bidi w:val="0"/>
        <w:spacing w:before="240" w:after="0"/>
        <w:jc w:val="left"/>
        <w:rPr>
          <w:rFonts w:ascii="Times New Roman" w:hAnsi="Times New Roman"/>
          <w:sz w:val="20"/>
        </w:rPr>
      </w:pPr>
      <w:r>
        <w:rPr>
          <w:rFonts w:ascii="Times New Roman" w:hAnsi="Times New Roman"/>
          <w:sz w:val="20"/>
        </w:rPr>
        <w:t xml:space="preserve">If to a Buyer, to its mailing address and e-mail address set forth on the Schedule of Buyers, with copies to such Buyer’s representatives as set forth on the Schedule of Buyers, </w:t>
      </w:r>
    </w:p>
    <w:p>
      <w:pPr>
        <w:pStyle w:val="TextBody"/>
        <w:bidi w:val="0"/>
        <w:spacing w:before="120" w:after="0"/>
        <w:jc w:val="left"/>
        <w:rPr>
          <w:rFonts w:ascii="Times New Roman" w:hAnsi="Times New Roman"/>
          <w:sz w:val="20"/>
        </w:rPr>
      </w:pPr>
      <w:r>
        <w:rPr>
          <w:rFonts w:ascii="Times New Roman" w:hAnsi="Times New Roman"/>
          <w:sz w:val="20"/>
        </w:rPr>
        <w:t xml:space="preserve">with a copy (for informational purposes only) to: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Telephone: (313) 465-7042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Rosenberg , Esq. and N. Danny Shulman, </w:t>
      </w:r>
    </w:p>
    <w:p>
      <w:pPr>
        <w:pStyle w:val="TextBody"/>
        <w:bidi w:val="0"/>
        <w:spacing w:before="0" w:after="0"/>
        <w:jc w:val="left"/>
        <w:rPr>
          <w:rFonts w:ascii="Times New Roman" w:hAnsi="Times New Roman"/>
          <w:sz w:val="20"/>
        </w:rPr>
      </w:pPr>
      <w:r>
        <w:rPr>
          <w:rFonts w:ascii="Times New Roman" w:hAnsi="Times New Roman"/>
          <w:sz w:val="20"/>
        </w:rPr>
        <w:t xml:space="preserve">Esq. </w:t>
      </w:r>
    </w:p>
    <w:p>
      <w:pPr>
        <w:pStyle w:val="TextBody"/>
        <w:bidi w:val="0"/>
        <w:spacing w:before="0" w:after="0"/>
        <w:jc w:val="left"/>
        <w:rPr>
          <w:rFonts w:ascii="Times New Roman" w:hAnsi="Times New Roman"/>
          <w:sz w:val="20"/>
        </w:rPr>
      </w:pPr>
      <w:r>
        <w:rPr>
          <w:rFonts w:ascii="Times New Roman" w:hAnsi="Times New Roman"/>
          <w:sz w:val="20"/>
        </w:rPr>
        <w:t xml:space="preserve">E-mail: mrosenberg@honigman.com and </w:t>
      </w:r>
    </w:p>
    <w:p>
      <w:pPr>
        <w:pStyle w:val="TextBody"/>
        <w:bidi w:val="0"/>
        <w:spacing w:before="0" w:after="0"/>
        <w:jc w:val="left"/>
        <w:rPr>
          <w:rFonts w:ascii="Times New Roman" w:hAnsi="Times New Roman"/>
          <w:sz w:val="20"/>
        </w:rPr>
      </w:pPr>
      <w:r>
        <w:rPr>
          <w:rFonts w:ascii="Times New Roman" w:hAnsi="Times New Roman"/>
          <w:sz w:val="20"/>
        </w:rPr>
        <w:t xml:space="preserve">nshulman@honigman.com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mailing address and/or e-mail address and/or to the attention of such other Person as the recipient party has specified by written notice given to each other party five (5) days prior to the effectiveness of such change, provided that Honigman LLP shall only be provided copies of notices sent to the lead Buyer.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including any purchasers of any of the Notes (but excluding any purchasers of any Conversion Shares). The Company shall not assign this Agreement or any rights or obligations hereunder without the prior written consent of the Required Holders, including, without limitation, by way of a Fundamental Transaction (as defined in the Notes) (unless the Company is in compliance with the applicable provisions governing Fundamental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 Party Beneficiaries</w:t>
      </w:r>
      <w:r>
        <w:rPr>
          <w:rFonts w:ascii="Times New Roman" w:hAnsi="Times New Roman"/>
          <w:sz w:val="20"/>
        </w:rPr>
        <w:t xml:space="preserve">. This Agreement is intended for the benefit of the parties hereto and their respective permitted successors and assigns, and is not for the benefit of, nor may any provision hereof be enforced by, any other Person, other than the Indemnitees referred to in Section 9(k).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The representations, warranties, agreements and covenants shall survive each Closing. Each Buyer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hAnsi="Times New Roman"/>
          <w:b/>
          <w:sz w:val="20"/>
        </w:rPr>
        <w:t>Indemnitees</w:t>
      </w:r>
      <w:r>
        <w:rPr>
          <w:rFonts w:ascii="Times New Roman" w:hAnsi="Times New Roman"/>
          <w:sz w:val="20"/>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hAnsi="Times New Roman"/>
          <w:b/>
          <w:sz w:val="20"/>
        </w:rPr>
        <w:t>Indemnified Liabilities</w:t>
      </w:r>
      <w:r>
        <w:rPr>
          <w:rFonts w:ascii="Times New Roman" w:hAnsi="Times New Roman"/>
          <w:sz w:val="20"/>
        </w:rPr>
        <w:t xml:space="preserve">”), incurred by any Indemnitee as a result of, or arising out of, or relating to (i) any misrepresentation or breach of any representation or warranty made by the Company or any Subsidiary in any of the Transaction Documents, (ii) any breach of any covenant, agreement or obligation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4(l),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Promptly after receipt by an Indemnitee under this Section 9(k) of notice of the commencement of any action or proceeding (including any governmental action or proceeding) involving an Indemnified Liability, such Indemnitee shall, if a claim in respect thereof is to be made against the Company under this Section 9(k),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9(k), except to the extent that the Company is materially and adversely prejudiced in its ability to defend such action. </w:t>
      </w:r>
    </w:p>
    <w:p>
      <w:pPr>
        <w:pStyle w:val="TextBody"/>
        <w:bidi w:val="0"/>
        <w:spacing w:before="120" w:after="0"/>
        <w:jc w:val="left"/>
        <w:rPr>
          <w:rFonts w:ascii="Times New Roman" w:hAnsi="Times New Roman"/>
          <w:sz w:val="20"/>
        </w:rPr>
      </w:pPr>
      <w:r>
        <w:rPr>
          <w:rFonts w:ascii="Times New Roman" w:hAnsi="Times New Roman"/>
          <w:sz w:val="20"/>
        </w:rPr>
        <w:t xml:space="preserve">(iii) The indemnification required by this Section 9(k) shall be made by periodic payments of the amount thereof during the course of the investigation or defense, within ten (10) days after bills are received or Indemnified Liabilities are incurred. </w:t>
      </w:r>
    </w:p>
    <w:p>
      <w:pPr>
        <w:pStyle w:val="TextBody"/>
        <w:bidi w:val="0"/>
        <w:spacing w:before="120" w:after="0"/>
        <w:jc w:val="left"/>
        <w:rPr>
          <w:rFonts w:ascii="Times New Roman" w:hAnsi="Times New Roman"/>
          <w:sz w:val="20"/>
        </w:rPr>
      </w:pPr>
      <w:r>
        <w:rPr>
          <w:rFonts w:ascii="Times New Roman" w:hAnsi="Times New Roman"/>
          <w:sz w:val="20"/>
        </w:rPr>
        <w:t xml:space="preserve">(iv) The indemnity agreement contained herein shall be in addition to (A) any cause of action or similar right of the Indemnitee against the Company or others, and (B) any liabilities the Company may be subject to pursuant to the law.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Construction</w:t>
      </w:r>
      <w:r>
        <w:rPr>
          <w:rFonts w:ascii="Times New Roman" w:hAnsi="Times New Roman"/>
          <w:sz w:val="20"/>
        </w:rPr>
        <w:t xml:space="preserve">.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Remedies</w:t>
      </w:r>
      <w:r>
        <w:rPr>
          <w:rFonts w:ascii="Times New Roman" w:hAnsi="Times New Roman"/>
          <w:sz w:val="20"/>
        </w:rPr>
        <w:t xml:space="preserve">.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Withdrawal Right</w:t>
      </w:r>
      <w:r>
        <w:rPr>
          <w:rFonts w:ascii="Times New Roman" w:hAnsi="Times New Roman"/>
          <w:sz w:val="20"/>
        </w:rPr>
        <w:t xml:space="preserve">.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Payment Set Aside; Currency</w:t>
      </w:r>
      <w:r>
        <w:rPr>
          <w:rFonts w:ascii="Times New Roman" w:hAnsi="Times New Roman"/>
          <w:sz w:val="20"/>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hAnsi="Times New Roman"/>
          <w:b/>
          <w:sz w:val="20"/>
        </w:rPr>
        <w:t>U.S. Dollars</w:t>
      </w:r>
      <w:r>
        <w:rPr>
          <w:rFonts w:ascii="Times New Roman" w:hAnsi="Times New Roman"/>
          <w:sz w:val="20"/>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hAnsi="Times New Roman"/>
          <w:b/>
          <w:sz w:val="20"/>
        </w:rPr>
        <w:t>Exchange Rate</w:t>
      </w:r>
      <w:r>
        <w:rPr>
          <w:rFonts w:ascii="Times New Roman" w:hAnsi="Times New Roman"/>
          <w:sz w:val="20"/>
        </w:rPr>
        <w:t xml:space="preserve">” means, in relation to any amount of currency to be converted into U.S. Dollars pursuant to this Agreement, the U.S. Dollar exchange rate as published in the Wall Street Journal on the relevant date of calculation.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hAnsi="Times New Roman"/>
          <w:b/>
          <w:sz w:val="20"/>
        </w:rPr>
        <w:t>Judgment Currency</w:t>
      </w:r>
      <w:r>
        <w:rPr>
          <w:rFonts w:ascii="Times New Roman" w:hAnsi="Times New Roman"/>
          <w:sz w:val="20"/>
        </w:rPr>
        <w:t xml:space="preserve">”) an amount due in US Dollars under this Agreement, the conversion shall be made at the Exchange Rate prevailing on the Trading Day immediately preceding: </w:t>
      </w:r>
    </w:p>
    <w:p>
      <w:pPr>
        <w:pStyle w:val="TextBody"/>
        <w:bidi w:val="0"/>
        <w:spacing w:before="120" w:after="0"/>
        <w:jc w:val="left"/>
        <w:rPr>
          <w:rFonts w:ascii="Times New Roman" w:hAnsi="Times New Roman"/>
          <w:sz w:val="20"/>
        </w:rPr>
      </w:pPr>
      <w:r>
        <w:rPr>
          <w:rFonts w:ascii="Times New Roman" w:hAnsi="Times New Roman"/>
          <w:sz w:val="20"/>
        </w:rPr>
        <w:t xml:space="preserve">(1) the date actual payment of the amount due, in the case of any proceeding in the courts of New York or in the courts of any other jurisdiction that will give effect to such conversion being made on such 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the date on which the foreign court determines, in the case of any proceeding in the courts of any other jurisdiction (the date as of which such conversion is made pursuant to this Section 9(p)(i)(2) being hereinafter referred to as the “</w:t>
      </w:r>
      <w:r>
        <w:rPr>
          <w:rFonts w:ascii="Times New Roman" w:hAnsi="Times New Roman"/>
          <w:b/>
          <w:sz w:val="20"/>
        </w:rPr>
        <w:t>Judgment Conversion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in the case of any proceeding in the court of any jurisdiction referred to in Section 9(p)(i)(2)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(iii) Any amount due from the Company under this provision shall be due as a separate debt and shall not be affected by judgment being obtained for any other amounts due under or in respect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Independent Nature of Buyers’ Obligations and Rights</w:t>
      </w:r>
      <w:r>
        <w:rPr>
          <w:rFonts w:ascii="Times New Roman" w:hAnsi="Times New Roman"/>
          <w:sz w:val="20"/>
        </w:rPr>
        <w:t xml:space="preserve">.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Buyer and the Company have caused their respective signature page to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1"/>
        <w:gridCol w:w="95"/>
        <w:gridCol w:w="3446"/>
      </w:tblGrid>
      <w:tr>
        <w:trPr/>
        <w:tc>
          <w:tcPr>
            <w:tcW w:w="54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CERENOME, INC.</w:t>
            </w:r>
          </w:p>
        </w:tc>
      </w:tr>
      <w:tr>
        <w:trPr>
          <w:trHeight w:val="240" w:hRule="atLeast"/>
        </w:trPr>
        <w:tc>
          <w:tcPr>
            <w:tcW w:w="541"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By:</w:t>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pBdr>
                <w:bottom w:val="single" w:sz="2" w:space="1" w:color="000000"/>
              </w:pBdr>
              <w:bidi w:val="0"/>
              <w:spacing w:before="0" w:after="20"/>
              <w:jc w:val="center"/>
              <w:rPr/>
            </w:pPr>
            <w:r>
              <w:rPr/>
              <w:t> </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Name:</w:t>
            </w:r>
          </w:p>
        </w:tc>
      </w:tr>
      <w:tr>
        <w:trPr/>
        <w:tc>
          <w:tcPr>
            <w:tcW w:w="541"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446"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Buyer and the Company have caused their respective signature page to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BUYER: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3I, LP</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center"/>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BUYERS </w:t>
      </w:r>
    </w:p>
    <w:p>
      <w:pPr>
        <w:pStyle w:val="TextBody"/>
        <w:bidi w:val="0"/>
        <w:spacing w:before="0" w:after="0"/>
        <w:jc w:val="left"/>
        <w:rPr/>
      </w:pPr>
      <w:r>
        <w:rPr/>
        <w:t> </w:t>
      </w:r>
    </w:p>
    <w:tbl>
      <w:tblPr>
        <w:tblW w:w="13825" w:type="dxa"/>
        <w:jc w:val="center"/>
        <w:tblInd w:w="0" w:type="dxa"/>
        <w:tblLayout w:type="fixed"/>
        <w:tblCellMar>
          <w:top w:w="0" w:type="dxa"/>
          <w:left w:w="0" w:type="dxa"/>
          <w:bottom w:w="0" w:type="dxa"/>
          <w:right w:w="0" w:type="dxa"/>
        </w:tblCellMar>
      </w:tblPr>
      <w:tblGrid>
        <w:gridCol w:w="635"/>
        <w:gridCol w:w="120"/>
        <w:gridCol w:w="2165"/>
        <w:gridCol w:w="60"/>
        <w:gridCol w:w="140"/>
        <w:gridCol w:w="980"/>
        <w:gridCol w:w="60"/>
        <w:gridCol w:w="120"/>
        <w:gridCol w:w="140"/>
        <w:gridCol w:w="980"/>
        <w:gridCol w:w="60"/>
        <w:gridCol w:w="120"/>
        <w:gridCol w:w="140"/>
        <w:gridCol w:w="1100"/>
        <w:gridCol w:w="60"/>
        <w:gridCol w:w="120"/>
        <w:gridCol w:w="140"/>
        <w:gridCol w:w="980"/>
        <w:gridCol w:w="60"/>
        <w:gridCol w:w="120"/>
        <w:gridCol w:w="193"/>
        <w:gridCol w:w="1357"/>
        <w:gridCol w:w="60"/>
        <w:gridCol w:w="120"/>
        <w:gridCol w:w="140"/>
        <w:gridCol w:w="1100"/>
        <w:gridCol w:w="60"/>
        <w:gridCol w:w="120"/>
        <w:gridCol w:w="2375"/>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(1)</w:t>
            </w:r>
          </w:p>
        </w:tc>
        <w:tc>
          <w:tcPr>
            <w:tcW w:w="120" w:type="dxa"/>
            <w:tcBorders/>
            <w:vAlign w:val="bottom"/>
          </w:tcPr>
          <w:p>
            <w:pPr>
              <w:pStyle w:val="TableContents"/>
              <w:bidi w:val="0"/>
              <w:spacing w:before="0" w:after="283"/>
              <w:jc w:val="left"/>
              <w:rPr/>
            </w:pPr>
            <w:r>
              <w:rPr/>
              <w:t>  </w:t>
            </w:r>
          </w:p>
        </w:tc>
        <w:tc>
          <w:tcPr>
            <w:tcW w:w="2165" w:type="dxa"/>
            <w:tcBorders>
              <w:bottom w:val="single" w:sz="8" w:space="0" w:color="000000"/>
            </w:tcBorders>
            <w:tcMar>
              <w:bottom w:w="28" w:type="dxa"/>
            </w:tcMar>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tcBorders>
              <w:bottom w:val="single" w:sz="8" w:space="0" w:color="000000"/>
            </w:tcBorders>
            <w:tcMar>
              <w:bottom w:w="28" w:type="dxa"/>
            </w:tcMar>
            <w:vAlign w:val="bottom"/>
          </w:tcPr>
          <w:p>
            <w:pPr>
              <w:pStyle w:val="TableContents"/>
              <w:bidi w:val="0"/>
              <w:spacing w:before="0" w:after="283"/>
              <w:jc w:val="center"/>
              <w:rPr>
                <w:b/>
              </w:rPr>
            </w:pPr>
            <w:r>
              <w:rPr>
                <w:b/>
              </w:rPr>
              <w:t>(9)</w:t>
            </w:r>
          </w:p>
        </w:tc>
      </w:tr>
      <w:tr>
        <w:trPr/>
        <w:tc>
          <w:tcPr>
            <w:tcW w:w="6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Buyer</w:t>
            </w:r>
          </w:p>
        </w:tc>
        <w:tc>
          <w:tcPr>
            <w:tcW w:w="120" w:type="dxa"/>
            <w:tcBorders/>
            <w:vAlign w:val="bottom"/>
          </w:tcPr>
          <w:p>
            <w:pPr>
              <w:pStyle w:val="TableContents"/>
              <w:bidi w:val="0"/>
              <w:spacing w:before="0" w:after="283"/>
              <w:jc w:val="left"/>
              <w:rPr/>
            </w:pPr>
            <w:r>
              <w:rPr/>
              <w:t>  </w:t>
            </w:r>
          </w:p>
        </w:tc>
        <w:tc>
          <w:tcPr>
            <w:tcW w:w="2165" w:type="dxa"/>
            <w:tcBorders>
              <w:bottom w:val="single" w:sz="8" w:space="0" w:color="000000"/>
            </w:tcBorders>
            <w:tcMar>
              <w:bottom w:w="28" w:type="dxa"/>
            </w:tcMar>
            <w:vAlign w:val="bottom"/>
          </w:tcPr>
          <w:p>
            <w:pPr>
              <w:pStyle w:val="TableContents"/>
              <w:bidi w:val="0"/>
              <w:spacing w:before="0" w:after="283"/>
              <w:jc w:val="center"/>
              <w:rPr>
                <w:b/>
              </w:rPr>
            </w:pPr>
            <w:r>
              <w:rPr>
                <w:b/>
              </w:rPr>
              <w:t>Mailing Address and</w:t>
              <w:br/>
              <w:t>E-mail Address</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Principal</w:t>
              <w:br/>
              <w:t>Amount of</w:t>
              <w:br/>
              <w:t>Initial 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Original</w:t>
              <w:br/>
              <w:t>Principal</w:t>
              <w:br/>
              <w:t>Amount of</w:t>
              <w:br/>
              <w:t>Second 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Maximum</w:t>
              <w:br/>
              <w:t>Original</w:t>
              <w:br/>
              <w:t>Principal</w:t>
              <w:br/>
              <w:t>Amount of</w:t>
              <w:br/>
              <w:t>Additional</w:t>
              <w:br/>
              <w:t>Notes for</w:t>
              <w:br/>
              <w:t>Additional</w:t>
              <w:br/>
              <w:t>Closings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Purchase</w:t>
              <w:br/>
              <w:t>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w:t>
              <w:br/>
              <w:t>Purchase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Maximum</w:t>
              <w:br/>
              <w:t>Additional</w:t>
              <w:br/>
              <w:t>Purchase</w:t>
              <w:br/>
              <w:t>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5" w:type="dxa"/>
            <w:tcBorders>
              <w:bottom w:val="single" w:sz="8" w:space="0" w:color="000000"/>
            </w:tcBorders>
            <w:tcMar>
              <w:bottom w:w="28" w:type="dxa"/>
            </w:tcMar>
            <w:vAlign w:val="bottom"/>
          </w:tcPr>
          <w:p>
            <w:pPr>
              <w:pStyle w:val="TableContents"/>
              <w:bidi w:val="0"/>
              <w:spacing w:before="0" w:after="283"/>
              <w:jc w:val="center"/>
              <w:rPr>
                <w:b/>
              </w:rPr>
            </w:pPr>
            <w:r>
              <w:rPr>
                <w:b/>
              </w:rPr>
              <w:t>Legal Representative’s</w:t>
              <w:br/>
              <w:t>Mailing Address and E-mail</w:t>
              <w:br/>
              <w:t>Address</w:t>
            </w:r>
          </w:p>
        </w:tc>
      </w:tr>
      <w:tr>
        <w:trPr/>
        <w:tc>
          <w:tcPr>
            <w:tcW w:w="635" w:type="dxa"/>
            <w:tcBorders/>
            <w:shd w:fill="CCEEFF" w:val="clear"/>
          </w:tcPr>
          <w:p>
            <w:pPr>
              <w:pStyle w:val="TableContents"/>
              <w:bidi w:val="0"/>
              <w:spacing w:before="0" w:after="283"/>
              <w:jc w:val="left"/>
              <w:rPr>
                <w:b/>
              </w:rPr>
            </w:pPr>
            <w:r>
              <w:rPr>
                <w:b/>
              </w:rPr>
              <w:t>3i, LP</w:t>
            </w:r>
          </w:p>
        </w:tc>
        <w:tc>
          <w:tcPr>
            <w:tcW w:w="120" w:type="dxa"/>
            <w:tcBorders/>
            <w:shd w:fill="CCEEFF" w:val="clear"/>
            <w:vAlign w:val="bottom"/>
          </w:tcPr>
          <w:p>
            <w:pPr>
              <w:pStyle w:val="TableContents"/>
              <w:bidi w:val="0"/>
              <w:spacing w:before="0" w:after="283"/>
              <w:jc w:val="left"/>
              <w:rPr/>
            </w:pPr>
            <w:r>
              <w:rPr/>
              <w:t>  </w:t>
            </w:r>
          </w:p>
        </w:tc>
        <w:tc>
          <w:tcPr>
            <w:tcW w:w="2165" w:type="dxa"/>
            <w:tcBorders/>
            <w:shd w:fill="CCEEFF" w:val="clear"/>
          </w:tcPr>
          <w:p>
            <w:pPr>
              <w:pStyle w:val="TableContents"/>
              <w:bidi w:val="0"/>
              <w:jc w:val="left"/>
              <w:rPr/>
            </w:pPr>
            <w:r>
              <w:rPr>
                <w:b/>
              </w:rPr>
              <w:t>3i, LP</w:t>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Wooster Street, 2nd</w:t>
              <w:br/>
              <w:t>Floor</w:t>
            </w:r>
          </w:p>
          <w:p>
            <w:pPr>
              <w:pStyle w:val="TableContents"/>
              <w:bidi w:val="0"/>
              <w:spacing w:before="0" w:after="0"/>
              <w:jc w:val="left"/>
              <w:rPr>
                <w:rFonts w:ascii="Times New Roman" w:hAnsi="Times New Roman"/>
                <w:sz w:val="20"/>
              </w:rPr>
            </w:pPr>
            <w:r>
              <w:rPr>
                <w:rFonts w:ascii="Times New Roman" w:hAnsi="Times New Roman"/>
                <w:sz w:val="20"/>
              </w:rPr>
              <w:t>New York, NY 10013</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0"/>
              <w:jc w:val="left"/>
              <w:rPr>
                <w:rFonts w:ascii="Times New Roman" w:hAnsi="Times New Roman"/>
                <w:sz w:val="20"/>
              </w:rPr>
            </w:pPr>
            <w:r>
              <w:rPr>
                <w:rFonts w:ascii="Times New Roman" w:hAnsi="Times New Roman"/>
                <w:sz w:val="20"/>
              </w:rPr>
              <w:t>Attention: Maier J. Tarlow</w:t>
            </w:r>
          </w:p>
          <w:p>
            <w:pPr>
              <w:pStyle w:val="TableContents"/>
              <w:bidi w:val="0"/>
              <w:spacing w:before="0" w:after="20"/>
              <w:jc w:val="left"/>
              <w:rPr>
                <w:rFonts w:ascii="Times New Roman" w:hAnsi="Times New Roman"/>
                <w:sz w:val="20"/>
              </w:rPr>
            </w:pPr>
            <w:r>
              <w:rPr>
                <w:rFonts w:ascii="Times New Roman" w:hAnsi="Times New Roman"/>
                <w:sz w:val="20"/>
              </w:rPr>
              <w:t>E-Mail:</w:t>
              <w:br/>
              <w:t>operations@3ifund.com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980" w:type="dxa"/>
            <w:tcBorders/>
            <w:shd w:fill="CCEEFF" w:val="clear"/>
          </w:tcPr>
          <w:p>
            <w:pPr>
              <w:pStyle w:val="TableContents"/>
              <w:bidi w:val="0"/>
              <w:spacing w:before="0" w:after="283"/>
              <w:jc w:val="right"/>
              <w:rPr/>
            </w:pPr>
            <w:r>
              <w:rPr/>
              <w:t>3,191,489</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980" w:type="dxa"/>
            <w:tcBorders/>
            <w:shd w:fill="CCEEFF" w:val="clear"/>
          </w:tcPr>
          <w:p>
            <w:pPr>
              <w:pStyle w:val="TableContents"/>
              <w:bidi w:val="0"/>
              <w:spacing w:before="0" w:after="283"/>
              <w:jc w:val="right"/>
              <w:rPr/>
            </w:pPr>
            <w:r>
              <w:rPr/>
              <w:t>2,127,660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100" w:type="dxa"/>
            <w:tcBorders/>
            <w:shd w:fill="CCEEFF" w:val="clear"/>
          </w:tcPr>
          <w:p>
            <w:pPr>
              <w:pStyle w:val="TableContents"/>
              <w:bidi w:val="0"/>
              <w:spacing w:before="0" w:after="283"/>
              <w:jc w:val="right"/>
              <w:rPr/>
            </w:pPr>
            <w:r>
              <w:rPr/>
              <w:t>15,957,447</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980" w:type="dxa"/>
            <w:tcBorders/>
            <w:shd w:fill="CCEEFF" w:val="clear"/>
          </w:tcPr>
          <w:p>
            <w:pPr>
              <w:pStyle w:val="TableContents"/>
              <w:bidi w:val="0"/>
              <w:spacing w:before="0" w:after="283"/>
              <w:jc w:val="right"/>
              <w:rPr/>
            </w:pPr>
            <w:r>
              <w:rPr/>
              <w:t>3,000,000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3" w:type="dxa"/>
            <w:tcBorders/>
            <w:shd w:fill="CCEEFF" w:val="clear"/>
          </w:tcPr>
          <w:p>
            <w:pPr>
              <w:pStyle w:val="TableContents"/>
              <w:bidi w:val="0"/>
              <w:spacing w:before="0" w:after="283"/>
              <w:jc w:val="left"/>
              <w:rPr/>
            </w:pPr>
            <w:r>
              <w:rPr/>
              <w:t>$</w:t>
            </w:r>
          </w:p>
        </w:tc>
        <w:tc>
          <w:tcPr>
            <w:tcW w:w="1357" w:type="dxa"/>
            <w:tcBorders/>
            <w:shd w:fill="CCEEFF" w:val="clear"/>
          </w:tcPr>
          <w:p>
            <w:pPr>
              <w:pStyle w:val="TableContents"/>
              <w:bidi w:val="0"/>
              <w:spacing w:before="0" w:after="283"/>
              <w:jc w:val="right"/>
              <w:rPr/>
            </w:pPr>
            <w:r>
              <w:rPr/>
              <w:t>2,000,000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100" w:type="dxa"/>
            <w:tcBorders/>
            <w:shd w:fill="CCEEFF" w:val="clear"/>
          </w:tcPr>
          <w:p>
            <w:pPr>
              <w:pStyle w:val="TableContents"/>
              <w:bidi w:val="0"/>
              <w:spacing w:before="0" w:after="283"/>
              <w:jc w:val="right"/>
              <w:rPr/>
            </w:pPr>
            <w:r>
              <w:rPr/>
              <w:t>15,000,000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75" w:type="dxa"/>
            <w:tcBorders/>
            <w:shd w:fill="CCEEFF" w:val="clear"/>
            <w:vAlign w:val="bottom"/>
          </w:tcPr>
          <w:p>
            <w:pPr>
              <w:pStyle w:val="TableContents"/>
              <w:bidi w:val="0"/>
              <w:jc w:val="left"/>
              <w:rPr/>
            </w:pPr>
            <w:r>
              <w:rPr/>
              <w:t>Honigman LLP</w:t>
            </w:r>
          </w:p>
          <w:p>
            <w:pPr>
              <w:pStyle w:val="TableContents"/>
              <w:bidi w:val="0"/>
              <w:spacing w:before="0" w:after="0"/>
              <w:jc w:val="left"/>
              <w:rPr>
                <w:rFonts w:ascii="Times New Roman" w:hAnsi="Times New Roman"/>
                <w:sz w:val="20"/>
              </w:rPr>
            </w:pPr>
            <w:r>
              <w:rPr>
                <w:rFonts w:ascii="Times New Roman" w:hAnsi="Times New Roman"/>
                <w:sz w:val="20"/>
              </w:rPr>
              <w:t>2290 First National Building</w:t>
            </w:r>
          </w:p>
          <w:p>
            <w:pPr>
              <w:pStyle w:val="TableContents"/>
              <w:bidi w:val="0"/>
              <w:spacing w:before="0" w:after="0"/>
              <w:jc w:val="left"/>
              <w:rPr>
                <w:rFonts w:ascii="Times New Roman" w:hAnsi="Times New Roman"/>
                <w:sz w:val="20"/>
              </w:rPr>
            </w:pPr>
            <w:r>
              <w:rPr>
                <w:rFonts w:ascii="Times New Roman" w:hAnsi="Times New Roman"/>
                <w:sz w:val="20"/>
              </w:rPr>
              <w:t>660 Woodward Avenue</w:t>
            </w:r>
          </w:p>
          <w:p>
            <w:pPr>
              <w:pStyle w:val="TableContents"/>
              <w:bidi w:val="0"/>
              <w:spacing w:before="0" w:after="0"/>
              <w:jc w:val="left"/>
              <w:rPr>
                <w:rFonts w:ascii="Times New Roman" w:hAnsi="Times New Roman"/>
                <w:sz w:val="20"/>
              </w:rPr>
            </w:pPr>
            <w:r>
              <w:rPr>
                <w:rFonts w:ascii="Times New Roman" w:hAnsi="Times New Roman"/>
                <w:sz w:val="20"/>
              </w:rPr>
              <w:t>Detroit, MI 48226</w:t>
            </w:r>
          </w:p>
          <w:p>
            <w:pPr>
              <w:pStyle w:val="TableContents"/>
              <w:bidi w:val="0"/>
              <w:spacing w:before="0" w:after="0"/>
              <w:jc w:val="left"/>
              <w:rPr>
                <w:rFonts w:ascii="Times New Roman" w:hAnsi="Times New Roman"/>
                <w:sz w:val="20"/>
              </w:rPr>
            </w:pPr>
            <w:r>
              <w:rPr>
                <w:rFonts w:ascii="Times New Roman" w:hAnsi="Times New Roman"/>
                <w:sz w:val="20"/>
              </w:rPr>
              <w:t>Telephone: (313) 465-7042</w:t>
            </w:r>
          </w:p>
          <w:p>
            <w:pPr>
              <w:pStyle w:val="TableContents"/>
              <w:bidi w:val="0"/>
              <w:spacing w:before="0" w:after="0"/>
              <w:jc w:val="left"/>
              <w:rPr>
                <w:rFonts w:ascii="Times New Roman" w:hAnsi="Times New Roman"/>
                <w:sz w:val="20"/>
              </w:rPr>
            </w:pPr>
            <w:r>
              <w:rPr>
                <w:rFonts w:ascii="Times New Roman" w:hAnsi="Times New Roman"/>
                <w:sz w:val="20"/>
              </w:rPr>
              <w:t>Attention: Michael J.</w:t>
              <w:br/>
              <w:t>Rosenberg, Esq. and N.</w:t>
              <w:br/>
              <w:t>Danny Shulman, Esq.</w:t>
            </w:r>
          </w:p>
          <w:p>
            <w:pPr>
              <w:pStyle w:val="TableContents"/>
              <w:bidi w:val="0"/>
              <w:spacing w:before="0" w:after="20"/>
              <w:jc w:val="left"/>
              <w:rPr>
                <w:rFonts w:ascii="Times New Roman" w:hAnsi="Times New Roman"/>
                <w:sz w:val="20"/>
              </w:rPr>
            </w:pPr>
            <w:r>
              <w:rPr>
                <w:rFonts w:ascii="Times New Roman" w:hAnsi="Times New Roman"/>
                <w:sz w:val="20"/>
              </w:rPr>
              <w:t>E-mail:</w:t>
              <w:br/>
              <w:t>mrosenberg@honigman.com</w:t>
              <w:br/>
              <w:t>and</w:t>
              <w:br/>
              <w:t>nshulman@honigman.com</w:t>
            </w:r>
          </w:p>
        </w:tc>
      </w:tr>
    </w:tbl>
    <w:p>
      <w:pPr>
        <w:pStyle w:val="TextBody"/>
        <w:bidi w:val="0"/>
        <w:spacing w:before="0" w:after="0"/>
        <w:jc w:val="right"/>
        <w:rPr>
          <w:rFonts w:ascii="Times New Roman" w:hAnsi="Times New Roman"/>
          <w:b/>
          <w:sz w:val="20"/>
        </w:rPr>
      </w:pPr>
      <w:bookmarkStart w:id="6" w:name="d382364dex102.htm"/>
      <w:bookmarkStart w:id="7" w:name="ksd382364dex102"/>
      <w:bookmarkEnd w:id="6"/>
      <w:bookmarkEnd w:id="7"/>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REGISTRATION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September 10, 2026, is by and among Cerenome, Inc., a Delaware corporation with offices located at 6420 Levit Green Boulevard, Suite 310, Houston, Texas 77021 (the “</w:t>
      </w:r>
      <w:r>
        <w:rPr>
          <w:rFonts w:ascii="Times New Roman" w:hAnsi="Times New Roman"/>
          <w:b/>
          <w:sz w:val="20"/>
        </w:rPr>
        <w:t>Company</w:t>
      </w:r>
      <w:r>
        <w:rPr>
          <w:rFonts w:ascii="Times New Roman" w:hAnsi="Times New Roman"/>
          <w:sz w:val="20"/>
        </w:rPr>
        <w:t>”), and the undersigned buyers (each, a “</w:t>
      </w:r>
      <w:r>
        <w:rPr>
          <w:rFonts w:ascii="Times New Roman" w:hAnsi="Times New Roman"/>
          <w:b/>
          <w:sz w:val="20"/>
        </w:rPr>
        <w:t>Buyer</w:t>
      </w:r>
      <w:r>
        <w:rPr>
          <w:rFonts w:ascii="Times New Roman" w:hAnsi="Times New Roman"/>
          <w:sz w:val="20"/>
        </w:rPr>
        <w:t>,” and collectively, the “</w:t>
      </w:r>
      <w:r>
        <w:rPr>
          <w:rFonts w:ascii="Times New Roman" w:hAnsi="Times New Roman"/>
          <w:b/>
          <w:sz w:val="20"/>
        </w:rPr>
        <w:t>Buyers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In connection with one or more Closings (as defined in the Securities Purchase Agreement) by and among the parties hereto pursuant to the Securities Purchase Agreement by and among the parties hereto, dated as of September 4, 2026 (the “</w:t>
      </w:r>
      <w:r>
        <w:rPr>
          <w:rFonts w:ascii="Times New Roman" w:hAnsi="Times New Roman"/>
          <w:b/>
          <w:sz w:val="20"/>
        </w:rPr>
        <w:t>Securities Purchase Agreement</w:t>
      </w:r>
      <w:r>
        <w:rPr>
          <w:rFonts w:ascii="Times New Roman" w:hAnsi="Times New Roman"/>
          <w:sz w:val="20"/>
        </w:rPr>
        <w:t xml:space="preserve">”), the Company has agreed, upon the terms and subject to the conditions of the Securities Purchase Agreement, to, among other things, issue and sell to each Buyer the Notes (as defined in the Securities Purchase Agreement) which will be convertible into Conversion Shares (as defined in the Securities Purchase Agreement) in accordance with the terms of the Notes. </w:t>
      </w:r>
    </w:p>
    <w:p>
      <w:pPr>
        <w:pStyle w:val="TextBody"/>
        <w:bidi w:val="0"/>
        <w:spacing w:before="240" w:after="0"/>
        <w:jc w:val="left"/>
        <w:rPr>
          <w:rFonts w:ascii="Times New Roman" w:hAnsi="Times New Roman"/>
          <w:sz w:val="20"/>
        </w:rPr>
      </w:pPr>
      <w:r>
        <w:rPr>
          <w:rFonts w:ascii="Times New Roman" w:hAnsi="Times New Roman"/>
          <w:sz w:val="20"/>
        </w:rPr>
        <w:t>B. To induce the Buyers to consummate certain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 w:hAnsi="Times New Roman"/>
          <w:b/>
          <w:sz w:val="20"/>
        </w:rPr>
        <w:t>1933 Act</w:t>
      </w:r>
      <w:r>
        <w:rPr>
          <w:rFonts w:ascii="Times New Roman" w:hAnsi="Times New Roman"/>
          <w:sz w:val="20"/>
        </w:rPr>
        <w:t xml:space="preserve">”), and applicable state securities laws.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 xml:space="preserve">NOW, THEREFORE, </w:t>
      </w:r>
      <w:r>
        <w:rPr>
          <w:rFonts w:ascii="Times New Roman" w:hAnsi="Times New Roman"/>
          <w:sz w:val="20"/>
        </w:rPr>
        <w:t xml:space="preserve">in consideration of the premises and the mutual covenants contained herein and for other good and valuable consideration, the receipt and sufficiency of which are hereby acknowledged, the Company and each of the Buyers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and not otherwise defined herein shall have the respective meanings set forth in the Securities Purchase Agreement. 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Effective Date</w:t>
      </w:r>
      <w:r>
        <w:rPr>
          <w:rFonts w:ascii="Times New Roman" w:hAnsi="Times New Roman"/>
          <w:sz w:val="20"/>
        </w:rPr>
        <w:t>” means the date that the applicable Registration Statement has been declared effective by the SEC.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Effectiveness Deadline</w:t>
      </w:r>
      <w:r>
        <w:rPr>
          <w:rFonts w:ascii="Times New Roman" w:hAnsi="Times New Roman"/>
          <w:sz w:val="20"/>
        </w:rPr>
        <w:t xml:space="preserve">” means (i) with respect to the initial Registration Statement required to be filed pursuant to Section 2(a), the earlier of the (A) 60th calendar day after the Trigger Date (90th calendar day after the Trigger Date in the event of a “full” SEC review) and (B) 2nd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45th calendar day following the date on which the Company was required to file such additional Registration Statement and (B) 2nd Business Day after the date the Company is notified (orally or in writing, whichever is earlier) by the SEC that such Registration Statement will not be reviewed or will not be subject to further review.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Filing Deadline</w:t>
      </w:r>
      <w:r>
        <w:rPr>
          <w:rFonts w:ascii="Times New Roman" w:hAnsi="Times New Roman"/>
          <w:sz w:val="20"/>
        </w:rPr>
        <w:t xml:space="preserve">” means (i) with respect to the initial Registration Statement required to be filed pursuant to Section 2(a), the sixth (6th) Business Day after the Initial Closing Date, (ii) with respect to each other Registration Statement, the fifth (5th) Business Day after the Trigger Date and (iii) with respect to any additional Registration Statements that may be required to be filed by the Company pursuant to this Agreement, the date on which the Company was required to file such additional Registration Statement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Investor</w:t>
      </w:r>
      <w:r>
        <w:rPr>
          <w:rFonts w:ascii="Times New Roman" w:hAnsi="Times New Roman"/>
          <w:sz w:val="20"/>
        </w:rPr>
        <w:t xml:space="preserve">” means a Buyer or any transferee or assignee of any Registrable Securities or Notes, as applicable, to whom a Buyer assigns its rights under this Agreement and who agrees to become bound by the provisions of this Agreement in accordance with Section 9 and any transferee or assignee thereof to whom a transferee or assignee of any Registrable Securities or Notes, as applicable, assigns its rights under this Agreement and who agrees to become bound by the provisions of this Agreement in accordance with Section 9.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Person</w:t>
      </w:r>
      <w:r>
        <w:rPr>
          <w:rFonts w:ascii="Times New Roman" w:hAnsi="Times New Roman"/>
          <w:sz w:val="20"/>
        </w:rPr>
        <w:t xml:space="preserve">” means an individual, a limited liability company, a partnership, a joint venture, a corporation, a trust, an unincorporated organization or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register</w:t>
      </w:r>
      <w:r>
        <w:rPr>
          <w:rFonts w:ascii="Times New Roman" w:hAnsi="Times New Roman"/>
          <w:sz w:val="20"/>
        </w:rPr>
        <w:t>,” “</w:t>
      </w:r>
      <w:r>
        <w:rPr>
          <w:rFonts w:ascii="Times New Roman" w:hAnsi="Times New Roman"/>
          <w:b/>
          <w:sz w:val="20"/>
        </w:rPr>
        <w:t>registered</w:t>
      </w:r>
      <w:r>
        <w:rPr>
          <w:rFonts w:ascii="Times New Roman" w:hAnsi="Times New Roman"/>
          <w:sz w:val="20"/>
        </w:rPr>
        <w:t>,” and “</w:t>
      </w:r>
      <w:r>
        <w:rPr>
          <w:rFonts w:ascii="Times New Roman" w:hAnsi="Times New Roman"/>
          <w:b/>
          <w:sz w:val="20"/>
        </w:rPr>
        <w:t>registration</w:t>
      </w:r>
      <w:r>
        <w:rPr>
          <w:rFonts w:ascii="Times New Roman" w:hAnsi="Times New Roman"/>
          <w:sz w:val="20"/>
        </w:rPr>
        <w:t xml:space="preserve">” refer to a registration effected by preparing and filing one or more Registration Statements in compliance with the 1933 Act and pursuant to Rule 415 and the declaration of effectiveness of such Registration Statement(s) by the SEC.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Registrable Securities</w:t>
      </w:r>
      <w:r>
        <w:rPr>
          <w:rFonts w:ascii="Times New Roman" w:hAnsi="Times New Roman"/>
          <w:sz w:val="20"/>
        </w:rPr>
        <w:t xml:space="preserve">” means (i) the Conversion Shares and (ii) any capital stock of the Company issued or issuable with respect to the Conversion Shares or the Notes, including, without limitation, (1) as a result of any stock split, stock dividend, recapitalization, exchange or similar event or otherwise and (2) shares of capital stock of the Company into which the shares of Common Stock (as defined in the Notes) are converted or exchanged and shares of capital stock of a Successor Entity (as defined in the Notes) into which the shares of Common Stock are converted or exchanged, in each case, without regard to any limitations on conversion of the Notes.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Registration Statement</w:t>
      </w:r>
      <w:r>
        <w:rPr>
          <w:rFonts w:ascii="Times New Roman" w:hAnsi="Times New Roman"/>
          <w:sz w:val="20"/>
        </w:rPr>
        <w:t xml:space="preserve">” means a registration statement or registration statements of the Company filed under the 1933 Act covering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Required Holders</w:t>
      </w:r>
      <w:r>
        <w:rPr>
          <w:rFonts w:ascii="Times New Roman" w:hAnsi="Times New Roman"/>
          <w:sz w:val="20"/>
        </w:rPr>
        <w:t xml:space="preserve">” shall have the meaning as set forth in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Required Registration Amount</w:t>
      </w:r>
      <w:r>
        <w:rPr>
          <w:rFonts w:ascii="Times New Roman" w:hAnsi="Times New Roman"/>
          <w:sz w:val="20"/>
        </w:rPr>
        <w:t xml:space="preserve">” means, as of any time of determination, (i) with respect to the initial Registration Statement, 200% of the maximum number of Initial Conversion Shares issuable upon conversion of the Initial Notes plus the maximum number of Second Conversion Shares issuable upon conversion of the Second Notes (assuming for purposes hereof that (w) all Initial Notes and Second Notes issuable pursuant to the terms of the Securities Purchase Agreement have been issued in accordance with the terms thereof immediately prior to such time of determination, (x) the Initial Notes and the Second Notes are convertible at the Alternate Conversion Price (as defined in the Notes) assuming an Alternate Conversion Date (as defined in the Notes) as of the Initial Closing Date, (y) interest on the Initial Notes and the Second Notes shall accrue through the one-year anniversary of the Initial Closing Date and will be converted in shares of Common Stock at the Alternate Conversion Price assuming an Alternate Conversion Date as of the Initial Closing Date and (z) any such conversion shall not take into account any limitations on the conversion of the Notes set forth in the Notes) all subject to adjustment as provided in Section 2(d) and/or Section 2(f) and (ii) with respect to each other Registration Statement, 200% of the maximum number of Additional Conversion Shares issuable upon conversion of the Additional Notes (assuming for purposes hereof that (w) all Additional Notes (as defined in the Securities Purchase Agreement) issuable pursuant to the terms of the Securities Purchase Agreement have been issued in accordance with the terms thereof immediately prior to such time of determination, (x) the Additional Notes are convertible at the Alternate Conversion Price (as defined in the Additional Notes) assuming an Alternate Conversion Date (as defined in the Additional Notes) as of the Trigger Date, (y) interest on the Additional Notes shall accrue through the first anniversary of the Trigger Date and will be converted in shares of Common Stock at the Alternate Conversion Price assuming an Alternate Conversion Date as of the Trigger Date and (z) any such conversion shall not take into account any limitations on the conversion of the Additional Notes set forth in the Additional Notes) all subject to adjustment as provided in Section 2(d) and/or Section 2(f).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Rule 144</w:t>
      </w:r>
      <w:r>
        <w:rPr>
          <w:rFonts w:ascii="Times New Roman" w:hAnsi="Times New Roman"/>
          <w:sz w:val="20"/>
        </w:rPr>
        <w:t xml:space="preserve">” means Rule 144 promulgated by the SEC under the 1933 Act, as such rule may be amended from time to time, or any other similar or successor rule or regulation of the SEC that may at any time permit the Investors to sell securities of the Company to the public without registration.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Rule 415</w:t>
      </w:r>
      <w:r>
        <w:rPr>
          <w:rFonts w:ascii="Times New Roman" w:hAnsi="Times New Roman"/>
          <w:sz w:val="20"/>
        </w:rPr>
        <w:t xml:space="preserve">” means Rule 415 promulgated by the SEC under the 1933 Act, as such rule may be amended from time to time, or any other similar or successor rule or regulation of the SEC providing for offering securities on a continuous or delayed basis.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SEC</w:t>
      </w:r>
      <w:r>
        <w:rPr>
          <w:rFonts w:ascii="Times New Roman" w:hAnsi="Times New Roman"/>
          <w:sz w:val="20"/>
        </w:rPr>
        <w:t xml:space="preserve">” means the United States Securities and Exchange Commission or any successor thereto.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Trigger Date</w:t>
      </w:r>
      <w:r>
        <w:rPr>
          <w:rFonts w:ascii="Times New Roman" w:hAnsi="Times New Roman"/>
          <w:sz w:val="20"/>
        </w:rPr>
        <w:t xml:space="preserve">” means (i) with respect to the initial Registration Statement, the Initial Closing Date, and (ii) with respect to each other Registration Statement, the applicable Additional Closing Notice Date (as defined in the Securities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The Company shall prepare and, as soon as practicable, but in no event later than the Filing Deadline, confidentially submit to the SEC an initial Registration Statement on Form S-3 covering the resale of all of the Registrable Securities; provided that such obligation shall apply only to Registrable Securities not already registered for resale under an effective registration statement and such initial Registration Statement shall register for resale at least the number of shares of Common Stock equal to the Required Registration Amount as of the date such Registration Statement is initially confidentially submitted to the SEC; provided further that if Form S-3 is unavailable for such a registration, the Company shall use such other form as is required by Section 2(c). Such initial Registration Statement, and each other Registration Statement required to be submitted pursuant to the terms of this Agreement, shall contain (except if otherwise directed by the Required Holders) the “</w:t>
      </w:r>
      <w:r>
        <w:rPr>
          <w:rFonts w:ascii="Times New Roman" w:hAnsi="Times New Roman"/>
          <w:sz w:val="20"/>
          <w:u w:val="single"/>
        </w:rPr>
        <w:t>Selling Stockholders</w:t>
      </w:r>
      <w:r>
        <w:rPr>
          <w:rFonts w:ascii="Times New Roman" w:hAnsi="Times New Roman"/>
          <w:sz w:val="20"/>
        </w:rPr>
        <w:t>” and “</w:t>
      </w:r>
      <w:r>
        <w:rPr>
          <w:rFonts w:ascii="Times New Roman" w:hAnsi="Times New Roman"/>
          <w:sz w:val="20"/>
          <w:u w:val="single"/>
        </w:rPr>
        <w:t>Plan of Distribution</w:t>
      </w:r>
      <w:r>
        <w:rPr>
          <w:rFonts w:ascii="Times New Roman" w:hAnsi="Times New Roman"/>
          <w:sz w:val="20"/>
        </w:rPr>
        <w:t xml:space="preserve">” sections in substantially the form attached hereto as </w:t>
      </w:r>
      <w:r>
        <w:rPr>
          <w:rFonts w:ascii="Times New Roman" w:hAnsi="Times New Roman"/>
          <w:b/>
          <w:sz w:val="20"/>
        </w:rPr>
        <w:t>Exhibit B</w:t>
      </w:r>
      <w:r>
        <w:rPr>
          <w:rFonts w:ascii="Times New Roman" w:hAnsi="Times New Roman"/>
          <w:sz w:val="20"/>
        </w:rPr>
        <w:t xml:space="preserve">. The Company shall use its best efforts to have such initial Registration Statement, and each other Registration Statement required to be submitted pursuant to the terms of this Agreement, declared effective by the SEC as soon as practicable, but in no event later than the applicable Effectiveness Deadline for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Legal Counsel</w:t>
      </w:r>
      <w:r>
        <w:rPr>
          <w:rFonts w:ascii="Times New Roman" w:hAnsi="Times New Roman"/>
          <w:sz w:val="20"/>
        </w:rPr>
        <w:t>. Subject to Section 5 hereof, Honigman LLP, counsel solely to the lead investor (“</w:t>
      </w:r>
      <w:r>
        <w:rPr>
          <w:rFonts w:ascii="Times New Roman" w:hAnsi="Times New Roman"/>
          <w:b/>
          <w:sz w:val="20"/>
        </w:rPr>
        <w:t>Legal Counsel</w:t>
      </w:r>
      <w:r>
        <w:rPr>
          <w:rFonts w:ascii="Times New Roman" w:hAnsi="Times New Roman"/>
          <w:sz w:val="20"/>
        </w:rPr>
        <w:t xml:space="preserve">”) shall review and oversee any registration, solely on behalf of the lead investor, pursuant to this Section 2.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Ineligibility to Use Form S-3</w:t>
      </w:r>
      <w:r>
        <w:rPr>
          <w:rFonts w:ascii="Times New Roman" w:hAnsi="Times New Roman"/>
          <w:sz w:val="20"/>
        </w:rPr>
        <w:t xml:space="preserve">.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resale of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Sufficient Number of Shares Registered</w:t>
      </w:r>
      <w:r>
        <w:rPr>
          <w:rFonts w:ascii="Times New Roman" w:hAnsi="Times New Roman"/>
          <w:sz w:val="20"/>
        </w:rPr>
        <w:t xml:space="preserve">.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such available amount is less than the product determined by dividing (i) the aggregate outstanding amount of all outstanding Additional Notes by (ii) the Alternate Conversion Price (as defined in the Additional Notes) assuming an Alternate Conversion Date (as defined in the Additional Notes) as of the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Effect of Failure to File and Obtain and Maintain Effectiveness of any Registration Statement</w:t>
      </w:r>
      <w:r>
        <w:rPr>
          <w:rFonts w:ascii="Times New Roman" w:hAnsi="Times New Roman"/>
          <w:sz w:val="20"/>
        </w:rPr>
        <w:t>. If (i) a Registration Statement covering the resale of all of the Registrable Securities required to be covered thereby (disregarding any reduction pursuant to Section 2(f)) and required to be filed by the Company pursuant to this Agreement is (A) not filed with the SEC on or before the Filing Deadline for such Registration Statement (a “</w:t>
      </w:r>
      <w:r>
        <w:rPr>
          <w:rFonts w:ascii="Times New Roman" w:hAnsi="Times New Roman"/>
          <w:b/>
          <w:sz w:val="20"/>
        </w:rPr>
        <w:t>Filing Failure</w:t>
      </w:r>
      <w:r>
        <w:rPr>
          <w:rFonts w:ascii="Times New Roman" w:hAnsi="Times New Roman"/>
          <w:sz w:val="20"/>
        </w:rPr>
        <w:t xml:space="preserve">”) (it being understood that if the Company files a Registration Statement without affording each Investor and Legal Counsel the opportunity to review and comment on the same as required by Section 3(c) hereof, the Company shall be deemed to not have satisfied this clause (i)(A) and such event shall be deemed to be a Filing Failure) or (B) not declared effective by the SEC on or before the Effectiveness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Deadline for such Registration Statement (an “</w:t>
      </w:r>
      <w:r>
        <w:rPr>
          <w:rFonts w:ascii="Times New Roman" w:hAnsi="Times New Roman"/>
          <w:b/>
          <w:sz w:val="20"/>
        </w:rPr>
        <w:t>Effectiveness Failure</w:t>
      </w:r>
      <w:r>
        <w:rPr>
          <w:rFonts w:ascii="Times New Roman" w:hAnsi="Times New Roman"/>
          <w:sz w:val="20"/>
        </w:rPr>
        <w:t>”) (it being understood that if on the Business Day immediately following the Effective Date for such Registration Statement the Company shall not have filed a “final” prospectus for such Registration Statement with the SEC under Rule 424(b) in accordance with Section 3(b) (if such prospectus is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Registrable Securities required to be included on such Registration Statement (disregarding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hAnsi="Times New Roman"/>
          <w:b/>
          <w:sz w:val="20"/>
        </w:rPr>
        <w:t>Maintenance Failure</w:t>
      </w:r>
      <w:r>
        <w:rPr>
          <w:rFonts w:ascii="Times New Roman" w:hAnsi="Times New Roman"/>
          <w:sz w:val="20"/>
        </w:rPr>
        <w:t>”), or (iii) if a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hAnsi="Times New Roman"/>
          <w:b/>
          <w:sz w:val="20"/>
        </w:rPr>
        <w:t>Current Public Information Failure</w:t>
      </w:r>
      <w:r>
        <w:rPr>
          <w:rFonts w:ascii="Times New Roman" w:hAnsi="Times New Roman"/>
          <w:sz w:val="20"/>
        </w:rPr>
        <w:t>”) as a result of which any of the Investors are unable to sell Registrable Securities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percent (1%) of such Investor’s original principal amount stated in such Investor’s Note on its issuance date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 rated for periods totaling less than thirty (30) days). The payments to which a holder of Registrable Securities shall be entitled pursuant to this Section 2(e) are referred to herein as “</w:t>
      </w:r>
      <w:r>
        <w:rPr>
          <w:rFonts w:ascii="Times New Roman" w:hAnsi="Times New Roman"/>
          <w:b/>
          <w:sz w:val="20"/>
        </w:rPr>
        <w:t>Registration Delay Payments</w:t>
      </w:r>
      <w:r>
        <w:rPr>
          <w:rFonts w:ascii="Times New Roman" w:hAnsi="Times New Roman"/>
          <w:sz w:val="20"/>
        </w:rPr>
        <w:t xml:space="preserve">.”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(3rd) Business Day after such cure. In the event the Company fails to make Registration Delay Payments in a timely manner in accordance with the foregoing, such Registration Delay Payments shall bear interest at the rate of one percent (1%) per month (prorated for partial months) until paid in full. Notwithstanding the foregoing, no Registration Delay Payments shall be owed to an Investor (other than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a Maintenance Failure resulting from a suspension or delisting of (or a failure to timely list) the shares of Common Stock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Offering</w:t>
      </w:r>
      <w:r>
        <w:rPr>
          <w:rFonts w:ascii="Times New Roman" w:hAnsi="Times New Roman"/>
          <w:sz w:val="20"/>
        </w:rPr>
        <w:t>. Notwithstanding anything to the contrary contained in this Agreement, but subject to the payment of the Registration Delay Payments pursuant to Section 2(e), in the event the staff of the SEC (the “</w:t>
      </w:r>
      <w:r>
        <w:rPr>
          <w:rFonts w:ascii="Times New Roman" w:hAnsi="Times New Roman"/>
          <w:b/>
          <w:sz w:val="20"/>
        </w:rPr>
        <w:t>Staff</w:t>
      </w:r>
      <w:r>
        <w:rPr>
          <w:rFonts w:ascii="Times New Roman" w:hAnsi="Times New Roman"/>
          <w:sz w:val="20"/>
        </w:rPr>
        <w:t xml:space="preserve">”)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Piggyback Registrations</w:t>
      </w:r>
      <w:r>
        <w:rPr>
          <w:rFonts w:ascii="Times New Roman" w:hAnsi="Times New Roman"/>
          <w:sz w:val="20"/>
        </w:rPr>
        <w:t xml:space="preserve">.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offering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Investor a written notice of such determination and, if within fifteen (15)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Allocation of Registrable Securities</w:t>
      </w:r>
      <w:r>
        <w:rPr>
          <w:rFonts w:ascii="Times New Roman" w:hAnsi="Times New Roman"/>
          <w:sz w:val="20"/>
        </w:rPr>
        <w:t xml:space="preserve">.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Inclusion of Other Securities</w:t>
      </w:r>
      <w:r>
        <w:rPr>
          <w:rFonts w:ascii="Times New Roman" w:hAnsi="Times New Roman"/>
          <w:sz w:val="20"/>
        </w:rPr>
        <w:t xml:space="preserve">. Without the prior written consent of the Buyers holding a majority in interest of the Notes, the Company shall in no event include any securities other than Registrable Securities on any Registration Statement filed in accordance herewith without the prior written consent of the Required Holders. Until the Applicable Date (as defined in the Securities Purchase Agreement), the Company shall not enter into any agreement providing any registration rights to any of its security holders, except as otherwise permitted under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Related Obligations.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best efforts to effect the registration of the Registrable Securities in accordance with the intended method of disposition thereof, and, pursuant thereto, the Company shall have the following obligations: </w:t>
      </w:r>
    </w:p>
    <w:p>
      <w:pPr>
        <w:pStyle w:val="TextBody"/>
        <w:bidi w:val="0"/>
        <w:spacing w:before="120" w:after="0"/>
        <w:jc w:val="left"/>
        <w:rPr>
          <w:rFonts w:ascii="Times New Roman" w:hAnsi="Times New Roman"/>
          <w:sz w:val="20"/>
        </w:rPr>
      </w:pPr>
      <w:r>
        <w:rPr>
          <w:rFonts w:ascii="Times New Roman" w:hAnsi="Times New Roman"/>
          <w:sz w:val="20"/>
        </w:rPr>
        <w:t>(a) 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Registration Statement (the “</w:t>
      </w:r>
      <w:r>
        <w:rPr>
          <w:rFonts w:ascii="Times New Roman" w:hAnsi="Times New Roman"/>
          <w:b/>
          <w:sz w:val="20"/>
        </w:rPr>
        <w:t>Registration Period</w:t>
      </w:r>
      <w:r>
        <w:rPr>
          <w:rFonts w:ascii="Times New Roman" w:hAnsi="Times New Roman"/>
          <w:sz w:val="20"/>
        </w:rPr>
        <w:t xml:space="preserve">”).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fifteen (15) days after the receipt of comments by or notice from the SEC that an amendment is required in order for a Registration Statement to be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8-K, Form 10-Q or Form 10-K or any analogous report under the Securities Exchange Act of 1934, as amended (the “</w:t>
      </w:r>
      <w:r>
        <w:rPr>
          <w:rFonts w:ascii="Times New Roman" w:hAnsi="Times New Roman"/>
          <w:b/>
          <w:sz w:val="20"/>
        </w:rPr>
        <w:t>1934 Act</w:t>
      </w:r>
      <w:r>
        <w:rPr>
          <w:rFonts w:ascii="Times New Roman" w:hAnsi="Times New Roman"/>
          <w:sz w:val="20"/>
        </w:rPr>
        <w:t xml:space="preserve">”),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(A) permit Legal Counsel and legal counsel for each other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other Investor, without charge, (i) copies of any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(ii) after the same is prepared and filed with the SEC, one (1) copy of each Registration Statement and any amendment(s) and supplement(s) thereto, including, without limitation, financial statements and schedules, all documents incorporated therein by reference, if requested by an Investor, and all exhibits and (iii) upon the effectiveness of each Registration Statement, one (1) copy of the prospectus included in such Registration Statement and all amendments and supplements thereto. The Company shall reasonably cooperate with Legal Counsel and legal counsel for each other Investor in performing the Company’s obligations pursuant to this Section 3.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promptly furnish to each Investor whose Registrable Securities are included in any Registration Statement, without charge, (i) after the same is prepared and filed with the SEC, at least one (1) copy of each Registration Statement and any amendment(s) and supplement(s) thereto, including, without limitation, financial statements and schedules, all documents incorporated therein by reference, if requested by an Investor, all exhibits and each preliminary prospectus, (ii) upon the effectiveness of each Registration Statement, ten (10) copies of the prospectus included in such Registration Statement and all amendments and supplements thereto (or such other number of copies as such Investor may reasonably request from time to time) and (iii) such other documents, including, without limitation, copies of any preliminary or final prospectus, as such Investor may reasonably request from time to time in order to facilitate the disposition of the Registrable Securities owned by such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and deliver ten (10) copies of such supplement or amendment to Legal Counsel, legal counsel for each other Investor and each Investor (or such other number of copies as Legal Counsel, legal counsel for each other Investor or such Investor may reasonably request). The Company shall also promptly notify Legal Counsel, legal counsel for each other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other Investor and each Investor by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fifteen (15) Business Days after the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(h) 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pStyle w:val="TextBody"/>
        <w:bidi w:val="0"/>
        <w:spacing w:before="240" w:after="0"/>
        <w:jc w:val="left"/>
        <w:rPr>
          <w:rFonts w:ascii="Times New Roman" w:hAnsi="Times New Roman"/>
          <w:sz w:val="20"/>
        </w:rPr>
      </w:pPr>
      <w:r>
        <w:rPr>
          <w:rFonts w:ascii="Times New Roman" w:hAnsi="Times New Roman"/>
          <w:sz w:val="20"/>
        </w:rPr>
        <w:t>(i) 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(ii) legal counsel for such Investor and (iii) one (1) firm of accountants or other agents retained by such Investor (collectively, the “</w:t>
      </w:r>
      <w:r>
        <w:rPr>
          <w:rFonts w:ascii="Times New Roman" w:hAnsi="Times New Roman"/>
          <w:b/>
          <w:sz w:val="20"/>
        </w:rPr>
        <w:t>Inspectors</w:t>
      </w:r>
      <w:r>
        <w:rPr>
          <w:rFonts w:ascii="Times New Roman" w:hAnsi="Times New Roman"/>
          <w:sz w:val="20"/>
        </w:rPr>
        <w:t>”), all pertinent financial and other records, and pertinent corporate documents and properties of the Company (collectively, the “</w:t>
      </w:r>
      <w:r>
        <w:rPr>
          <w:rFonts w:ascii="Times New Roman" w:hAnsi="Times New Roman"/>
          <w:b/>
          <w:sz w:val="20"/>
        </w:rPr>
        <w:t>Records</w:t>
      </w:r>
      <w:r>
        <w:rPr>
          <w:rFonts w:ascii="Times New Roman" w:hAnsi="Times New Roman"/>
          <w:sz w:val="20"/>
        </w:rPr>
        <w:t xml:space="preserve">”), as shall be reasonably deemed necessary by each Inspector,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(as defined in the Securities Purchase Agreement).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 </w:t>
      </w:r>
    </w:p>
    <w:p>
      <w:pPr>
        <w:pStyle w:val="TextBody"/>
        <w:bidi w:val="0"/>
        <w:spacing w:before="240" w:after="0"/>
        <w:jc w:val="left"/>
        <w:rPr>
          <w:rFonts w:ascii="Times New Roman" w:hAnsi="Times New Roman"/>
          <w:sz w:val="20"/>
        </w:rPr>
      </w:pPr>
      <w:r>
        <w:rPr>
          <w:rFonts w:ascii="Times New Roman" w:hAnsi="Times New Roman"/>
          <w:sz w:val="20"/>
        </w:rPr>
        <w:t>(k) Without limiting any obligation of the Company under the Securities Purchase Agreement, the Company shall use its best efforts either to (i) 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(ii) secure designation and quotation of all of the Registrable Securities covered by each Registration Statement on an Eligible Market (as defined in the Securities Purchase Agreement), or (iii) if, despite the Company’s best efforts to satisfy the preceding clauses (i) or (ii) the Company is unsuccessful in satisfying the preceding clauses (i) or (ii), without limiting the generality of the foregoing, to use its best efforts to arrange for at least two market makers to register with the Financial Industry Regulatory Authority (“</w:t>
      </w:r>
      <w:r>
        <w:rPr>
          <w:rFonts w:ascii="Times New Roman" w:hAnsi="Times New Roman"/>
          <w:b/>
          <w:sz w:val="20"/>
        </w:rPr>
        <w:t>FINRA</w:t>
      </w:r>
      <w:r>
        <w:rPr>
          <w:rFonts w:ascii="Times New Roman" w:hAnsi="Times New Roman"/>
          <w:sz w:val="20"/>
        </w:rPr>
        <w:t xml:space="preserve">”)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 </w:t>
      </w:r>
    </w:p>
    <w:p>
      <w:pPr>
        <w:pStyle w:val="TextBody"/>
        <w:bidi w:val="0"/>
        <w:spacing w:before="240" w:after="0"/>
        <w:jc w:val="left"/>
        <w:rPr>
          <w:rFonts w:ascii="Times New Roman" w:hAnsi="Times New Roman"/>
          <w:sz w:val="20"/>
        </w:rPr>
      </w:pPr>
      <w:r>
        <w:rPr>
          <w:rFonts w:ascii="Times New Roman" w:hAnsi="Times New Roman"/>
          <w:sz w:val="20"/>
        </w:rPr>
        <w:t xml:space="preserve">(l) 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 </w:t>
      </w:r>
    </w:p>
    <w:p>
      <w:pPr>
        <w:pStyle w:val="TextBody"/>
        <w:bidi w:val="0"/>
        <w:spacing w:before="240" w:after="0"/>
        <w:jc w:val="left"/>
        <w:rPr>
          <w:rFonts w:ascii="Times New Roman" w:hAnsi="Times New Roman"/>
          <w:sz w:val="20"/>
        </w:rPr>
      </w:pPr>
      <w:r>
        <w:rPr>
          <w:rFonts w:ascii="Times New Roman" w:hAnsi="Times New Roman"/>
          <w:sz w:val="20"/>
        </w:rPr>
        <w:t xml:space="preserve">(m) 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 The Company shall use its best efforts to cause the Registrable Securities covered by a Registration Statement to be registered with or approved by such other governmental agencies or authorities as may be necessary to consummate the disposition of such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(n) 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 Date of each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 The Company shall otherwise use its best efforts to comply with all applicable rules and regulations of the SEC in connection with any registration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(p) Within one (1) Business Day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Times New Roman" w:hAnsi="Times New Roman"/>
          <w:b/>
          <w:sz w:val="20"/>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(q) Notwithstanding anything to the contrary herein (but subject to the last sentence of this Section 3(q)),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 w:hAnsi="Times New Roman"/>
          <w:b/>
          <w:sz w:val="20"/>
        </w:rPr>
        <w:t>Grace Period</w:t>
      </w:r>
      <w:r>
        <w:rPr>
          <w:rFonts w:ascii="Times New Roman" w:hAnsi="Times New Roman"/>
          <w:sz w:val="20"/>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 w:hAnsi="Times New Roman"/>
          <w:b/>
          <w:sz w:val="20"/>
        </w:rPr>
        <w:t>Allowable Grace Period</w:t>
      </w:r>
      <w:r>
        <w:rPr>
          <w:rFonts w:ascii="Times New Roman" w:hAnsi="Times New Roman"/>
          <w:sz w:val="20"/>
        </w:rPr>
        <w:t xml:space="preserve">”). For purposes of determining the length of a Grace Period above, such Grace Period shall begin on and include the date the Investors receive the notice referred to in clause (i) above and shall end on and include the later of the date the Investors receive the notice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3(q),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 </w:t>
      </w:r>
    </w:p>
    <w:p>
      <w:pPr>
        <w:pStyle w:val="TextBody"/>
        <w:bidi w:val="0"/>
        <w:spacing w:before="240" w:after="0"/>
        <w:jc w:val="left"/>
        <w:rPr>
          <w:rFonts w:ascii="Times New Roman" w:hAnsi="Times New Roman"/>
          <w:sz w:val="20"/>
        </w:rPr>
      </w:pPr>
      <w:r>
        <w:rPr>
          <w:rFonts w:ascii="Times New Roman" w:hAnsi="Times New Roman"/>
          <w:sz w:val="20"/>
        </w:rPr>
        <w:t xml:space="preserve">(r) The Company shall take all other reasonable actions necessary to expedite and facilitate disposition by each Investor of its Registrable Securities pursuant to each Registration Statement. </w:t>
      </w:r>
    </w:p>
    <w:p>
      <w:pPr>
        <w:pStyle w:val="TextBody"/>
        <w:bidi w:val="0"/>
        <w:spacing w:before="240" w:after="0"/>
        <w:jc w:val="left"/>
        <w:rPr>
          <w:rFonts w:ascii="Times New Roman" w:hAnsi="Times New Roman"/>
          <w:sz w:val="20"/>
        </w:rPr>
      </w:pPr>
      <w:r>
        <w:rPr>
          <w:rFonts w:ascii="Times New Roman" w:hAnsi="Times New Roman"/>
          <w:sz w:val="20"/>
        </w:rPr>
        <w:t>(s) Without the prior written consent of the Investor, neither the Company nor any Subsidiary or affiliate thereof shall identify any Investor as an underwriter in any public disclosure or filing with the SEC, the Principal Market or any Eligible Market and any Investor being deemed an underwriter by the SEC shall not relieve the Company of any obligations it has under this Agreement or any other Transaction Document (as defined in the Securities Purchase Agreement); provided, however, that the foregoing shall not prohibit the Company from including the disclosure found in the “Plan of Distribution” section attached hereto as Exhibit B in the Registration Statement.</w:t>
      </w:r>
    </w:p>
    <w:p>
      <w:pPr>
        <w:pStyle w:val="TextBody"/>
        <w:bidi w:val="0"/>
        <w:spacing w:before="240" w:after="0"/>
        <w:jc w:val="left"/>
        <w:rPr>
          <w:rFonts w:ascii="Times New Roman" w:hAnsi="Times New Roman"/>
          <w:sz w:val="20"/>
        </w:rPr>
      </w:pPr>
      <w:r>
        <w:rPr>
          <w:rFonts w:ascii="Times New Roman" w:hAnsi="Times New Roman"/>
          <w:sz w:val="20"/>
        </w:rPr>
        <w:t xml:space="preserve">(t)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Obligations of the Investors.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Investor agrees that, upon receipt of any notice from the Company of the happening of any event of the kind described in Section 3(g) or the first sentence of Section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Expenses of Registration.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The Company shall reimburse Legal Counsel for its fees and disbursements in connection with registration, filing or qualification pursuant to Sections 2 and 3 of this Agreement which amount shall be limited to $10,000 for each such registration, filing or qualification.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Indemnification.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each Investor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hAnsi="Times New Roman"/>
          <w:b/>
          <w:sz w:val="20"/>
        </w:rPr>
        <w:t>Indemnified Person</w:t>
      </w:r>
      <w:r>
        <w:rPr>
          <w:rFonts w:ascii="Times New Roman" w:hAnsi="Times New Roman"/>
          <w:sz w:val="20"/>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 w:hAnsi="Times New Roman"/>
          <w:b/>
          <w:sz w:val="20"/>
        </w:rPr>
        <w:t>Claims</w:t>
      </w:r>
      <w:r>
        <w:rPr>
          <w:rFonts w:ascii="Times New Roman" w:hAnsi="Times New Roman"/>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 w:hAnsi="Times New Roman"/>
          <w:b/>
          <w:sz w:val="20"/>
        </w:rPr>
        <w:t>Indemnified Damages</w:t>
      </w:r>
      <w:r>
        <w:rPr>
          <w:rFonts w:ascii="Times New Roman" w:hAnsi="Times New Roman"/>
          <w:sz w:val="20"/>
        </w:rPr>
        <w:t xml:space="preserve">”), to which any of them may become subject insofar as such Claims (or actions or proceedings, whether commenced or threatened, in respect thereof) arise out of or are based upon: (i) any untrue statement or alleged untrue statement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hAnsi="Times New Roman"/>
          <w:b/>
          <w:sz w:val="20"/>
        </w:rPr>
        <w:t>Blue Sky Filing</w:t>
      </w:r>
      <w:r>
        <w:rPr>
          <w:rFonts w:ascii="Times New Roman" w:hAnsi="Times New Roman"/>
          <w:sz w:val="20"/>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Times New Roman" w:hAnsi="Times New Roman"/>
          <w:b/>
          <w:sz w:val="20"/>
        </w:rPr>
        <w:t>Violations</w:t>
      </w:r>
      <w:r>
        <w:rPr>
          <w:rFonts w:ascii="Times New Roman" w:hAnsi="Times New Roman"/>
          <w:sz w:val="20"/>
        </w:rPr>
        <w:t xml:space="preserve">”).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for such Indemnified Person expressly for use in connection with the preparation of such Registration Statement or any such amendment thereof or supplement thereto, if such prospectus was timely made available by the Company pursuant to Section 3(d);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any of the Registrable Securities by any of the Investors pursuant to Section 9. </w:t>
      </w:r>
    </w:p>
    <w:p>
      <w:pPr>
        <w:pStyle w:val="TextBody"/>
        <w:bidi w:val="0"/>
        <w:spacing w:before="240" w:after="0"/>
        <w:jc w:val="left"/>
        <w:rPr>
          <w:rFonts w:ascii="Times New Roman" w:hAnsi="Times New Roman"/>
          <w:sz w:val="20"/>
        </w:rPr>
      </w:pPr>
      <w:r>
        <w:rPr>
          <w:rFonts w:ascii="Times New Roman" w:hAnsi="Times New Roman"/>
          <w:sz w:val="20"/>
        </w:rPr>
        <w:t>(b) In connection with any Registration Statement in which an Investor is participating,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Times New Roman" w:hAnsi="Times New Roman"/>
          <w:b/>
          <w:sz w:val="20"/>
        </w:rPr>
        <w:t>Indemnified Party</w:t>
      </w:r>
      <w:r>
        <w:rPr>
          <w:rFonts w:ascii="Times New Roman" w:hAnsi="Times New Roman"/>
          <w:sz w:val="20"/>
        </w:rPr>
        <w:t xml:space="preserve">”),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6(c) and the below provisos in this Section 6(b), such Investor will reimburse an Indemnified Party any legal or other expenses reasonably incurred by such Indemnified Party in connection with investigating or defending any such Claim; provided, however,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that such Investor shall be liable under this Section 6(b)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that amount of a Claim or Indemnified Damages as does not exceed the net proceeds to such Investor as a result of the applicable sale of Registrable Securities pursuant to such Registration Statement. Such indemnity shall remain in full force and effect regardless of any investigation made by or on behalf of such Indemnified Party and shall survive the transfer of any of the Registrable Securities by any of the Investors pursuant to Section 9.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Person or Indemnified Party (as the case may be) under this Section 6 of notice of the commencement of any action or proceeding (including, without limitation, any governmental action or proceeding) involving a Claim, such Indemnified Person or Indemnified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an Indemnified Person or Indemnified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or Indemnified Party (as the case may be) in any such Claim; or (iii) the named parties to any such Claim (including, without limitation, any impleaded parties) include both such Indemnified Person or Indemnified Party (as the case may be) and the indemnifying party, and such Indemnified Person or such Indemnified Party (as the case may be) shall have been advised by counsel that a conflict of interest is likely to exist if the same counsel were to represent such Indemnified Person or such Indemnified Party and the indemnifying party (in which case, if such Indemnified Person or such Indemnified Party (as the case may be)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 (1) separate legal counsel for such Indemnified Person or Indemnified Party (as the case may be). The Indemnified Party or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(as the case may be) which relates to such action or Claim. The indemnifying party shall keep the Indemnified Party or Indemnified Person (as the case may be)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Party or Indemnified Person (as the case may be), consent to entry of any judgment or enter into any settlement or other compromise which does not include as an unconditional term thereof the giving by the claimant or plaintiff to such Indemnified Party or Indemnified Person (as the case may be) of a release from all liability in respect to such Claim or litigation, and such settlement shall not include any admission as to fault on the part of the Indemnified Party. Following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provided for hereunder, the indemnifying party shall be subrogated to all rights of the Indemnified Party or Indemnified Person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(as the case may be) under this Section 6, except to the extent that the indemnifying party is materially and adversely prejudiced in its ability to defend such action.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required by this Section 6 shall be made by periodic payments of the amount thereof during the course of the investigation or defense, as and when bills are received or Indemnified Damages are incurred. </w:t>
      </w:r>
    </w:p>
    <w:p>
      <w:pPr>
        <w:pStyle w:val="TextBody"/>
        <w:bidi w:val="0"/>
        <w:spacing w:before="240" w:after="0"/>
        <w:jc w:val="left"/>
        <w:rPr>
          <w:rFonts w:ascii="Times New Roman" w:hAnsi="Times New Roman"/>
          <w:sz w:val="20"/>
        </w:rPr>
      </w:pPr>
      <w:r>
        <w:rPr>
          <w:rFonts w:ascii="Times New Roman" w:hAnsi="Times New Roman"/>
          <w:sz w:val="20"/>
        </w:rPr>
        <w:t xml:space="preserve">(e) The indemnity and contribution agreements contained herein shall be in addition to (i) any cause of action or similar right of the Indemnified Party or Indemnified Person against the indemnifying party or others, and (ii) any liabilities the indemnifying party may be subject to pursuant to the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Reports Under the 1934 Act.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view to making available to the Investors the benefits of Rule 144, the Company agrees to: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public information available, as those terms are understood and defined in Rule 144; </w:t>
      </w:r>
    </w:p>
    <w:p>
      <w:pPr>
        <w:pStyle w:val="TextBody"/>
        <w:bidi w:val="0"/>
        <w:spacing w:before="240" w:after="0"/>
        <w:jc w:val="left"/>
        <w:rPr>
          <w:rFonts w:ascii="Times New Roman" w:hAnsi="Times New Roman"/>
          <w:sz w:val="20"/>
        </w:rPr>
      </w:pPr>
      <w:r>
        <w:rPr>
          <w:rFonts w:ascii="Times New Roman" w:hAnsi="Times New Roman"/>
          <w:sz w:val="20"/>
        </w:rPr>
        <w:t xml:space="preserve">(b) 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Securities Purchase Agreement) and the filing of such reports and other documents is required for the applicable provisions of Rule 144;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Assignment of Registration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All or any portion of the rights under this Agreement shall be automatically assignable by each Investor to any transferee or assignee (as the case may be) of all or any portion of such Investor’s Registrable Securities or Notes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Securities Purchase Agreement and the Additional Notes; and (vi) such transfer or assignment (as the case may be) shall have been conducted in accordance with all applicable federal and state securities laws.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Amendment of Registration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 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and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As set forth in Section 9(f) of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If to Legal Counsel: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Telephone: (313) 465-7042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Rosenberg , Esq. and N. Danny Shulman, Esq. </w:t>
      </w:r>
    </w:p>
    <w:p>
      <w:pPr>
        <w:pStyle w:val="TextBody"/>
        <w:bidi w:val="0"/>
        <w:spacing w:before="0" w:after="0"/>
        <w:jc w:val="left"/>
        <w:rPr>
          <w:rFonts w:ascii="Times New Roman" w:hAnsi="Times New Roman"/>
          <w:sz w:val="20"/>
        </w:rPr>
      </w:pPr>
      <w:r>
        <w:rPr>
          <w:rFonts w:ascii="Times New Roman" w:hAnsi="Times New Roman"/>
          <w:sz w:val="20"/>
        </w:rPr>
        <w:t xml:space="preserve">E-mail: mrosenberg@honigman.com and </w:t>
      </w:r>
      <w:r>
        <w:rPr>
          <w:rFonts w:ascii="Times New Roman" w:hAnsi="Times New Roman"/>
          <w:sz w:val="20"/>
          <w:u w:val="single"/>
        </w:rPr>
        <w:t>nshulman@honigman.com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a Buyer, to its mailing address and/or email address set forth on the Schedule of Buyers attached to the Securities Purchase Agreement, with copies to such Buyer’s representatives as set forth on the Schedule of Buyers, or to such other mailing address and/or email address and/or to the attention of such other Person as the recipient party has specified by written notice given to each other party five (5) days prior to the effectiveness of such change, provided that Honigman LLP shall only be provided notices sent to the lead investor. Written confirmation of receipt (A) given by the recipient of such notice, consent, waiver or other communication, (B) 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 </w:t>
      </w:r>
    </w:p>
    <w:p>
      <w:pPr>
        <w:pStyle w:val="TextBody"/>
        <w:bidi w:val="0"/>
        <w:spacing w:before="240" w:after="0"/>
        <w:jc w:val="left"/>
        <w:rPr>
          <w:rFonts w:ascii="Times New Roman" w:hAnsi="Times New Roman"/>
          <w:sz w:val="20"/>
        </w:rPr>
      </w:pPr>
      <w:r>
        <w:rPr>
          <w:rFonts w:ascii="Times New Roman" w:hAnsi="Times New Roman"/>
          <w:sz w:val="20"/>
        </w:rPr>
        <w:t xml:space="preserve">(d) All questions concerning the construction, validity, enforcement and interpretation of this Agreement shall be governed by the internal laws of the State of New York, without giving effect to any provision of law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(g) 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 </w:t>
      </w:r>
    </w:p>
    <w:p>
      <w:pPr>
        <w:pStyle w:val="TextBody"/>
        <w:bidi w:val="0"/>
        <w:spacing w:before="240" w:after="0"/>
        <w:jc w:val="left"/>
        <w:rPr>
          <w:rFonts w:ascii="Times New Roman" w:hAnsi="Times New Roman"/>
          <w:sz w:val="20"/>
        </w:rPr>
      </w:pPr>
      <w:r>
        <w:rPr>
          <w:rFonts w:ascii="Times New Roman" w:hAnsi="Times New Roman"/>
          <w:sz w:val="20"/>
        </w:rPr>
        <w:t xml:space="preserve">(h)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(j)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Trigger Date in such other Transaction Documents unless otherwise consented to in writing by each Investor. </w:t>
      </w:r>
    </w:p>
    <w:p>
      <w:pPr>
        <w:pStyle w:val="TextBody"/>
        <w:bidi w:val="0"/>
        <w:spacing w:before="240" w:after="0"/>
        <w:jc w:val="left"/>
        <w:rPr>
          <w:rFonts w:ascii="Times New Roman" w:hAnsi="Times New Roman"/>
          <w:sz w:val="20"/>
        </w:rPr>
      </w:pPr>
      <w:r>
        <w:rPr>
          <w:rFonts w:ascii="Times New Roman" w:hAnsi="Times New Roman"/>
          <w:sz w:val="20"/>
        </w:rPr>
        <w:t xml:space="preserve">(l) All consents and other determinations required to be made by the Investors pursuant to this Agreement shall be made, unless otherwise specified in this Agreement, by the Required Holders, determined as if all of the outstanding Notes then held by the Investors have been converted for Registrable Securities without regard to any limitations on redemption, amortization and/or conversion of the 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(m) This Agreement is intended for the benefit of the parties hereto and their respective permitted successors and assigns, and is not for the benefit of, nor may any provision hereof be enforced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 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Buyer and the Company have caused their respective signature page to this Registration Rights Agreement to be duly executed as of the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24"/>
        <w:gridCol w:w="60"/>
        <w:gridCol w:w="3398"/>
      </w:tblGrid>
      <w:tr>
        <w:trPr/>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CERENOME, INC.</w:t>
            </w:r>
          </w:p>
        </w:tc>
      </w:tr>
      <w:tr>
        <w:trPr>
          <w:trHeight w:val="240" w:hRule="atLeast"/>
        </w:trPr>
        <w:tc>
          <w:tcPr>
            <w:tcW w:w="624" w:type="dxa"/>
            <w:tcBorders/>
            <w:vAlign w:val="center"/>
          </w:tcPr>
          <w:p>
            <w:pPr>
              <w:pStyle w:val="TableContents"/>
              <w:bidi w:val="0"/>
              <w:spacing w:before="0" w:after="283"/>
              <w:jc w:val="left"/>
              <w:rPr>
                <w:sz w:val="4"/>
                <w:szCs w:val="4"/>
              </w:rPr>
            </w:pPr>
            <w:r>
              <w:rPr>
                <w:sz w:val="4"/>
                <w:szCs w:val="4"/>
              </w:rPr>
            </w:r>
          </w:p>
        </w:tc>
        <w:tc>
          <w:tcPr>
            <w:tcW w:w="3458"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 </w:t>
            </w:r>
          </w:p>
        </w:tc>
      </w:tr>
      <w:tr>
        <w:trPr/>
        <w:tc>
          <w:tcPr>
            <w:tcW w:w="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Andrew Sims</w:t>
            </w:r>
          </w:p>
        </w:tc>
      </w:tr>
      <w:tr>
        <w:trPr/>
        <w:tc>
          <w:tcPr>
            <w:tcW w:w="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Buyer and the Company have caused their respective signature page to this Registration Rights Agreement to be duly executed as of the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85"/>
        <w:gridCol w:w="79"/>
        <w:gridCol w:w="3218"/>
      </w:tblGrid>
      <w:tr>
        <w:trPr/>
        <w:tc>
          <w:tcPr>
            <w:tcW w:w="78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BUYERS</w:t>
            </w:r>
          </w:p>
        </w:tc>
      </w:tr>
      <w:tr>
        <w:trPr>
          <w:trHeight w:val="240" w:hRule="atLeast"/>
        </w:trPr>
        <w:tc>
          <w:tcPr>
            <w:tcW w:w="785" w:type="dxa"/>
            <w:tcBorders/>
            <w:vAlign w:val="center"/>
          </w:tcPr>
          <w:p>
            <w:pPr>
              <w:pStyle w:val="TableContents"/>
              <w:bidi w:val="0"/>
              <w:spacing w:before="0" w:after="283"/>
              <w:jc w:val="left"/>
              <w:rPr>
                <w:sz w:val="4"/>
                <w:szCs w:val="4"/>
              </w:rPr>
            </w:pPr>
            <w:r>
              <w:rPr>
                <w:sz w:val="4"/>
                <w:szCs w:val="4"/>
              </w:rPr>
            </w:r>
          </w:p>
        </w:tc>
        <w:tc>
          <w:tcPr>
            <w:tcW w:w="3297"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0"/>
              <w:jc w:val="left"/>
              <w:rPr>
                <w:rFonts w:ascii="Times New Roman" w:hAnsi="Times New Roman"/>
                <w:b/>
                <w:sz w:val="20"/>
              </w:rPr>
            </w:pPr>
            <w:r>
              <w:rPr>
                <w:rFonts w:ascii="Times New Roman" w:hAnsi="Times New Roman"/>
                <w:b/>
                <w:sz w:val="20"/>
              </w:rPr>
              <w:t>[ ]</w:t>
            </w:r>
          </w:p>
          <w:p>
            <w:pPr>
              <w:pStyle w:val="TableContents"/>
              <w:bidi w:val="0"/>
              <w:spacing w:before="0" w:after="20"/>
              <w:jc w:val="left"/>
              <w:rPr>
                <w:rFonts w:ascii="Times New Roman" w:hAnsi="Times New Roman"/>
                <w:sz w:val="20"/>
              </w:rPr>
            </w:pPr>
            <w:r>
              <w:rPr>
                <w:rFonts w:ascii="Times New Roman" w:hAnsi="Times New Roman"/>
                <w:sz w:val="20"/>
              </w:rPr>
              <w:t>By:</w:t>
            </w:r>
          </w:p>
        </w:tc>
        <w:tc>
          <w:tcPr>
            <w:tcW w:w="79"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left"/>
              <w:rPr>
                <w:sz w:val="4"/>
                <w:szCs w:val="4"/>
              </w:rPr>
            </w:pPr>
            <w:r>
              <w:rPr>
                <w:sz w:val="4"/>
                <w:szCs w:val="4"/>
              </w:rPr>
            </w:r>
          </w:p>
        </w:tc>
      </w:tr>
      <w:tr>
        <w:trPr>
          <w:trHeight w:val="240" w:hRule="atLeast"/>
        </w:trPr>
        <w:tc>
          <w:tcPr>
            <w:tcW w:w="785" w:type="dxa"/>
            <w:tcBorders/>
            <w:vAlign w:val="center"/>
          </w:tcPr>
          <w:p>
            <w:pPr>
              <w:pStyle w:val="TableContents"/>
              <w:bidi w:val="0"/>
              <w:spacing w:before="0" w:after="283"/>
              <w:jc w:val="left"/>
              <w:rPr>
                <w:sz w:val="4"/>
                <w:szCs w:val="4"/>
              </w:rPr>
            </w:pPr>
            <w:r>
              <w:rPr>
                <w:sz w:val="4"/>
                <w:szCs w:val="4"/>
              </w:rPr>
            </w:r>
          </w:p>
        </w:tc>
        <w:tc>
          <w:tcPr>
            <w:tcW w:w="3297"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283"/>
              <w:jc w:val="left"/>
              <w:rPr/>
            </w:pPr>
            <w:r>
              <w:rPr/>
              <w:t>By:</w:t>
            </w:r>
          </w:p>
        </w:tc>
        <w:tc>
          <w:tcPr>
            <w:tcW w:w="79" w:type="dxa"/>
            <w:tcBorders>
              <w:bottom w:val="single" w:sz="2" w:space="0" w:color="000000"/>
            </w:tcBorders>
            <w:tcMar>
              <w:bottom w:w="28" w:type="dxa"/>
            </w:tcMar>
            <w:vAlign w:val="bottom"/>
          </w:tcPr>
          <w:p>
            <w:pPr>
              <w:pStyle w:val="TableContents"/>
              <w:bidi w:val="0"/>
              <w:spacing w:before="0" w:after="283"/>
              <w:jc w:val="left"/>
              <w:rPr/>
            </w:pPr>
            <w:r>
              <w:rPr/>
              <w:t> </w:t>
            </w:r>
          </w:p>
        </w:tc>
        <w:tc>
          <w:tcPr>
            <w:tcW w:w="3218" w:type="dxa"/>
            <w:tcBorders>
              <w:bottom w:val="single" w:sz="2" w:space="0" w:color="000000"/>
            </w:tcBorders>
            <w:tcMar>
              <w:bottom w:w="28" w:type="dxa"/>
            </w:tcMar>
          </w:tcPr>
          <w:p>
            <w:pPr>
              <w:pStyle w:val="TableContents"/>
              <w:bidi w:val="0"/>
              <w:spacing w:before="0" w:after="283"/>
              <w:jc w:val="left"/>
              <w:rPr/>
            </w:pPr>
            <w:r>
              <w:rPr/>
              <w:t> </w:t>
            </w:r>
          </w:p>
        </w:tc>
      </w:tr>
      <w:tr>
        <w:trPr/>
        <w:tc>
          <w:tcPr>
            <w:tcW w:w="78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9"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9"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NOTICE OF EFFECTIVENESS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OF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sz w:val="4"/>
                <w:szCs w:val="4"/>
              </w:rPr>
            </w:pPr>
            <w:r>
              <w:rPr>
                <w:sz w:val="4"/>
                <w:szCs w:val="4"/>
              </w:rPr>
            </w:r>
          </w:p>
        </w:tc>
      </w:tr>
      <w:tr>
        <w:trPr/>
        <w:tc>
          <w:tcPr>
            <w:tcW w:w="204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sz w:val="4"/>
                <w:szCs w:val="4"/>
              </w:rPr>
            </w:pPr>
            <w:r>
              <w:rPr>
                <w:sz w:val="4"/>
                <w:szCs w:val="4"/>
              </w:rPr>
            </w:r>
          </w:p>
        </w:tc>
      </w:tr>
      <w:tr>
        <w:trPr/>
        <w:tc>
          <w:tcPr>
            <w:tcW w:w="204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Attention: 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Cerenome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are][I am] counsel to Cerenome Inc., a Delaware corporation (the “</w:t>
      </w:r>
      <w:r>
        <w:rPr>
          <w:rFonts w:ascii="Times New Roman" w:hAnsi="Times New Roman"/>
          <w:b/>
          <w:sz w:val="20"/>
        </w:rPr>
        <w:t>Company</w:t>
      </w:r>
      <w:r>
        <w:rPr>
          <w:rFonts w:ascii="Times New Roman" w:hAnsi="Times New Roman"/>
          <w:sz w:val="20"/>
        </w:rPr>
        <w:t>”), and have represented the Company in connection with that certain Securities Purchase Agreement (the “</w:t>
      </w:r>
      <w:r>
        <w:rPr>
          <w:rFonts w:ascii="Times New Roman" w:hAnsi="Times New Roman"/>
          <w:b/>
          <w:sz w:val="20"/>
        </w:rPr>
        <w:t>Securities Purchase Agreement</w:t>
      </w:r>
      <w:r>
        <w:rPr>
          <w:rFonts w:ascii="Times New Roman" w:hAnsi="Times New Roman"/>
          <w:sz w:val="20"/>
        </w:rPr>
        <w:t>”) entered into by and among the Company and the buyers named therein (collectively, the “</w:t>
      </w:r>
      <w:r>
        <w:rPr>
          <w:rFonts w:ascii="Times New Roman" w:hAnsi="Times New Roman"/>
          <w:b/>
          <w:sz w:val="20"/>
        </w:rPr>
        <w:t>Holders</w:t>
      </w:r>
      <w:r>
        <w:rPr>
          <w:rFonts w:ascii="Times New Roman" w:hAnsi="Times New Roman"/>
          <w:sz w:val="20"/>
        </w:rPr>
        <w:t>”) pursuant to which the Company issued to the Holders senior secured convertible notes (the “</w:t>
      </w:r>
      <w:r>
        <w:rPr>
          <w:rFonts w:ascii="Times New Roman" w:hAnsi="Times New Roman"/>
          <w:b/>
          <w:sz w:val="20"/>
        </w:rPr>
        <w:t>Notes</w:t>
      </w:r>
      <w:r>
        <w:rPr>
          <w:rFonts w:ascii="Times New Roman" w:hAnsi="Times New Roman"/>
          <w:sz w:val="20"/>
        </w:rPr>
        <w:t>”) convertible into the Company’s shares of common stock, $0.001 par value per share (the “</w:t>
      </w:r>
      <w:r>
        <w:rPr>
          <w:rFonts w:ascii="Times New Roman" w:hAnsi="Times New Roman"/>
          <w:b/>
          <w:sz w:val="20"/>
        </w:rPr>
        <w:t>Common Stock”</w:t>
      </w:r>
      <w:r>
        <w:rPr>
          <w:rFonts w:ascii="Times New Roman" w:hAnsi="Times New Roman"/>
          <w:sz w:val="20"/>
        </w:rPr>
        <w:t>). Pursuant to the Securities Purchase Agreement, the Company also has entered into a Registration Rights Agreement with the Holders (the “</w:t>
      </w:r>
      <w:r>
        <w:rPr>
          <w:rFonts w:ascii="Times New Roman" w:hAnsi="Times New Roman"/>
          <w:b/>
          <w:sz w:val="20"/>
        </w:rPr>
        <w:t>Registration Rights Agreement</w:t>
      </w:r>
      <w:r>
        <w:rPr>
          <w:rFonts w:ascii="Times New Roman" w:hAnsi="Times New Roman"/>
          <w:sz w:val="20"/>
        </w:rPr>
        <w:t>”) pursuant to which the Company agreed, among other things, to register the Registrable Securities (as defined in the Registration Rights Agreement), including the shares of Common Stock issuable upon conversion of the Notes, under the Securities Act of 1933, as amended (the “</w:t>
      </w:r>
      <w:r>
        <w:rPr>
          <w:rFonts w:ascii="Times New Roman" w:hAnsi="Times New Roman"/>
          <w:b/>
          <w:sz w:val="20"/>
        </w:rPr>
        <w:t>1933 Act</w:t>
      </w:r>
      <w:r>
        <w:rPr>
          <w:rFonts w:ascii="Times New Roman" w:hAnsi="Times New Roman"/>
          <w:sz w:val="20"/>
        </w:rPr>
        <w:t>”). In connection with the Company’s obligations under the Registration Rights Agreement, on _____________ _, 20 _, the Company filed a Registration Statement on Form [S-1][S-3] (File No. 333- _________) (the “</w:t>
      </w:r>
      <w:r>
        <w:rPr>
          <w:rFonts w:ascii="Times New Roman" w:hAnsi="Times New Roman"/>
          <w:b/>
          <w:sz w:val="20"/>
        </w:rPr>
        <w:t>Registration Statement</w:t>
      </w:r>
      <w:r>
        <w:rPr>
          <w:rFonts w:ascii="Times New Roman" w:hAnsi="Times New Roman"/>
          <w:sz w:val="20"/>
        </w:rPr>
        <w:t>”) with the Securities and Exchange Commission (the “</w:t>
      </w:r>
      <w:r>
        <w:rPr>
          <w:rFonts w:ascii="Times New Roman" w:hAnsi="Times New Roman"/>
          <w:b/>
          <w:sz w:val="20"/>
        </w:rPr>
        <w:t>SEC</w:t>
      </w:r>
      <w:r>
        <w:rPr>
          <w:rFonts w:ascii="Times New Roman" w:hAnsi="Times New Roman"/>
          <w:sz w:val="20"/>
        </w:rPr>
        <w:t>”) relating to the Registrable Securities which names each of the Holders as a selling stockholder thereunder</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foregoing, [we][I] advise you that [a member of the SEC’s staff has advised [us][me] by telephone that [the SEC has entered an order declaring the Registration Statement effective under the 1933 Act at [ENTER TIME OF EFFECTIVENESS] on [ENTER DATE OF EFFECTIVENESS]] [an order declaring the Registration Statement effective under the 1933 Act at [ENTER TIME OF EFFECTIVENESS] on [ENTER DATE OF EFFECTIVENESS]] has been posted on the web site of the SEC at www.sec.gov] and [we][I] have no knowledge, after a review of information posted on the website of the SEC at http://www.sec.gov/litigation/stoporders.shtml, that any stop order suspending its effectiveness has been issued or that any proceedings for that purpose are pending before, or threatened by, the SEC and the Registrable Securities are available for resale under the 1933 Act pursuant 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letter shall serve as our standing opinion to you that the shares of Common Stock underlying the Notes are freely transferable by the Holders pursuant to the Registration Statement. You need not require further letters from us to effect any future legend- free issuance or reissuance of such shares of Common Stock to the Holders as contemplated by the Company’s Irrevocable Transfer Agent Instructions dated </w:t>
      </w:r>
      <w:r>
        <w:rPr>
          <w:rFonts w:ascii="Times New Roman" w:hAnsi="Times New Roman"/>
          <w:sz w:val="20"/>
          <w:u w:val="single"/>
        </w:rPr>
        <w:t>___________</w:t>
      </w:r>
      <w:r>
        <w:rPr>
          <w:rFonts w:ascii="Times New Roman" w:hAnsi="Times New Roman"/>
          <w:sz w:val="20"/>
        </w:rPr>
        <w:t xml:space="preserve"> , 20 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5"/>
        <w:gridCol w:w="76"/>
        <w:gridCol w:w="3221"/>
      </w:tblGrid>
      <w:tr>
        <w:trPr/>
        <w:tc>
          <w:tcPr>
            <w:tcW w:w="78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[ISSUER’S COUNSEL]</w:t>
            </w:r>
          </w:p>
        </w:tc>
      </w:tr>
      <w:tr>
        <w:trPr>
          <w:trHeight w:val="240" w:hRule="atLeast"/>
        </w:trPr>
        <w:tc>
          <w:tcPr>
            <w:tcW w:w="785" w:type="dxa"/>
            <w:tcBorders/>
            <w:vAlign w:val="center"/>
          </w:tcPr>
          <w:p>
            <w:pPr>
              <w:pStyle w:val="TableContents"/>
              <w:bidi w:val="0"/>
              <w:spacing w:before="0" w:after="283"/>
              <w:jc w:val="left"/>
              <w:rPr>
                <w:sz w:val="4"/>
                <w:szCs w:val="4"/>
              </w:rPr>
            </w:pPr>
            <w:r>
              <w:rPr>
                <w:sz w:val="4"/>
                <w:szCs w:val="4"/>
              </w:rPr>
            </w:r>
          </w:p>
        </w:tc>
        <w:tc>
          <w:tcPr>
            <w:tcW w:w="3297"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283"/>
              <w:jc w:val="left"/>
              <w:rPr/>
            </w:pPr>
            <w:r>
              <w:rPr/>
              <w:t>By:</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21"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785" w:type="dxa"/>
            <w:tcBorders/>
            <w:vAlign w:val="center"/>
          </w:tcPr>
          <w:p>
            <w:pPr>
              <w:pStyle w:val="TableContents"/>
              <w:bidi w:val="0"/>
              <w:spacing w:before="0" w:after="283"/>
              <w:jc w:val="left"/>
              <w:rPr>
                <w:sz w:val="4"/>
                <w:szCs w:val="4"/>
              </w:rPr>
            </w:pPr>
            <w:r>
              <w:rPr>
                <w:sz w:val="4"/>
                <w:szCs w:val="4"/>
              </w:rPr>
            </w:r>
          </w:p>
        </w:tc>
        <w:tc>
          <w:tcPr>
            <w:tcW w:w="3297"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283"/>
              <w:jc w:val="left"/>
              <w:rPr/>
            </w:pPr>
            <w:r>
              <w:rPr/>
              <w:t>CC:</w:t>
            </w:r>
          </w:p>
        </w:tc>
        <w:tc>
          <w:tcPr>
            <w:tcW w:w="76" w:type="dxa"/>
            <w:tcBorders>
              <w:bottom w:val="single" w:sz="2" w:space="0" w:color="000000"/>
            </w:tcBorders>
            <w:tcMar>
              <w:bottom w:w="28" w:type="dxa"/>
            </w:tcMar>
            <w:vAlign w:val="bottom"/>
          </w:tcPr>
          <w:p>
            <w:pPr>
              <w:pStyle w:val="TableContents"/>
              <w:bidi w:val="0"/>
              <w:spacing w:before="0" w:after="283"/>
              <w:jc w:val="left"/>
              <w:rPr/>
            </w:pPr>
            <w:r>
              <w:rPr/>
              <w:t> </w:t>
            </w:r>
          </w:p>
        </w:tc>
        <w:tc>
          <w:tcPr>
            <w:tcW w:w="322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offered by the selling stockholders are those issuable to the selling stockholders upon conversion of the notes. For additional information regarding the issuance of the notes, see “Private Placement of Notes” above. We are registering the shares of common stock in order to permit the selling stockholders to offer the shares for resale from time to time. Except for the ownership of the notes issued pursuant to the Securities Purchase Agreement, the selling stockholders have not had any material relationship with us within the past three years.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and notes, as of </w:t>
      </w:r>
      <w:r>
        <w:rPr>
          <w:rFonts w:ascii="Times New Roman" w:hAnsi="Times New Roman"/>
          <w:sz w:val="20"/>
          <w:u w:val="single"/>
        </w:rPr>
        <w:t>________</w:t>
      </w:r>
      <w:r>
        <w:rPr>
          <w:rFonts w:ascii="Times New Roman" w:hAnsi="Times New Roman"/>
          <w:sz w:val="20"/>
        </w:rPr>
        <w:t xml:space="preserve">, 20 __, assuming conversion of the notes held by each such selling stockholder on that date but taking account of any limitations on conversion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third column lists the shares of common stock being offered by this prospectus by the selling stockholders and does not take into account any limitations on conversion of the notes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a registration rights agreement with the holders of the notes and the warrants, this prospectus generally covers the resale of 200% of the maximum number of shares of common stock issued or issuable pursuant to the Notes, including payment of interest on the notes through [DATE], determined as if the outstanding notes (including interest on the notes through [DATE]) were converted in full (without regard to any limitations on conversion or exercise contained therein solely for the purpose of such calculation) at an alternate conversion price calculated as of the trading day immediately preceding the date this registration statement was initially filed with the SEC. Because the conversion price and alternate conversion price of the notes may be adjusted, the number of shares that will actually be issued may be more or less than the number of shares being offered by this prospectus. The fourth column assumes the sale of all of the shares offered by the selling stockholders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notes, a selling stockholder may not convert the notes to the extent (but only to the extent) such selling stockholder or any of its affiliates would beneficially own a number of shares of our common stock which would exceed 4.99% of the outstanding shares of the Company. The number of shares in the second column reflects these limitations. The selling stockholders may sell all, some or none of their shares in this offering. See “Plan of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50"/>
        <w:gridCol w:w="100"/>
        <w:gridCol w:w="2451"/>
        <w:gridCol w:w="100"/>
        <w:gridCol w:w="2553"/>
        <w:gridCol w:w="100"/>
        <w:gridCol w:w="2451"/>
      </w:tblGrid>
      <w:tr>
        <w:trPr/>
        <w:tc>
          <w:tcPr>
            <w:tcW w:w="24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245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Name of Selling</w:t>
            </w:r>
          </w:p>
          <w:p>
            <w:pPr>
              <w:pStyle w:val="TableContents"/>
              <w:bidi w:val="0"/>
              <w:spacing w:before="0" w:after="20"/>
              <w:jc w:val="left"/>
              <w:rPr>
                <w:rFonts w:ascii="Times New Roman" w:hAnsi="Times New Roman"/>
                <w:sz w:val="16"/>
              </w:rPr>
            </w:pPr>
            <w:r>
              <w:rPr>
                <w:rFonts w:ascii="Times New Roman" w:hAnsi="Times New Roman"/>
                <w:sz w:val="16"/>
              </w:rPr>
              <w:t>Stockholder</w:t>
            </w:r>
          </w:p>
        </w:tc>
        <w:tc>
          <w:tcPr>
            <w:tcW w:w="100" w:type="dxa"/>
            <w:tcBorders/>
            <w:vAlign w:val="bottom"/>
          </w:tcPr>
          <w:p>
            <w:pPr>
              <w:pStyle w:val="TableContents"/>
              <w:bidi w:val="0"/>
              <w:spacing w:before="0" w:after="283"/>
              <w:jc w:val="left"/>
              <w:rPr/>
            </w:pPr>
            <w:r>
              <w:rPr/>
              <w:t> </w:t>
            </w:r>
          </w:p>
        </w:tc>
        <w:tc>
          <w:tcPr>
            <w:tcW w:w="245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Number of Shares of</w:t>
            </w:r>
          </w:p>
          <w:p>
            <w:pPr>
              <w:pStyle w:val="TableContents"/>
              <w:bidi w:val="0"/>
              <w:spacing w:before="0" w:after="0"/>
              <w:jc w:val="center"/>
              <w:rPr>
                <w:rFonts w:ascii="Times New Roman" w:hAnsi="Times New Roman"/>
                <w:sz w:val="16"/>
              </w:rPr>
            </w:pPr>
            <w:r>
              <w:rPr>
                <w:rFonts w:ascii="Times New Roman" w:hAnsi="Times New Roman"/>
                <w:sz w:val="16"/>
              </w:rPr>
              <w:t>Common Stock</w:t>
            </w:r>
          </w:p>
          <w:p>
            <w:pPr>
              <w:pStyle w:val="TableContents"/>
              <w:bidi w:val="0"/>
              <w:spacing w:before="0" w:after="0"/>
              <w:jc w:val="center"/>
              <w:rPr>
                <w:rFonts w:ascii="Times New Roman" w:hAnsi="Times New Roman"/>
                <w:sz w:val="16"/>
              </w:rPr>
            </w:pPr>
            <w:r>
              <w:rPr>
                <w:rFonts w:ascii="Times New Roman" w:hAnsi="Times New Roman"/>
                <w:sz w:val="16"/>
              </w:rPr>
              <w:t>Owned</w:t>
            </w:r>
          </w:p>
          <w:p>
            <w:pPr>
              <w:pStyle w:val="TableContents"/>
              <w:bidi w:val="0"/>
              <w:spacing w:before="0" w:after="20"/>
              <w:jc w:val="center"/>
              <w:rPr>
                <w:rFonts w:ascii="Times New Roman" w:hAnsi="Times New Roman"/>
                <w:sz w:val="16"/>
              </w:rPr>
            </w:pPr>
            <w:r>
              <w:rPr>
                <w:rFonts w:ascii="Times New Roman" w:hAnsi="Times New Roman"/>
                <w:sz w:val="16"/>
              </w:rPr>
              <w:t>Prior to Offering</w:t>
            </w:r>
          </w:p>
        </w:tc>
        <w:tc>
          <w:tcPr>
            <w:tcW w:w="100" w:type="dxa"/>
            <w:tcBorders/>
            <w:vAlign w:val="bottom"/>
          </w:tcPr>
          <w:p>
            <w:pPr>
              <w:pStyle w:val="TableContents"/>
              <w:bidi w:val="0"/>
              <w:spacing w:before="0" w:after="283"/>
              <w:jc w:val="left"/>
              <w:rPr/>
            </w:pPr>
            <w:r>
              <w:rPr/>
              <w:t> </w:t>
            </w:r>
          </w:p>
        </w:tc>
        <w:tc>
          <w:tcPr>
            <w:tcW w:w="255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Maximum Number</w:t>
              <w:br/>
              <w:t>of Shares of Common</w:t>
              <w:br/>
              <w:t>Stock to be Sold</w:t>
            </w:r>
          </w:p>
          <w:p>
            <w:pPr>
              <w:pStyle w:val="TableContents"/>
              <w:bidi w:val="0"/>
              <w:spacing w:before="0" w:after="0"/>
              <w:jc w:val="center"/>
              <w:rPr>
                <w:rFonts w:ascii="Times New Roman" w:hAnsi="Times New Roman"/>
                <w:sz w:val="16"/>
              </w:rPr>
            </w:pPr>
            <w:r>
              <w:rPr>
                <w:rFonts w:ascii="Times New Roman" w:hAnsi="Times New Roman"/>
                <w:sz w:val="16"/>
              </w:rPr>
              <w:t>Pursuant</w:t>
            </w:r>
          </w:p>
          <w:p>
            <w:pPr>
              <w:pStyle w:val="TableContents"/>
              <w:bidi w:val="0"/>
              <w:spacing w:before="0" w:after="20"/>
              <w:jc w:val="center"/>
              <w:rPr>
                <w:rFonts w:ascii="Times New Roman" w:hAnsi="Times New Roman"/>
                <w:sz w:val="16"/>
              </w:rPr>
            </w:pPr>
            <w:r>
              <w:rPr>
                <w:rFonts w:ascii="Times New Roman" w:hAnsi="Times New Roman"/>
                <w:sz w:val="16"/>
              </w:rPr>
              <w:t>to this Prospectus</w:t>
            </w:r>
          </w:p>
        </w:tc>
        <w:tc>
          <w:tcPr>
            <w:tcW w:w="100" w:type="dxa"/>
            <w:tcBorders/>
            <w:vAlign w:val="bottom"/>
          </w:tcPr>
          <w:p>
            <w:pPr>
              <w:pStyle w:val="TableContents"/>
              <w:bidi w:val="0"/>
              <w:spacing w:before="0" w:after="283"/>
              <w:jc w:val="left"/>
              <w:rPr/>
            </w:pPr>
            <w:r>
              <w:rPr/>
              <w:t> </w:t>
            </w:r>
          </w:p>
        </w:tc>
        <w:tc>
          <w:tcPr>
            <w:tcW w:w="245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Number of Shares of</w:t>
            </w:r>
          </w:p>
          <w:p>
            <w:pPr>
              <w:pStyle w:val="TableContents"/>
              <w:bidi w:val="0"/>
              <w:spacing w:before="0" w:after="0"/>
              <w:jc w:val="center"/>
              <w:rPr>
                <w:rFonts w:ascii="Times New Roman" w:hAnsi="Times New Roman"/>
                <w:sz w:val="16"/>
              </w:rPr>
            </w:pPr>
            <w:r>
              <w:rPr>
                <w:rFonts w:ascii="Times New Roman" w:hAnsi="Times New Roman"/>
                <w:sz w:val="16"/>
              </w:rPr>
              <w:t>Common Stock of</w:t>
            </w:r>
          </w:p>
          <w:p>
            <w:pPr>
              <w:pStyle w:val="TableContents"/>
              <w:bidi w:val="0"/>
              <w:spacing w:before="0" w:after="0"/>
              <w:jc w:val="center"/>
              <w:rPr>
                <w:rFonts w:ascii="Times New Roman" w:hAnsi="Times New Roman"/>
                <w:sz w:val="16"/>
              </w:rPr>
            </w:pPr>
            <w:r>
              <w:rPr>
                <w:rFonts w:ascii="Times New Roman" w:hAnsi="Times New Roman"/>
                <w:sz w:val="16"/>
              </w:rPr>
              <w:t>Owned After</w:t>
            </w:r>
          </w:p>
          <w:p>
            <w:pPr>
              <w:pStyle w:val="TableContents"/>
              <w:bidi w:val="0"/>
              <w:spacing w:before="0" w:after="20"/>
              <w:jc w:val="center"/>
              <w:rPr>
                <w:rFonts w:ascii="Times New Roman" w:hAnsi="Times New Roman"/>
                <w:sz w:val="16"/>
              </w:rPr>
            </w:pPr>
            <w:r>
              <w:rPr>
                <w:rFonts w:ascii="Times New Roman" w:hAnsi="Times New Roman"/>
                <w:sz w:val="16"/>
              </w:rPr>
              <w:t>Offering</w:t>
            </w:r>
          </w:p>
        </w:tc>
      </w:tr>
      <w:tr>
        <w:trPr/>
        <w:tc>
          <w:tcPr>
            <w:tcW w:w="245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shares of common stock issuable upon conversion of the notes to permit the resale of these shares of common stock by the holders of the notes from time to time after the date of this prospectus. We will not receive any of the proceeds from the sale by the selling stockholders of the shares of common stock. We will bear all fees and expenses incident to our obligation to register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all or a portion of the shares of common stock held by them and offered hereby from time to time directly or through one or more underwriters, broker- 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 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made after the date the Registration Statement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a selling security holder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 dealers or agents may be in excess of those customary in the types of transactions involved).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pledge or grant a security interest in some or all of the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 dealers or agents, any discounts, commissions and other terms constituting compensation from the selling stockholders and any discounts, commissions or concessions allowed or re-allowed or paid to broker-dealers.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selling stockholder will sell any or all of the shares of common stock registered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pay all expenses of the registration of the shares of common stock pursuant to the registration rights agreement, estimated to be $[ ]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 </w:t>
      </w:r>
    </w:p>
    <w:p>
      <w:pPr>
        <w:pStyle w:val="TextBody"/>
        <w:bidi w:val="0"/>
        <w:spacing w:before="240" w:after="0"/>
        <w:jc w:val="left"/>
        <w:rPr>
          <w:rFonts w:ascii="Times New Roman" w:hAnsi="Times New Roman"/>
          <w:sz w:val="20"/>
        </w:rPr>
      </w:pPr>
      <w:r>
        <w:rPr>
          <w:rFonts w:ascii="Times New Roman" w:hAnsi="Times New Roman"/>
          <w:sz w:val="20"/>
        </w:rPr>
        <w:t xml:space="preserve">Once sold under the registration statement, of which this prospectus forms a part, the shares of common stock will be freely tradable in the hands of persons other than our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TextBody"/>
        <w:bidi w:val="0"/>
        <w:spacing w:before="0" w:after="0"/>
        <w:jc w:val="right"/>
        <w:rPr>
          <w:rFonts w:ascii="Times New Roman" w:hAnsi="Times New Roman"/>
          <w:b/>
          <w:sz w:val="20"/>
        </w:rPr>
      </w:pPr>
      <w:bookmarkStart w:id="8" w:name="d382364dex103.htm"/>
      <w:bookmarkStart w:id="9" w:name="ksd382364dex103"/>
      <w:bookmarkEnd w:id="8"/>
      <w:bookmarkEnd w:id="9"/>
      <w:r>
        <w:rPr>
          <w:rFonts w:ascii="Times New Roman" w:hAnsi="Times New Roman"/>
          <w:b/>
          <w:sz w:val="20"/>
        </w:rPr>
        <w:t xml:space="preserve">Exhibit 10.3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SECURITY AND PLEDGE AGREEMENT </w:t>
      </w:r>
    </w:p>
    <w:p>
      <w:pPr>
        <w:pStyle w:val="TextBody"/>
        <w:bidi w:val="0"/>
        <w:spacing w:before="240" w:after="0"/>
        <w:jc w:val="left"/>
        <w:rPr>
          <w:rFonts w:ascii="Times New Roman" w:hAnsi="Times New Roman"/>
          <w:sz w:val="20"/>
        </w:rPr>
      </w:pPr>
      <w:r>
        <w:rPr>
          <w:rFonts w:ascii="Times New Roman" w:hAnsi="Times New Roman"/>
          <w:b/>
          <w:sz w:val="20"/>
        </w:rPr>
        <w:t>SECURITY AND PLEDGE AGREEMENT</w:t>
      </w:r>
      <w:r>
        <w:rPr>
          <w:rFonts w:ascii="Times New Roman" w:hAnsi="Times New Roman"/>
          <w:sz w:val="20"/>
        </w:rPr>
        <w:t>, dated as of September 8, 2026 (this “</w:t>
      </w:r>
      <w:r>
        <w:rPr>
          <w:rFonts w:ascii="Times New Roman" w:hAnsi="Times New Roman"/>
          <w:b/>
          <w:sz w:val="20"/>
        </w:rPr>
        <w:t>Agreement</w:t>
      </w:r>
      <w:r>
        <w:rPr>
          <w:rFonts w:ascii="Times New Roman" w:hAnsi="Times New Roman"/>
          <w:sz w:val="20"/>
        </w:rPr>
        <w:t>”), made by Cerenome, Inc., a corporation organized under the laws of the State of Delaware (the “</w:t>
      </w:r>
      <w:r>
        <w:rPr>
          <w:rFonts w:ascii="Times New Roman" w:hAnsi="Times New Roman"/>
          <w:b/>
          <w:sz w:val="20"/>
        </w:rPr>
        <w:t>Company</w:t>
      </w:r>
      <w:r>
        <w:rPr>
          <w:rFonts w:ascii="Times New Roman" w:hAnsi="Times New Roman"/>
          <w:sz w:val="20"/>
        </w:rPr>
        <w:t>”), and each of the undersigned direct and indirect Subsidiaries (as defined below) of the Company from time to time, if any (each a “</w:t>
      </w:r>
      <w:r>
        <w:rPr>
          <w:rFonts w:ascii="Times New Roman" w:hAnsi="Times New Roman"/>
          <w:b/>
          <w:sz w:val="20"/>
        </w:rPr>
        <w:t>Grantor</w:t>
      </w:r>
      <w:r>
        <w:rPr>
          <w:rFonts w:ascii="Times New Roman" w:hAnsi="Times New Roman"/>
          <w:sz w:val="20"/>
        </w:rPr>
        <w:t>” and together with the Company, collectively, the “</w:t>
      </w:r>
      <w:r>
        <w:rPr>
          <w:rFonts w:ascii="Times New Roman" w:hAnsi="Times New Roman"/>
          <w:b/>
          <w:sz w:val="20"/>
        </w:rPr>
        <w:t>Grantors</w:t>
      </w:r>
      <w:r>
        <w:rPr>
          <w:rFonts w:ascii="Times New Roman" w:hAnsi="Times New Roman"/>
          <w:sz w:val="20"/>
        </w:rPr>
        <w:t>”), in favor of 3i, LP in its capacity as collateral agent (together with its successors and assignees, in such capacity, the “</w:t>
      </w:r>
      <w:r>
        <w:rPr>
          <w:rFonts w:ascii="Times New Roman" w:hAnsi="Times New Roman"/>
          <w:b/>
          <w:sz w:val="20"/>
        </w:rPr>
        <w:t>Collateral Agent</w:t>
      </w:r>
      <w:r>
        <w:rPr>
          <w:rFonts w:ascii="Times New Roman" w:hAnsi="Times New Roman"/>
          <w:sz w:val="20"/>
        </w:rPr>
        <w:t xml:space="preserve">”) for the Noteholders (as defined below) party to the Securities Purchase Agreement (as defined below). </w:t>
      </w:r>
    </w:p>
    <w:p>
      <w:pPr>
        <w:pStyle w:val="TextBody"/>
        <w:bidi w:val="0"/>
        <w:spacing w:before="480" w:after="0"/>
        <w:jc w:val="center"/>
        <w:rPr>
          <w:rFonts w:ascii="Times New Roman" w:hAnsi="Times New Roman"/>
          <w:b/>
          <w:sz w:val="20"/>
        </w:rPr>
      </w:pPr>
      <w:r>
        <w:rPr>
          <w:rFonts w:ascii="Times New Roman" w:hAnsi="Times New Roman"/>
          <w:b/>
          <w:sz w:val="20"/>
          <w:u w:val="single"/>
        </w:rPr>
        <w:t>W</w:t>
      </w:r>
      <w:r>
        <w:rPr>
          <w:rFonts w:ascii="Times New Roman" w:hAnsi="Times New Roman"/>
          <w:b/>
          <w:sz w:val="20"/>
        </w:rPr>
        <w:t xml:space="preserve"> </w:t>
      </w:r>
      <w:r>
        <w:rPr>
          <w:rFonts w:ascii="Times New Roman" w:hAnsi="Times New Roman"/>
          <w:b/>
          <w:sz w:val="20"/>
          <w:u w:val="single"/>
        </w:rPr>
        <w:t>I</w:t>
      </w:r>
      <w:r>
        <w:rPr>
          <w:rFonts w:ascii="Times New Roman" w:hAnsi="Times New Roman"/>
          <w:b/>
          <w:sz w:val="20"/>
        </w:rPr>
        <w:t xml:space="preserve"> </w:t>
      </w:r>
      <w:r>
        <w:rPr>
          <w:rFonts w:ascii="Times New Roman" w:hAnsi="Times New Roman"/>
          <w:b/>
          <w:sz w:val="20"/>
          <w:u w:val="single"/>
        </w:rPr>
        <w:t>T</w:t>
      </w:r>
      <w:r>
        <w:rPr>
          <w:rFonts w:ascii="Times New Roman" w:hAnsi="Times New Roman"/>
          <w:b/>
          <w:sz w:val="20"/>
        </w:rPr>
        <w:t xml:space="preserve"> </w:t>
      </w:r>
      <w:r>
        <w:rPr>
          <w:rFonts w:ascii="Times New Roman" w:hAnsi="Times New Roman"/>
          <w:b/>
          <w:sz w:val="20"/>
          <w:u w:val="single"/>
        </w:rPr>
        <w:t>N</w:t>
      </w:r>
      <w:r>
        <w:rPr>
          <w:rFonts w:ascii="Times New Roman" w:hAnsi="Times New Roman"/>
          <w:b/>
          <w:sz w:val="20"/>
        </w:rPr>
        <w:t xml:space="preserve"> </w:t>
      </w:r>
      <w:r>
        <w:rPr>
          <w:rFonts w:ascii="Times New Roman" w:hAnsi="Times New Roman"/>
          <w:b/>
          <w:sz w:val="20"/>
          <w:u w:val="single"/>
        </w:rPr>
        <w:t>E</w:t>
      </w:r>
      <w:r>
        <w:rPr>
          <w:rFonts w:ascii="Times New Roman" w:hAnsi="Times New Roman"/>
          <w:b/>
          <w:sz w:val="20"/>
        </w:rPr>
        <w:t xml:space="preserve"> </w:t>
      </w:r>
      <w:r>
        <w:rPr>
          <w:rFonts w:ascii="Times New Roman" w:hAnsi="Times New Roman"/>
          <w:b/>
          <w:sz w:val="20"/>
          <w:u w:val="single"/>
        </w:rPr>
        <w:t>S</w:t>
      </w:r>
      <w:r>
        <w:rPr>
          <w:rFonts w:ascii="Times New Roman" w:hAnsi="Times New Roman"/>
          <w:b/>
          <w:sz w:val="20"/>
        </w:rPr>
        <w:t xml:space="preserve"> </w:t>
      </w:r>
      <w:r>
        <w:rPr>
          <w:rFonts w:ascii="Times New Roman" w:hAnsi="Times New Roman"/>
          <w:b/>
          <w:sz w:val="20"/>
          <w:u w:val="single"/>
        </w:rPr>
        <w:t>S</w:t>
      </w:r>
      <w:r>
        <w:rPr>
          <w:rFonts w:ascii="Times New Roman" w:hAnsi="Times New Roman"/>
          <w:b/>
          <w:sz w:val="20"/>
        </w:rPr>
        <w:t xml:space="preserve"> </w:t>
      </w:r>
      <w:r>
        <w:rPr>
          <w:rFonts w:ascii="Times New Roman" w:hAnsi="Times New Roman"/>
          <w:b/>
          <w:sz w:val="20"/>
          <w:u w:val="single"/>
        </w:rPr>
        <w:t>E</w:t>
      </w:r>
      <w:r>
        <w:rPr>
          <w:rFonts w:ascii="Times New Roman" w:hAnsi="Times New Roman"/>
          <w:b/>
          <w:sz w:val="20"/>
        </w:rPr>
        <w:t xml:space="preserve"> </w:t>
      </w:r>
      <w:r>
        <w:rPr>
          <w:rFonts w:ascii="Times New Roman" w:hAnsi="Times New Roman"/>
          <w:b/>
          <w:sz w:val="20"/>
          <w:u w:val="single"/>
        </w:rPr>
        <w:t>T</w:t>
      </w:r>
      <w:r>
        <w:rPr>
          <w:rFonts w:ascii="Times New Roman" w:hAnsi="Times New Roman"/>
          <w:b/>
          <w:sz w:val="20"/>
        </w:rPr>
        <w:t xml:space="preserve"> </w:t>
      </w:r>
      <w:r>
        <w:rPr>
          <w:rFonts w:ascii="Times New Roman" w:hAnsi="Times New Roman"/>
          <w:b/>
          <w:sz w:val="20"/>
          <w:u w:val="single"/>
        </w:rPr>
        <w:t>H</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is party to that certain Securities Purchase Agreement, dated as of September 4, 2026, (as amended, modified, supplemented, extended, renewed, restated or replaced from time to time in accordance with the terms thereof, the “</w:t>
      </w:r>
      <w:r>
        <w:rPr>
          <w:rFonts w:ascii="Times New Roman" w:hAnsi="Times New Roman"/>
          <w:b/>
          <w:sz w:val="20"/>
        </w:rPr>
        <w:t>Securities Purchase Agreement</w:t>
      </w:r>
      <w:r>
        <w:rPr>
          <w:rFonts w:ascii="Times New Roman" w:hAnsi="Times New Roman"/>
          <w:sz w:val="20"/>
        </w:rPr>
        <w:t>”) by and among the Company and each party listed as a “Buyer” on the Schedule of Buyers attached thereto (each a “</w:t>
      </w:r>
      <w:r>
        <w:rPr>
          <w:rFonts w:ascii="Times New Roman" w:hAnsi="Times New Roman"/>
          <w:b/>
          <w:sz w:val="20"/>
        </w:rPr>
        <w:t>Buyer</w:t>
      </w:r>
      <w:r>
        <w:rPr>
          <w:rFonts w:ascii="Times New Roman" w:hAnsi="Times New Roman"/>
          <w:sz w:val="20"/>
        </w:rPr>
        <w:t>” and collectively, the “</w:t>
      </w:r>
      <w:r>
        <w:rPr>
          <w:rFonts w:ascii="Times New Roman" w:hAnsi="Times New Roman"/>
          <w:b/>
          <w:sz w:val="20"/>
        </w:rPr>
        <w:t>Buyers</w:t>
      </w:r>
      <w:r>
        <w:rPr>
          <w:rFonts w:ascii="Times New Roman" w:hAnsi="Times New Roman"/>
          <w:sz w:val="20"/>
        </w:rPr>
        <w:t>”), pursuant to which the Company shall be required to sell, and the Buyers shall purchase or have the right to purchase, the “Notes” issued pursuant thereto (as such Notes may be amended, modified, supplemented, extended, renewed, restated or replaced from time to time in accordance with the terms thereof, collectively,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certain Grantors (other than the Company) from time to time (each a “</w:t>
      </w:r>
      <w:r>
        <w:rPr>
          <w:rFonts w:ascii="Times New Roman" w:hAnsi="Times New Roman"/>
          <w:b/>
          <w:sz w:val="20"/>
        </w:rPr>
        <w:t>Guarantor</w:t>
      </w:r>
      <w:r>
        <w:rPr>
          <w:rFonts w:ascii="Times New Roman" w:hAnsi="Times New Roman"/>
          <w:sz w:val="20"/>
        </w:rPr>
        <w:t>” and collectively, the “</w:t>
      </w:r>
      <w:r>
        <w:rPr>
          <w:rFonts w:ascii="Times New Roman" w:hAnsi="Times New Roman"/>
          <w:b/>
          <w:sz w:val="20"/>
        </w:rPr>
        <w:t>Guarantors</w:t>
      </w:r>
      <w:r>
        <w:rPr>
          <w:rFonts w:ascii="Times New Roman" w:hAnsi="Times New Roman"/>
          <w:sz w:val="20"/>
        </w:rPr>
        <w:t>”) may execute and deliver one or more guarantees (each, a “</w:t>
      </w:r>
      <w:r>
        <w:rPr>
          <w:rFonts w:ascii="Times New Roman" w:hAnsi="Times New Roman"/>
          <w:b/>
          <w:sz w:val="20"/>
        </w:rPr>
        <w:t>Guarantee</w:t>
      </w:r>
      <w:r>
        <w:rPr>
          <w:rFonts w:ascii="Times New Roman" w:hAnsi="Times New Roman"/>
          <w:sz w:val="20"/>
        </w:rPr>
        <w:t>” and collectively, the “</w:t>
      </w:r>
      <w:r>
        <w:rPr>
          <w:rFonts w:ascii="Times New Roman" w:hAnsi="Times New Roman"/>
          <w:b/>
          <w:sz w:val="20"/>
        </w:rPr>
        <w:t>Guarantees</w:t>
      </w:r>
      <w:r>
        <w:rPr>
          <w:rFonts w:ascii="Times New Roman" w:hAnsi="Times New Roman"/>
          <w:sz w:val="20"/>
        </w:rPr>
        <w:t xml:space="preserve">”) in form and substance acceptable to and in favor of the Collateral Agent, for the ratable benefit of itself and the Noteholders, with respect to the Company’s obligations under the Securities Purchase Agreement, the Notes and the other Transaction Documents (as defined in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 condition precedent to the Buyers’ obligation to purchase the Notes that the Grantors shall have executed and delivered to the Collateral Agent this Agreement providing for the grant to the Collateral Agent, for the ratable benefit of itself and the Noteholders, of a valid, enforceable, and perfected security interest in all personal property of each Grantor to secure all of the Company’s obligations under the Transaction Documents and the Guarantors’ obligations under the Guaranties,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Grantors are Affiliates that are part of a common enterprise such that each Grantor will derive substantial direct and indirect financial and other benefits from the consummation of the transactions contemplated under the Transaction Documents and, accordingly, the consummation of such transactions are in the best interests of each Grantor;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agreements herein and in order to induce the Buyers to perform under the Securities Purchase Agreement, each Grantor agrees with the Collateral Agent, for the ratable benefit of the Collateral Agent and the Noteholders,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Reference is hereby made to the Securities Purchase Agreement and the Notes for a statement of the terms thereof. All terms used in this Agreement and the recitals hereto which are defined in the Securities Purchase Agreement, the Notes or in the Code, and which are not otherwise defined herein shall have the same meanings herein as set forth therein; </w:t>
      </w:r>
      <w:r>
        <w:rPr>
          <w:rFonts w:ascii="Times New Roman" w:hAnsi="Times New Roman"/>
          <w:sz w:val="20"/>
          <w:u w:val="single"/>
        </w:rPr>
        <w:t>provided</w:t>
      </w:r>
      <w:r>
        <w:rPr>
          <w:rFonts w:ascii="Times New Roman" w:hAnsi="Times New Roman"/>
          <w:sz w:val="20"/>
        </w:rPr>
        <w:t xml:space="preserve"> that terms used herein which are defined in the Code on the date hereof shall continue to have the same meaning notwithstanding any replacement or amendment of the Code.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and subject to the proviso at the end of, Section 1(a) of this Agreement, the following terms shall have the respective meanings provided for in the Code: “Accounts”, “Account Debtor”, “Cash Proceeds”, “Certificate of Title”, “Chattel Paper”, “Commercial Tort Claim”, “Commodity Account”, “Commodity Contracts”, “Deposit Account”, “Documents”, “Electronic Chattel Paper”, “Equipment”, “Fixtures”, “General Intangibles”, “Goods”, “Instruments”, “Inventory”, “Investment Property”, “Letter-of-Credit Rights”, “Noncash Proceeds”, “Payment Intangibles”, “Proceeds”, “Promissory Notes”, “Security”, “Record”, “Security Account”, “Software”, “Supporting Obligations” and “Uncertificated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Agreement, the following terms shall have the respective meanings indicated below, such meanings to be applicable equally to both the singular and plural forms of such terms: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20% or more of the stock having ordinary voting power for the election of directors of such Person or direct or cause the direction of the management and policies of such Person whether by contract or otherwise.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means Chapter 11 of Title 11 of the United States Code, 11 U.S.C §§ 101 et seq. (or other applicable bankruptcy, insolvency, or similar laws). </w:t>
      </w:r>
    </w:p>
    <w:p>
      <w:pPr>
        <w:pStyle w:val="TextBody"/>
        <w:bidi w:val="0"/>
        <w:spacing w:before="240" w:after="0"/>
        <w:jc w:val="left"/>
        <w:rPr/>
      </w:pPr>
      <w:r>
        <w:rPr/>
        <w:t>“</w:t>
      </w:r>
      <w:r>
        <w:rPr>
          <w:rFonts w:ascii="Times New Roman" w:hAnsi="Times New Roman"/>
          <w:b/>
          <w:sz w:val="20"/>
        </w:rPr>
        <w:t>Bankruptcy Event of Default</w:t>
      </w:r>
      <w:r>
        <w:rPr>
          <w:rFonts w:ascii="Times New Roman" w:hAnsi="Times New Roman"/>
          <w:sz w:val="20"/>
        </w:rPr>
        <w:t xml:space="preserve">” shall have the meaning set forth in the Notes.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Buyer</w:t>
      </w:r>
      <w:r>
        <w:rPr>
          <w:rFonts w:ascii="Times New Roman" w:hAnsi="Times New Roman"/>
          <w:sz w:val="20"/>
        </w:rPr>
        <w:t>” or “</w:t>
      </w:r>
      <w:r>
        <w:rPr>
          <w:rFonts w:ascii="Times New Roman" w:hAnsi="Times New Roman"/>
          <w:b/>
          <w:sz w:val="20"/>
        </w:rPr>
        <w:t>Buyers</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(i) with respect to any Person that is a corporation, any and all shares, interests, participations or other equivalents (however designated and whether or not voting) of corporate stock (including, without limitation, any warrants, options, rights or other securities exercisable or convertible into equity interests or securities of such Person), and (ii) with respect to any Person that is not an individual or a corporation, any and all partnership, membership, trust or other equity interests of such Person.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Articles 8 or 9 of the Uniform Commercial Code as in effect from time to time in the State of New York; </w:t>
      </w:r>
      <w:r>
        <w:rPr>
          <w:rFonts w:ascii="Times New Roman" w:hAnsi="Times New Roman"/>
          <w:sz w:val="20"/>
          <w:u w:val="single"/>
        </w:rPr>
        <w:t>provided</w:t>
      </w:r>
      <w:r>
        <w:rPr>
          <w:rFonts w:ascii="Times New Roman" w:hAnsi="Times New Roman"/>
          <w:sz w:val="20"/>
        </w:rPr>
        <w:t xml:space="preserve"> that, if perfection or the effect of perfection or non-perfection or the priority of any security interest in any Collateral is governed by the Uniform Commercial Code as in effect in a jurisdiction other than the State of New York, “Code” means the Uniform Commercial Code as in effect from time to time in such other jurisdiction for purposes of the provisions hereof relating to such perfection, effect of perfection or non-perfection or priority.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shall have the meaning set forth in </w:t>
      </w:r>
      <w:r>
        <w:rPr>
          <w:rFonts w:ascii="Times New Roman" w:hAnsi="Times New Roman"/>
          <w:sz w:val="20"/>
          <w:u w:val="single"/>
        </w:rPr>
        <w:t>Section 3(a)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set forth in the preamble hereto. </w:t>
      </w:r>
    </w:p>
    <w:p>
      <w:pPr>
        <w:pStyle w:val="TextBody"/>
        <w:bidi w:val="0"/>
        <w:spacing w:before="240" w:after="0"/>
        <w:jc w:val="left"/>
        <w:rPr/>
      </w:pPr>
      <w:r>
        <w:rPr/>
        <w:t>“</w:t>
      </w:r>
      <w:r>
        <w:rPr>
          <w:rFonts w:ascii="Times New Roman" w:hAnsi="Times New Roman"/>
          <w:b/>
          <w:sz w:val="20"/>
        </w:rPr>
        <w:t>Controlled Account Agreement</w:t>
      </w:r>
      <w:r>
        <w:rPr>
          <w:rFonts w:ascii="Times New Roman" w:hAnsi="Times New Roman"/>
          <w:sz w:val="20"/>
        </w:rPr>
        <w:t xml:space="preserve">” means a deposit account control agreement or securities account control agreement with respect to a Pledged Account, pursuant to which the Collateral Agent is granted control over such Pledged Account in a manner that perfects its security interest in such Pledged Account under applicable law, all in form and substance satisfactory to the Collateral Agent, as the same may be amended, modified, supplemented, extended, renewed, restated or replaced from time to time. </w:t>
      </w:r>
    </w:p>
    <w:p>
      <w:pPr>
        <w:pStyle w:val="TextBody"/>
        <w:bidi w:val="0"/>
        <w:spacing w:before="240" w:after="0"/>
        <w:jc w:val="left"/>
        <w:rPr/>
      </w:pPr>
      <w:r>
        <w:rPr/>
        <w:t>“</w:t>
      </w:r>
      <w:r>
        <w:rPr>
          <w:rFonts w:ascii="Times New Roman" w:hAnsi="Times New Roman"/>
          <w:b/>
          <w:sz w:val="20"/>
        </w:rPr>
        <w:t>Controlled Account Bank</w:t>
      </w:r>
      <w:r>
        <w:rPr>
          <w:rFonts w:ascii="Times New Roman" w:hAnsi="Times New Roman"/>
          <w:sz w:val="20"/>
        </w:rPr>
        <w:t xml:space="preserve">” shall have the meaning set forth in </w:t>
      </w:r>
      <w:r>
        <w:rPr>
          <w:rFonts w:ascii="Times New Roman" w:hAnsi="Times New Roman"/>
          <w:sz w:val="20"/>
          <w:u w:val="single"/>
        </w:rPr>
        <w:t>Section 6(i)</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 xml:space="preserve">Controlled Accounts” </w:t>
      </w:r>
      <w:r>
        <w:rPr>
          <w:rFonts w:ascii="Times New Roman" w:hAnsi="Times New Roman"/>
          <w:sz w:val="20"/>
        </w:rPr>
        <w:t xml:space="preserve">means the Deposit Accounts, Commodity Accounts, Securities Accounts, and/or Foreign Currency Controlled Account of the Grantors listed on </w:t>
      </w:r>
      <w:r>
        <w:rPr>
          <w:rFonts w:ascii="Times New Roman" w:hAnsi="Times New Roman"/>
          <w:sz w:val="20"/>
          <w:u w:val="single"/>
        </w:rPr>
        <w:t>Schedule IV</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b/>
          <w:sz w:val="20"/>
        </w:rPr>
        <w:t>Copyright Licenses</w:t>
      </w:r>
      <w:r>
        <w:rPr>
          <w:rFonts w:ascii="Times New Roman" w:hAnsi="Times New Roman"/>
          <w:sz w:val="20"/>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Times New Roman" w:hAnsi="Times New Roman"/>
          <w:sz w:val="20"/>
          <w:u w:val="single"/>
        </w:rPr>
        <w:t>Schedule II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Times New Roman" w:hAnsi="Times New Roman"/>
          <w:sz w:val="20"/>
          <w:u w:val="single"/>
        </w:rPr>
        <w:t>Schedule II</w:t>
      </w:r>
      <w:r>
        <w:rPr>
          <w:rFonts w:ascii="Times New Roman" w:hAnsi="Times New Roman"/>
          <w:sz w:val="20"/>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Domestic Subsidiary</w:t>
      </w:r>
      <w:r>
        <w:rPr>
          <w:rFonts w:ascii="Times New Roman" w:hAnsi="Times New Roman"/>
          <w:sz w:val="20"/>
        </w:rPr>
        <w:t xml:space="preserve">” means any Subsidiary other than a Foreign Subsidiary. </w:t>
      </w:r>
    </w:p>
    <w:p>
      <w:pPr>
        <w:pStyle w:val="TextBody"/>
        <w:bidi w:val="0"/>
        <w:spacing w:before="240" w:after="0"/>
        <w:jc w:val="left"/>
        <w:rPr/>
      </w:pPr>
      <w:r>
        <w:rPr/>
        <w:t>“</w:t>
      </w:r>
      <w:r>
        <w:rPr>
          <w:rFonts w:ascii="Times New Roman" w:hAnsi="Times New Roman"/>
          <w:b/>
          <w:sz w:val="20"/>
        </w:rPr>
        <w:t>Event of</w:t>
      </w:r>
      <w:r>
        <w:rPr>
          <w:rFonts w:ascii="Times New Roman" w:hAnsi="Times New Roman"/>
          <w:sz w:val="20"/>
        </w:rPr>
        <w:t xml:space="preserve"> </w:t>
      </w:r>
      <w:r>
        <w:rPr>
          <w:rFonts w:ascii="Times New Roman" w:hAnsi="Times New Roman"/>
          <w:b/>
          <w:sz w:val="20"/>
        </w:rPr>
        <w:t>Default</w:t>
      </w:r>
      <w:r>
        <w:rPr>
          <w:rFonts w:ascii="Times New Roman" w:hAnsi="Times New Roman"/>
          <w:sz w:val="20"/>
        </w:rPr>
        <w:t xml:space="preserve">” shall have the meaning set forth in Section 4(a) of the Notes. </w:t>
      </w:r>
    </w:p>
    <w:p>
      <w:pPr>
        <w:pStyle w:val="TextBody"/>
        <w:bidi w:val="0"/>
        <w:spacing w:before="240" w:after="0"/>
        <w:jc w:val="left"/>
        <w:rPr/>
      </w:pPr>
      <w:r>
        <w:rPr/>
        <w:t>“</w:t>
      </w:r>
      <w:r>
        <w:rPr>
          <w:rFonts w:ascii="Times New Roman" w:hAnsi="Times New Roman"/>
          <w:b/>
          <w:sz w:val="20"/>
        </w:rPr>
        <w:t>Excluded Collateral</w:t>
      </w:r>
      <w:r>
        <w:rPr>
          <w:rFonts w:ascii="Times New Roman" w:hAnsi="Times New Roman"/>
          <w:sz w:val="20"/>
        </w:rPr>
        <w:t xml:space="preserve">” means (i) such portion of the voting Capital Stock of any Foreign Subsidiary in excess of 65% of the issued and outstanding voting Capital Stock of such Foreign Subsidiary at any time the pledging of more than 65% of the total outstanding voting Capital Stock of such Foreign Subsidiary would result in a material adverse tax consequence to a Grantor and (ii) any property to the extent that the grant of a security interest therein is prohibited by applicable law, requires a consent not obtained from a third party (other than the Company or any of its Subsidiaries), or would result in a material breach of a binding contractual obligation; provided that such exclusions shall not apply to proceeds and receivables of the applicable assets. </w:t>
      </w:r>
    </w:p>
    <w:p>
      <w:pPr>
        <w:pStyle w:val="TextBody"/>
        <w:bidi w:val="0"/>
        <w:spacing w:before="240" w:after="0"/>
        <w:jc w:val="left"/>
        <w:rPr/>
      </w:pPr>
      <w:r>
        <w:rPr/>
        <w:t>“</w:t>
      </w:r>
      <w:r>
        <w:rPr>
          <w:rFonts w:ascii="Times New Roman" w:hAnsi="Times New Roman"/>
          <w:b/>
          <w:sz w:val="20"/>
        </w:rPr>
        <w:t>Foreign Currency Controlled Accounts</w:t>
      </w:r>
      <w:r>
        <w:rPr>
          <w:rFonts w:ascii="Times New Roman" w:hAnsi="Times New Roman"/>
          <w:sz w:val="20"/>
        </w:rPr>
        <w:t xml:space="preserve">” means any Controlled Account of a Grantor or any of its Subsidiaries holding a deposit denominated in a currency other than United States dollar.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means any Subsidiary of a Grantor organized under the laws of a jurisdiction other than the United States, any of the states thereof, Puerto Rico or the District of Columbia.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United States generally accepted accounting principles, consistently applied.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nation or government, any Federal, state, city, town, municipality, county, local, foreign or other political subdivision thereof or thereto and any department, commission, board, bureau, court, tribunal, instrumentality, agency or other entity exercising executive, legislative, judicial, taxing, regulatory or administrative powers or functions of or pertaining to government. </w:t>
      </w:r>
    </w:p>
    <w:p>
      <w:pPr>
        <w:pStyle w:val="TextBody"/>
        <w:bidi w:val="0"/>
        <w:spacing w:before="240" w:after="0"/>
        <w:jc w:val="left"/>
        <w:rPr/>
      </w:pPr>
      <w:r>
        <w:rPr/>
        <w:t>“</w:t>
      </w:r>
      <w:r>
        <w:rPr>
          <w:rFonts w:ascii="Times New Roman" w:hAnsi="Times New Roman"/>
          <w:b/>
          <w:sz w:val="20"/>
        </w:rPr>
        <w:t>Guaranteed Obligations</w:t>
      </w:r>
      <w:r>
        <w:rPr>
          <w:rFonts w:ascii="Times New Roman" w:hAnsi="Times New Roman"/>
          <w:sz w:val="20"/>
        </w:rPr>
        <w:t xml:space="preserve">” means the “Obligations” as defined in Section 1 of the Guarantee.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or “</w:t>
      </w:r>
      <w:r>
        <w:rPr>
          <w:rFonts w:ascii="Times New Roman" w:hAnsi="Times New Roman"/>
          <w:b/>
          <w:sz w:val="20"/>
        </w:rPr>
        <w:t>Guarantees</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or “</w:t>
      </w:r>
      <w:r>
        <w:rPr>
          <w:rFonts w:ascii="Times New Roman" w:hAnsi="Times New Roman"/>
          <w:b/>
          <w:sz w:val="20"/>
        </w:rPr>
        <w:t>Guarantors</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b/>
          <w:sz w:val="20"/>
        </w:rPr>
        <w:t>Initial Closing Date</w:t>
      </w:r>
      <w:r>
        <w:rPr>
          <w:rFonts w:ascii="Times New Roman" w:hAnsi="Times New Roman"/>
          <w:sz w:val="20"/>
        </w:rPr>
        <w:t xml:space="preserve">” shall have the meaning set forth in the Securities Purchase Agreement. </w:t>
      </w:r>
    </w:p>
    <w:p>
      <w:pPr>
        <w:pStyle w:val="TextBody"/>
        <w:bidi w:val="0"/>
        <w:spacing w:before="240" w:after="0"/>
        <w:jc w:val="left"/>
        <w:rPr/>
      </w:pPr>
      <w:r>
        <w:rPr/>
        <w:t>“</w:t>
      </w:r>
      <w:r>
        <w:rPr>
          <w:rFonts w:ascii="Times New Roman" w:hAnsi="Times New Roman"/>
          <w:b/>
          <w:sz w:val="20"/>
        </w:rPr>
        <w:t>Insolvency Proceeding</w:t>
      </w:r>
      <w:r>
        <w:rPr>
          <w:rFonts w:ascii="Times New Roman" w:hAnsi="Times New Roman"/>
          <w:sz w:val="20"/>
        </w:rPr>
        <w:t xml:space="preserve">” means any proceeding commenced by or against any Person under any provision of the Bankruptcy Code or under any other bankruptcy or insolvency law or law for the relief of debtors, any proceeding relating to assignments for the benefit of creditors, formal or informal moratoria, compositions, or extensions generally with creditors, or any proceeding seeking reorganization, arrangement, or other similar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means, collectively, all intellectual property rights and assets, and all rights, interests and protections that are associated with, similar to, or required for the exercise of, any of the foregoing, however arising, under the applicable laws of any jurisdiction throughout the world, whether registered or unregistered, including, without limitation, any and all: (a) Trademarks; (b) internet domain names, whether or not trademarks, registered in any top-level domain by any authorized private registrar or Governmental Authority, web addresses, web pages, websites and related content; (c) accounts with YouTube, LinkedIn, Twitter, Instagram, Facebook and other social media companies and the content found thereon (to the extent that such accounts and content are transferable pursuant to the terms, conditions, and policies of each applicable social media platform); (d) Copyrights; (e) Patents; (f) business and technical information, databases, data collections and other confidential and proprietary information and all rights therein; (g) all license agreements and other contracts pursuant to which any Grantor has been granted the right to use any of the foregoing; (h) all rights to sue for past, present, and future infringement, misappropriation, dilution, or other violation of any of the foregoing; (i) all royalties, fees, income, payments, and other proceeds payable to or receivable by any Grantor relating to any of the foregoing; and (j) all goodwill associated with any of the foregoing. </w:t>
      </w:r>
    </w:p>
    <w:p>
      <w:pPr>
        <w:pStyle w:val="TextBody"/>
        <w:bidi w:val="0"/>
        <w:spacing w:before="240" w:after="0"/>
        <w:jc w:val="left"/>
        <w:rPr/>
      </w:pPr>
      <w:r>
        <w:rPr/>
        <w:t>“</w:t>
      </w:r>
      <w:r>
        <w:rPr>
          <w:rFonts w:ascii="Times New Roman" w:hAnsi="Times New Roman"/>
          <w:b/>
          <w:sz w:val="20"/>
        </w:rPr>
        <w:t>Intellectual Property Security Agreement</w:t>
      </w:r>
      <w:r>
        <w:rPr>
          <w:rFonts w:ascii="Times New Roman" w:hAnsi="Times New Roman"/>
          <w:sz w:val="20"/>
        </w:rPr>
        <w:t xml:space="preserve">” means the Intellectual Property Security Agreement required to be delivered pursuant to </w:t>
      </w:r>
      <w:r>
        <w:rPr>
          <w:rFonts w:ascii="Times New Roman" w:hAnsi="Times New Roman"/>
          <w:sz w:val="20"/>
          <w:u w:val="single"/>
        </w:rPr>
        <w:t>Section 6(h)(i)</w:t>
      </w:r>
      <w:r>
        <w:rPr>
          <w:rFonts w:ascii="Times New Roman" w:hAnsi="Times New Roman"/>
          <w:sz w:val="20"/>
        </w:rPr>
        <w:t xml:space="preserve"> of this Agreement, substantially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Licenses</w:t>
      </w:r>
      <w:r>
        <w:rPr>
          <w:rFonts w:ascii="Times New Roman" w:hAnsi="Times New Roman"/>
          <w:sz w:val="20"/>
        </w:rPr>
        <w:t xml:space="preserve">” means, collectively, the Copyright Licenses, the Trademark Licenses, and the Patent Licenses.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mortgage, lien, pledge, charge, security interest, adverse claim, or other encumbrance upon or in any property or assets. </w:t>
      </w:r>
    </w:p>
    <w:p>
      <w:pPr>
        <w:pStyle w:val="TextBody"/>
        <w:bidi w:val="0"/>
        <w:spacing w:before="240" w:after="0"/>
        <w:jc w:val="left"/>
        <w:rPr/>
      </w:pPr>
      <w:r>
        <w:rPr/>
        <w:t>“</w:t>
      </w:r>
      <w:r>
        <w:rPr>
          <w:rFonts w:ascii="Times New Roman" w:hAnsi="Times New Roman"/>
          <w:b/>
          <w:sz w:val="20"/>
        </w:rPr>
        <w:t>Noteholders”</w:t>
      </w:r>
      <w:r>
        <w:rPr>
          <w:rFonts w:ascii="Times New Roman" w:hAnsi="Times New Roman"/>
          <w:sz w:val="20"/>
        </w:rPr>
        <w:t xml:space="preserve"> means, at any time, the holders of the Notes at such time.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shall have the meaning set forth in </w:t>
      </w:r>
      <w:r>
        <w:rPr>
          <w:rFonts w:ascii="Times New Roman" w:hAnsi="Times New Roman"/>
          <w:sz w:val="20"/>
          <w:u w:val="single"/>
        </w:rPr>
        <w:t>Section 4</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 xml:space="preserve">Paid in Full” </w:t>
      </w:r>
      <w:r>
        <w:rPr>
          <w:rFonts w:ascii="Times New Roman" w:hAnsi="Times New Roman"/>
          <w:sz w:val="20"/>
        </w:rPr>
        <w:t>or “</w:t>
      </w:r>
      <w:r>
        <w:rPr>
          <w:rFonts w:ascii="Times New Roman" w:hAnsi="Times New Roman"/>
          <w:b/>
          <w:sz w:val="20"/>
        </w:rPr>
        <w:t>Payment in Full”</w:t>
      </w:r>
      <w:r>
        <w:rPr>
          <w:rFonts w:ascii="Times New Roman" w:hAnsi="Times New Roman"/>
          <w:sz w:val="20"/>
        </w:rPr>
        <w:t xml:space="preserve"> means the indefeasible payment in full in cash of all of the Obligations. </w:t>
      </w:r>
    </w:p>
    <w:p>
      <w:pPr>
        <w:pStyle w:val="TextBody"/>
        <w:bidi w:val="0"/>
        <w:spacing w:before="240" w:after="0"/>
        <w:jc w:val="left"/>
        <w:rPr/>
      </w:pPr>
      <w:r>
        <w:rPr/>
        <w:t>“</w:t>
      </w:r>
      <w:r>
        <w:rPr>
          <w:rFonts w:ascii="Times New Roman" w:hAnsi="Times New Roman"/>
          <w:b/>
          <w:sz w:val="20"/>
        </w:rPr>
        <w:t>Patent Licenses</w:t>
      </w:r>
      <w:r>
        <w:rPr>
          <w:rFonts w:ascii="Times New Roman" w:hAnsi="Times New Roman"/>
          <w:sz w:val="20"/>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Times New Roman" w:hAnsi="Times New Roman"/>
          <w:sz w:val="20"/>
          <w:u w:val="single"/>
        </w:rPr>
        <w:t>Schedule II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Times New Roman" w:hAnsi="Times New Roman"/>
          <w:sz w:val="20"/>
          <w:u w:val="single"/>
        </w:rPr>
        <w:t>Schedule II</w:t>
      </w:r>
      <w:r>
        <w:rPr>
          <w:rFonts w:ascii="Times New Roman" w:hAnsi="Times New Roman"/>
          <w:sz w:val="20"/>
        </w:rPr>
        <w:t xml:space="preserve"> hereto), all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reexaminations, divisions, continuations, continuations in part and extensions or renewals thereof. </w:t>
      </w:r>
    </w:p>
    <w:p>
      <w:pPr>
        <w:pStyle w:val="TextBody"/>
        <w:bidi w:val="0"/>
        <w:spacing w:before="240" w:after="0"/>
        <w:jc w:val="left"/>
        <w:rPr/>
      </w:pPr>
      <w:r>
        <w:rPr/>
        <w:t>“</w:t>
      </w:r>
      <w:r>
        <w:rPr>
          <w:rFonts w:ascii="Times New Roman" w:hAnsi="Times New Roman"/>
          <w:b/>
          <w:sz w:val="20"/>
        </w:rPr>
        <w:t>Perfection Requirement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Perfection Requirements</w:t>
      </w:r>
      <w:r>
        <w:rPr>
          <w:rFonts w:ascii="Times New Roman" w:hAnsi="Times New Roman"/>
          <w:sz w:val="20"/>
        </w:rPr>
        <w:t xml:space="preserve">” shall have the meaning set forth in </w:t>
      </w:r>
      <w:r>
        <w:rPr>
          <w:rFonts w:ascii="Times New Roman" w:hAnsi="Times New Roman"/>
          <w:sz w:val="20"/>
          <w:u w:val="single"/>
        </w:rPr>
        <w:t>Section 5(j)</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shall have the meaning set forth in the Notes.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limited liability company, a partnership, a joint venture, a corporation, a trust, an unincorporated organization, any other entity or a government or any department or agency thereof. </w:t>
      </w:r>
    </w:p>
    <w:p>
      <w:pPr>
        <w:pStyle w:val="TextBody"/>
        <w:bidi w:val="0"/>
        <w:spacing w:before="240" w:after="0"/>
        <w:jc w:val="left"/>
        <w:rPr/>
      </w:pPr>
      <w:r>
        <w:rPr/>
        <w:t>“</w:t>
      </w:r>
      <w:r>
        <w:rPr>
          <w:rFonts w:ascii="Times New Roman" w:hAnsi="Times New Roman"/>
          <w:b/>
          <w:sz w:val="20"/>
        </w:rPr>
        <w:t>Pledged Accounts</w:t>
      </w:r>
      <w:r>
        <w:rPr>
          <w:rFonts w:ascii="Times New Roman" w:hAnsi="Times New Roman"/>
          <w:sz w:val="20"/>
        </w:rPr>
        <w:t xml:space="preserve">” means all of each Grantor’s right, title and interest in all of its Deposit Accounts, Commodity Accounts and Securities Accounts (in all cases, including, without limitation, all Controlled Accounts and Foreign Currency Controlled Accounts). </w:t>
      </w:r>
    </w:p>
    <w:p>
      <w:pPr>
        <w:pStyle w:val="TextBody"/>
        <w:bidi w:val="0"/>
        <w:spacing w:before="240" w:after="0"/>
        <w:jc w:val="left"/>
        <w:rPr/>
      </w:pPr>
      <w:r>
        <w:rPr/>
        <w:t>“</w:t>
      </w:r>
      <w:r>
        <w:rPr>
          <w:rFonts w:ascii="Times New Roman" w:hAnsi="Times New Roman"/>
          <w:b/>
          <w:sz w:val="20"/>
        </w:rPr>
        <w:t>Pledged Collateral</w:t>
      </w:r>
      <w:r>
        <w:rPr>
          <w:rFonts w:ascii="Times New Roman" w:hAnsi="Times New Roman"/>
          <w:sz w:val="20"/>
        </w:rPr>
        <w:t xml:space="preserve">” shall have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Pledged Debt</w:t>
      </w:r>
      <w:r>
        <w:rPr>
          <w:rFonts w:ascii="Times New Roman" w:hAnsi="Times New Roman"/>
          <w:sz w:val="20"/>
        </w:rPr>
        <w:t xml:space="preserve">” shall have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Pledged Entity</w:t>
      </w:r>
      <w:r>
        <w:rPr>
          <w:rFonts w:ascii="Times New Roman" w:hAnsi="Times New Roman"/>
          <w:sz w:val="20"/>
        </w:rPr>
        <w:t xml:space="preserve">” means, each Person listed from time to time on </w:t>
      </w:r>
      <w:r>
        <w:rPr>
          <w:rFonts w:ascii="Times New Roman" w:hAnsi="Times New Roman"/>
          <w:sz w:val="20"/>
          <w:u w:val="single"/>
        </w:rPr>
        <w:t>Schedule IV</w:t>
      </w:r>
      <w:r>
        <w:rPr>
          <w:rFonts w:ascii="Times New Roman" w:hAnsi="Times New Roman"/>
          <w:sz w:val="20"/>
        </w:rPr>
        <w:t xml:space="preserve"> hereto as a “Pledged Entity,” together with each other Person, any right in or interest in or to all or a portion of whose Securities or Capital Stock is acquired or otherwise owned by a Grantor after the date hereof. </w:t>
      </w:r>
    </w:p>
    <w:p>
      <w:pPr>
        <w:pStyle w:val="TextBody"/>
        <w:bidi w:val="0"/>
        <w:spacing w:before="240" w:after="0"/>
        <w:jc w:val="left"/>
        <w:rPr/>
      </w:pPr>
      <w:r>
        <w:rPr/>
        <w:t>“</w:t>
      </w:r>
      <w:r>
        <w:rPr>
          <w:rFonts w:ascii="Times New Roman" w:hAnsi="Times New Roman"/>
          <w:b/>
          <w:sz w:val="20"/>
        </w:rPr>
        <w:t>Pledged Equity</w:t>
      </w:r>
      <w:r>
        <w:rPr>
          <w:rFonts w:ascii="Times New Roman" w:hAnsi="Times New Roman"/>
          <w:sz w:val="20"/>
        </w:rPr>
        <w:t xml:space="preserve">” means all of each Grantor’s right, title and interest in and to all of the Securities and Capital Stock now or hereafter owned by such Grantor (including, without limitation, those interests listed opposite the name of such Grantor on </w:t>
      </w:r>
      <w:r>
        <w:rPr>
          <w:rFonts w:ascii="Times New Roman" w:hAnsi="Times New Roman"/>
          <w:sz w:val="20"/>
          <w:u w:val="single"/>
        </w:rPr>
        <w:t>Schedule IV</w:t>
      </w:r>
      <w:r>
        <w:rPr>
          <w:rFonts w:ascii="Times New Roman" w:hAnsi="Times New Roman"/>
          <w:sz w:val="20"/>
        </w:rPr>
        <w:t xml:space="preserve">), regardless of class or designation, including all substitutions therefor and replacements thereof, all proceeds thereof and all rights relating thereto, also including, without limitation, any certificates representing such Securities and/or Capital Stock, the right to receive any certificates representing any of such Securities and/or Capital Stock, all warrants, options, subscription, share appreciation rights and other rights, contractual or otherwise, in respect thereof, and the right to receive dividends, distributions of income, profits, surplus, or other compensation by way of income or liquidating distributions, in cash or in kind, and cash, instruments, and other property from time to time received, receivable, or otherwise distributed in respect of or in addition to, in substitution of, on account of, or in exchange for any or all of the foregoing. </w:t>
      </w:r>
    </w:p>
    <w:p>
      <w:pPr>
        <w:pStyle w:val="TextBody"/>
        <w:bidi w:val="0"/>
        <w:spacing w:before="240" w:after="0"/>
        <w:jc w:val="left"/>
        <w:rPr/>
      </w:pPr>
      <w:r>
        <w:rPr/>
        <w:t>“</w:t>
      </w:r>
      <w:r>
        <w:rPr>
          <w:rFonts w:ascii="Times New Roman" w:hAnsi="Times New Roman"/>
          <w:b/>
          <w:sz w:val="20"/>
        </w:rPr>
        <w:t>Pledged Operating Agreements</w:t>
      </w:r>
      <w:r>
        <w:rPr>
          <w:rFonts w:ascii="Times New Roman" w:hAnsi="Times New Roman"/>
          <w:sz w:val="20"/>
        </w:rPr>
        <w:t xml:space="preserve">” means all of each Grantor’s rights, powers and remedies under the limited liability company operating agreements of each of the Pledged Entities that is a limited liability company, as may be amended, modified, supplemented, extended, renewed, restated or replaced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Pledged Partnership Agreements</w:t>
      </w:r>
      <w:r>
        <w:rPr>
          <w:rFonts w:ascii="Times New Roman" w:hAnsi="Times New Roman"/>
          <w:sz w:val="20"/>
        </w:rPr>
        <w:t xml:space="preserve">” means all of each Grantor’s rights, powers, and remedies under the general or limited partnership agreements of each of the Pledged Entities that is a general or limited partnership, as may be amended, modified, supplemented, extended, renewed, restated or replaced from time to time. </w:t>
      </w:r>
    </w:p>
    <w:p>
      <w:pPr>
        <w:pStyle w:val="TextBody"/>
        <w:bidi w:val="0"/>
        <w:spacing w:before="240" w:after="0"/>
        <w:jc w:val="left"/>
        <w:rPr/>
      </w:pPr>
      <w:r>
        <w:rPr/>
        <w:t>“</w:t>
      </w:r>
      <w:r>
        <w:rPr>
          <w:rFonts w:ascii="Times New Roman" w:hAnsi="Times New Roman"/>
          <w:b/>
          <w:sz w:val="20"/>
        </w:rPr>
        <w:t>Pledged Securities</w:t>
      </w:r>
      <w:r>
        <w:rPr>
          <w:rFonts w:ascii="Times New Roman" w:hAnsi="Times New Roman"/>
          <w:sz w:val="20"/>
        </w:rPr>
        <w:t xml:space="preserve">” means any Promissory Notes, stock certificates, limited liability membership interests or other Securities, certificates or Instruments now or hereafter included in the Pledged Collateral, including all Pledged Equity, Pledged Debt and all other certificates, instruments or other documents representing or evidencing any Pledged Collateral. </w:t>
      </w:r>
    </w:p>
    <w:p>
      <w:pPr>
        <w:pStyle w:val="TextBody"/>
        <w:bidi w:val="0"/>
        <w:spacing w:before="240" w:after="0"/>
        <w:jc w:val="left"/>
        <w:rPr/>
      </w:pPr>
      <w:r>
        <w:rPr/>
        <w:t>“</w:t>
      </w:r>
      <w:r>
        <w:rPr>
          <w:rFonts w:ascii="Times New Roman" w:hAnsi="Times New Roman"/>
          <w:b/>
          <w:sz w:val="20"/>
        </w:rPr>
        <w:t>Required Holders</w:t>
      </w:r>
      <w:r>
        <w:rPr>
          <w:rFonts w:ascii="Times New Roman" w:hAnsi="Times New Roman"/>
          <w:sz w:val="20"/>
        </w:rPr>
        <w:t xml:space="preserve">” shall have the meaning set forth in the Securities Purchase Agreement. </w:t>
      </w:r>
    </w:p>
    <w:p>
      <w:pPr>
        <w:pStyle w:val="TextBody"/>
        <w:bidi w:val="0"/>
        <w:spacing w:before="240" w:after="0"/>
        <w:jc w:val="left"/>
        <w:rPr/>
      </w:pPr>
      <w:r>
        <w:rPr/>
        <w:t>“</w:t>
      </w:r>
      <w:r>
        <w:rPr>
          <w:rFonts w:ascii="Times New Roman" w:hAnsi="Times New Roman"/>
          <w:b/>
          <w:sz w:val="20"/>
        </w:rPr>
        <w:t>Securities Purchase Agreement</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b/>
          <w:sz w:val="20"/>
        </w:rPr>
        <w:t xml:space="preserve">Subsidiary” </w:t>
      </w:r>
      <w:r>
        <w:rPr>
          <w:rFonts w:ascii="Times New Roman" w:hAnsi="Times New Roman"/>
          <w:sz w:val="20"/>
        </w:rPr>
        <w:t>means any Person in which a Grantor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hAnsi="Times New Roman"/>
          <w:b/>
          <w:sz w:val="20"/>
        </w:rPr>
        <w:t>Subsidiaries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Trademark Licenses</w:t>
      </w:r>
      <w:r>
        <w:rPr>
          <w:rFonts w:ascii="Times New Roman" w:hAnsi="Times New Roman"/>
          <w:sz w:val="20"/>
        </w:rPr>
        <w:t xml:space="preserve">” means all licenses, contracts or other agreements, whether written or oral, naming any Grantor as licensor or licensee and providing for the grant of any right concerning any Trademark, together with any goodwill connected with and symbolized by any such licenses, contracts or agreements and the right to prepare for sale or lease and sell or lease any and all Inventory now or hereafter owned by any Grantor and now or hereafter covered by such licenses, contracts or agreements (including, without limitation, all Trademark Licenses described in </w:t>
      </w:r>
      <w:r>
        <w:rPr>
          <w:rFonts w:ascii="Times New Roman" w:hAnsi="Times New Roman"/>
          <w:sz w:val="20"/>
          <w:u w:val="single"/>
        </w:rPr>
        <w:t>Schedule II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all domestic and foreign trademarks, service marks, collective marks, certification marks, trade names, business names, d/b/a’s, assumed names,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assumed names, Internet domain names, trade styles, designs, logos and other source or business identifiers described in </w:t>
      </w:r>
      <w:r>
        <w:rPr>
          <w:rFonts w:ascii="Times New Roman" w:hAnsi="Times New Roman"/>
          <w:sz w:val="20"/>
          <w:u w:val="single"/>
        </w:rPr>
        <w:t>Schedule II</w:t>
      </w:r>
      <w:r>
        <w:rPr>
          <w:rFonts w:ascii="Times New Roman" w:hAnsi="Times New Roman"/>
          <w:sz w:val="20"/>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 </w:t>
      </w:r>
    </w:p>
    <w:p>
      <w:pPr>
        <w:pStyle w:val="TextBody"/>
        <w:bidi w:val="0"/>
        <w:spacing w:before="240" w:after="0"/>
        <w:jc w:val="left"/>
        <w:rPr/>
      </w:pPr>
      <w:r>
        <w:rPr/>
        <w:t>“</w:t>
      </w:r>
      <w:r>
        <w:rPr>
          <w:rFonts w:ascii="Times New Roman" w:hAnsi="Times New Roman"/>
          <w:b/>
          <w:sz w:val="20"/>
        </w:rPr>
        <w:t>Transaction Document</w:t>
      </w:r>
      <w:r>
        <w:rPr>
          <w:rFonts w:ascii="Times New Roman" w:hAnsi="Times New Roman"/>
          <w:sz w:val="20"/>
        </w:rPr>
        <w:t>” or “</w:t>
      </w:r>
      <w:r>
        <w:rPr>
          <w:rFonts w:ascii="Times New Roman" w:hAnsi="Times New Roman"/>
          <w:b/>
          <w:sz w:val="20"/>
        </w:rPr>
        <w:t>Transaction Documents</w:t>
      </w:r>
      <w:r>
        <w:rPr>
          <w:rFonts w:ascii="Times New Roman" w:hAnsi="Times New Roman"/>
          <w:sz w:val="20"/>
        </w:rPr>
        <w:t xml:space="preserve">” shall have the meaning set forth in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Pledge of Pledged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collateral security for the due and punctual payment and performance in full of the Obligations, as and when due, each Grantor hereby assigns and pledges to the Collateral Agent, its successors and permitted assigns, and hereby grants to the Collateral Agent, its successors and permitted assigns, for the ratable benefit of the Collateral Agent and the Noteholders, a continuing Lien on and security interest in, all of such Grantor’s right, title and interest in, to and under all of the following, wherever located and whether now or hereafter existing and whether now owned or hereafter acquired: (i) the Pledged Equity; (ii) all Promissory Notes, Security and Instruments evidencing debt now owned or at any time hereafter acquired by it (including, without limitation, those listed opposite the name of such Grantor on </w:t>
      </w:r>
      <w:r>
        <w:rPr>
          <w:rFonts w:ascii="Times New Roman" w:hAnsi="Times New Roman"/>
          <w:sz w:val="20"/>
          <w:u w:val="single"/>
        </w:rPr>
        <w:t>Schedule IV</w:t>
      </w:r>
      <w:r>
        <w:rPr>
          <w:rFonts w:ascii="Times New Roman" w:hAnsi="Times New Roman"/>
          <w:sz w:val="20"/>
        </w:rPr>
        <w:t>) (the “</w:t>
      </w:r>
      <w:r>
        <w:rPr>
          <w:rFonts w:ascii="Times New Roman" w:hAnsi="Times New Roman"/>
          <w:sz w:val="20"/>
          <w:u w:val="single"/>
        </w:rPr>
        <w:t>Pledged Debt</w:t>
      </w:r>
      <w:r>
        <w:rPr>
          <w:rFonts w:ascii="Times New Roman" w:hAnsi="Times New Roman"/>
          <w:sz w:val="20"/>
        </w:rPr>
        <w:t xml:space="preserve">”); (iii) subject to </w:t>
      </w:r>
      <w:r>
        <w:rPr>
          <w:rFonts w:ascii="Times New Roman" w:hAnsi="Times New Roman"/>
          <w:sz w:val="20"/>
          <w:u w:val="single"/>
        </w:rPr>
        <w:t>Section 2(g)</w:t>
      </w:r>
      <w:r>
        <w:rPr>
          <w:rFonts w:ascii="Times New Roman" w:hAnsi="Times New Roman"/>
          <w:sz w:val="20"/>
        </w:rPr>
        <w:t xml:space="preserve"> and </w:t>
      </w:r>
      <w:r>
        <w:rPr>
          <w:rFonts w:ascii="Times New Roman" w:hAnsi="Times New Roman"/>
          <w:sz w:val="20"/>
          <w:u w:val="single"/>
        </w:rPr>
        <w:t>2(h)</w:t>
      </w:r>
      <w:r>
        <w:rPr>
          <w:rFonts w:ascii="Times New Roman" w:hAnsi="Times New Roman"/>
          <w:sz w:val="20"/>
        </w:rPr>
        <w:t>, all payments of principal or interest, dividends, distributions, cash, Promissory Notes, Securities, Instruments and other property from time to time received, receivable or otherwise distributed in respect of, in exchange for or upon the conversion of, and all other Proceeds received in respect of, the Pledged Equity and the Pledged Debt; (iv) all rights and privileges of such Grantor with respect to the Securities and other property referred to in clauses (i), (ii), and (iii) above; and (v) all Proceeds of, and Security Entitlements in respect of, any of the foregoing (the items referred to in clauses (a) through (v) above being collectively referred to as the “</w:t>
      </w:r>
      <w:r>
        <w:rPr>
          <w:rFonts w:ascii="Times New Roman" w:hAnsi="Times New Roman"/>
          <w:b/>
          <w:sz w:val="20"/>
        </w:rPr>
        <w:t>Pledged Collateral</w:t>
      </w:r>
      <w:r>
        <w:rPr>
          <w:rFonts w:ascii="Times New Roman" w:hAnsi="Times New Roman"/>
          <w:sz w:val="20"/>
        </w:rPr>
        <w:t xml:space="preserve">”); provided that the Pledged Collateral shall not include any item referred to in clauses (a) through (f) above if, for so long as and to the extent such item constitutes Excluded Collateral. </w:t>
      </w:r>
    </w:p>
    <w:p>
      <w:pPr>
        <w:pStyle w:val="TextBody"/>
        <w:bidi w:val="0"/>
        <w:spacing w:before="240" w:after="0"/>
        <w:jc w:val="left"/>
        <w:rPr>
          <w:rFonts w:ascii="Times New Roman" w:hAnsi="Times New Roman"/>
          <w:sz w:val="20"/>
        </w:rPr>
      </w:pPr>
      <w:r>
        <w:rPr>
          <w:rFonts w:ascii="Times New Roman" w:hAnsi="Times New Roman"/>
          <w:sz w:val="20"/>
        </w:rPr>
        <w:t xml:space="preserve">(b) On the Initial Closing Date (in the case of any Grantor that grants a Lien on any of its assets hereunder on the Initial Closing Date) or on the date on which it becomes a party to this Agreement pursuant to </w:t>
      </w:r>
      <w:r>
        <w:rPr>
          <w:rFonts w:ascii="Times New Roman" w:hAnsi="Times New Roman"/>
          <w:sz w:val="20"/>
          <w:u w:val="single"/>
        </w:rPr>
        <w:t>Section 6(m)</w:t>
      </w:r>
      <w:r>
        <w:rPr>
          <w:rFonts w:ascii="Times New Roman" w:hAnsi="Times New Roman"/>
          <w:sz w:val="20"/>
        </w:rPr>
        <w:t xml:space="preserve"> (in the case of any other Grantor), each Grantor shall deliver or cause to be delivered to the Collateral Agent any and all Pledged Securities (other than any Uncertificated Securities, but only for so long as such Securities remain uncertificated) to the extent such Pledged Securities, in the case of Promissory Notes and other Instruments evidencing debt, are required to be delivered pursuant to </w:t>
      </w:r>
      <w:r>
        <w:rPr>
          <w:rFonts w:ascii="Times New Roman" w:hAnsi="Times New Roman"/>
          <w:sz w:val="20"/>
          <w:u w:val="single"/>
        </w:rPr>
        <w:t>Section 2(c)</w:t>
      </w:r>
      <w:r>
        <w:rPr>
          <w:rFonts w:ascii="Times New Roman" w:hAnsi="Times New Roman"/>
          <w:sz w:val="20"/>
        </w:rPr>
        <w:t xml:space="preserve">. Thereafter, whenever such Grantor acquires any other Pledged Security (other than any Uncertificated Securities, but only for so long as such Uncertificated Securities remain uncertificated), such Grantor shall promptly, and in any event within thirty (30) days (or such longer period as the Collateral Agent may agree to in writing), deliver or cause to be delivered to the Collateral Agent such Pledged Security as Collateral hereunder to the extent such Pledged Securities, in the case of Promissory Notes and Instruments evidencing debt, are required to be delivered pursuant to </w:t>
      </w:r>
      <w:r>
        <w:rPr>
          <w:rFonts w:ascii="Times New Roman" w:hAnsi="Times New Roman"/>
          <w:sz w:val="20"/>
          <w:u w:val="single"/>
        </w:rPr>
        <w:t>Section 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Grantor will cause all debt for borrowed money in an aggregate principal amount of $10,000 or more owed to such Grantor by any other Person to be evidenced by a duly executed Promissory Note, and shall cause each such Promissory Note to be pledged and delivered to the Collateral Agent, (i) on the date hereof, in the case of any such debt existing on the date hereof (or, in the case of any Grantor that becomes a party hereto after the date hereof, on the date such Grantor becomes a party hereto, in the case of any such debt existing on such date) or (ii) promptly following the incurrence thereof, in the case of any such debt incurred after the date hereof (or such other date), in each case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(d) Upon delivery to the Collateral Agent, (i) any Pledged Securities required to be delivered pursuant to </w:t>
      </w:r>
      <w:r>
        <w:rPr>
          <w:rFonts w:ascii="Times New Roman" w:hAnsi="Times New Roman"/>
          <w:sz w:val="20"/>
          <w:u w:val="single"/>
        </w:rPr>
        <w:t>Section 2(b)</w:t>
      </w:r>
      <w:r>
        <w:rPr>
          <w:rFonts w:ascii="Times New Roman" w:hAnsi="Times New Roman"/>
          <w:sz w:val="20"/>
        </w:rPr>
        <w:t xml:space="preserve"> and/or </w:t>
      </w:r>
      <w:r>
        <w:rPr>
          <w:rFonts w:ascii="Times New Roman" w:hAnsi="Times New Roman"/>
          <w:sz w:val="20"/>
          <w:u w:val="single"/>
        </w:rPr>
        <w:t>2(c)</w:t>
      </w:r>
      <w:r>
        <w:rPr>
          <w:rFonts w:ascii="Times New Roman" w:hAnsi="Times New Roman"/>
          <w:sz w:val="20"/>
        </w:rPr>
        <w:t xml:space="preserve"> shall be accompanied by an undated stock or membership power or note endorsement, as applicable, duly executed by the applicable Grantor in blank or other instruments of transfer reasonably satisfactory to the Collateral Agent and by such other instruments and documents as the Collateral Agent may reasonably request in order to effect the transfer of such Pledged Securities and (ii) all other property comprising part of the Pledged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required to be delivered pursuant to </w:t>
      </w:r>
      <w:r>
        <w:rPr>
          <w:rFonts w:ascii="Times New Roman" w:hAnsi="Times New Roman"/>
          <w:sz w:val="20"/>
          <w:u w:val="single"/>
        </w:rPr>
        <w:t>Section 2(b)</w:t>
      </w:r>
      <w:r>
        <w:rPr>
          <w:rFonts w:ascii="Times New Roman" w:hAnsi="Times New Roman"/>
          <w:sz w:val="20"/>
        </w:rPr>
        <w:t xml:space="preserve"> and/or </w:t>
      </w:r>
      <w:r>
        <w:rPr>
          <w:rFonts w:ascii="Times New Roman" w:hAnsi="Times New Roman"/>
          <w:sz w:val="20"/>
          <w:u w:val="single"/>
        </w:rPr>
        <w:t>2(c)</w:t>
      </w:r>
      <w:r>
        <w:rPr>
          <w:rFonts w:ascii="Times New Roman" w:hAnsi="Times New Roman"/>
          <w:sz w:val="20"/>
        </w:rPr>
        <w:t xml:space="preserve"> shall be accompanied by undated proper instruments of assignment duly executed by the applicable Grantor and such other instruments or documents as the Collateral Agent may reasonably request in order to effect transfer of such Pledged Collateral. Each delivery of Pledged Securities or other Pledged Collateral shall be accompanied by a schedule describing such Pledged Securities or Pledged Collateral, as the case may be, which schedule shall be deemed to supplement </w:t>
      </w:r>
      <w:r>
        <w:rPr>
          <w:rFonts w:ascii="Times New Roman" w:hAnsi="Times New Roman"/>
          <w:sz w:val="20"/>
          <w:u w:val="single"/>
        </w:rPr>
        <w:t>Schedule IV</w:t>
      </w:r>
      <w:r>
        <w:rPr>
          <w:rFonts w:ascii="Times New Roman" w:hAnsi="Times New Roman"/>
          <w:sz w:val="20"/>
        </w:rPr>
        <w:t xml:space="preserve"> and be made a part hereof; </w:t>
      </w:r>
      <w:r>
        <w:rPr>
          <w:rFonts w:ascii="Times New Roman" w:hAnsi="Times New Roman"/>
          <w:sz w:val="20"/>
          <w:u w:val="single"/>
        </w:rPr>
        <w:t>provided</w:t>
      </w:r>
      <w:r>
        <w:rPr>
          <w:rFonts w:ascii="Times New Roman" w:hAnsi="Times New Roman"/>
          <w:sz w:val="20"/>
        </w:rPr>
        <w:t xml:space="preserve"> that failure to attach any such schedule hereto shall not affect the validity of such pledge of such Pledged Securities. Each schedule so delivered shall supplement any prior schedules so delivered. </w:t>
      </w:r>
    </w:p>
    <w:p>
      <w:pPr>
        <w:pStyle w:val="TextBody"/>
        <w:bidi w:val="0"/>
        <w:spacing w:before="240" w:after="0"/>
        <w:jc w:val="left"/>
        <w:rPr>
          <w:rFonts w:ascii="Times New Roman" w:hAnsi="Times New Roman"/>
          <w:sz w:val="20"/>
        </w:rPr>
      </w:pPr>
      <w:r>
        <w:rPr>
          <w:rFonts w:ascii="Times New Roman" w:hAnsi="Times New Roman"/>
          <w:sz w:val="20"/>
        </w:rPr>
        <w:t xml:space="preserve">(e) The assignment, pledge, Lien, and security interest granted in </w:t>
      </w:r>
      <w:r>
        <w:rPr>
          <w:rFonts w:ascii="Times New Roman" w:hAnsi="Times New Roman"/>
          <w:sz w:val="20"/>
          <w:u w:val="single"/>
        </w:rPr>
        <w:t>Section 2(a)</w:t>
      </w:r>
      <w:r>
        <w:rPr>
          <w:rFonts w:ascii="Times New Roman" w:hAnsi="Times New Roman"/>
          <w:sz w:val="20"/>
        </w:rPr>
        <w:t xml:space="preserve"> are granted as security only and shall not subject the Collateral Agent or any Buyer to, or in any way alter or modify, any obligation or liability of any Grantor with respect to or arising out of the Pledged Collateral. </w:t>
      </w:r>
    </w:p>
    <w:p>
      <w:pPr>
        <w:pStyle w:val="TextBody"/>
        <w:bidi w:val="0"/>
        <w:spacing w:before="240" w:after="0"/>
        <w:jc w:val="left"/>
        <w:rPr>
          <w:rFonts w:ascii="Times New Roman" w:hAnsi="Times New Roman"/>
          <w:sz w:val="20"/>
        </w:rPr>
      </w:pPr>
      <w:r>
        <w:rPr>
          <w:rFonts w:ascii="Times New Roman" w:hAnsi="Times New Roman"/>
          <w:sz w:val="20"/>
        </w:rPr>
        <w:t xml:space="preserve">(f) If an Event of Default shall occur and be continuing and, other than in the case of a Bankruptcy Event of Default, the Collateral Agent shall have notified the Company of its intent to exercise such rights, (a) the Collateral Agent, shall have the right (in its sole and absolute discretion) to cause each of the Pledged Securities to be transferred of record into the name of the Collateral Agent or into the name of its nominee (as pledgee or as sub-agent) or the name of the applicable Grantor, endorsed or assigned in blank or in favor of the Collateral Agent and (b) to the extent permitted by the documentation governing such Pledged Securities and applicable law, the Collateral Agent shall have the right to exchange the certificates representing Pledged Securities for certificates of smaller or larger denominations for any purpose consistent with this Agreement. Each Grantor will promptly give to the Collateral Agent copies of any material notices received by it with respect to Pledged Securities registered in the name of such Grantor. Each Grantor will take any and all actions reasonably requested by the Collateral Agent to facilitate compliance with this </w:t>
      </w:r>
      <w:r>
        <w:rPr>
          <w:rFonts w:ascii="Times New Roman" w:hAnsi="Times New Roman"/>
          <w:sz w:val="20"/>
          <w:u w:val="single"/>
        </w:rPr>
        <w:t>Section 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Unless and until an Event of Default shall have occurred and be continuing and, other than in the case of a Bankruptcy Event of Default, the Collateral Agent shall have notified the Grantors that the rights of the Grantors under this </w:t>
      </w:r>
      <w:r>
        <w:rPr>
          <w:rFonts w:ascii="Times New Roman" w:hAnsi="Times New Roman"/>
          <w:sz w:val="20"/>
          <w:u w:val="single"/>
        </w:rPr>
        <w:t>Section 2(g)</w:t>
      </w:r>
      <w:r>
        <w:rPr>
          <w:rFonts w:ascii="Times New Roman" w:hAnsi="Times New Roman"/>
          <w:sz w:val="20"/>
        </w:rPr>
        <w:t xml:space="preserve"> are being suspended: </w:t>
      </w:r>
    </w:p>
    <w:p>
      <w:pPr>
        <w:pStyle w:val="TextBody"/>
        <w:bidi w:val="0"/>
        <w:spacing w:before="120" w:after="0"/>
        <w:jc w:val="left"/>
        <w:rPr>
          <w:rFonts w:ascii="Times New Roman" w:hAnsi="Times New Roman"/>
          <w:sz w:val="20"/>
        </w:rPr>
      </w:pPr>
      <w:r>
        <w:rPr>
          <w:rFonts w:ascii="Times New Roman" w:hAnsi="Times New Roman"/>
          <w:sz w:val="20"/>
        </w:rPr>
        <w:t xml:space="preserve">(i) Each Grantor shall be entitled to exercise any and all voting and/or other consensual rights and powers inuring to an owner of Pledged Collateral or any part thereof for any purpose consistent with the terms of this Agreement and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The Collateral Agent shall execute and deliver to each Grantor, or cause to be executed and delivered to such Grantor, all such proxies, powers of attorney and other instruments as such Grantor may reasonably request in writing for the purpose of enabling such Grantor to exercise the voting and/or consensual rights and powers it is entitled to exercise pursuant to </w:t>
      </w:r>
      <w:r>
        <w:rPr>
          <w:rFonts w:ascii="Times New Roman" w:hAnsi="Times New Roman"/>
          <w:sz w:val="20"/>
          <w:u w:val="single"/>
        </w:rPr>
        <w:t>Section 2(g)(i)</w:t>
      </w:r>
      <w:r>
        <w:rPr>
          <w:rFonts w:ascii="Times New Roman" w:hAnsi="Times New Roman"/>
          <w:sz w:val="20"/>
        </w:rPr>
        <w:t xml:space="preserve">, in each case as shall be specified in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Each Grantor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the other Transaction Documents and applicable laws; </w:t>
      </w:r>
      <w:r>
        <w:rPr>
          <w:rFonts w:ascii="Times New Roman" w:hAnsi="Times New Roman"/>
          <w:sz w:val="20"/>
          <w:u w:val="single"/>
        </w:rPr>
        <w:t>provided</w:t>
      </w:r>
      <w:r>
        <w:rPr>
          <w:rFonts w:ascii="Times New Roman" w:hAnsi="Times New Roman"/>
          <w:sz w:val="20"/>
        </w:rPr>
        <w:t xml:space="preserve"> that any noncash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held in trust for the benefit of the Collateral Agent and shall, to the extent required by </w:t>
      </w:r>
      <w:r>
        <w:rPr>
          <w:rFonts w:ascii="Times New Roman" w:hAnsi="Times New Roman"/>
          <w:sz w:val="20"/>
          <w:u w:val="single"/>
        </w:rPr>
        <w:t>Section 2(b)</w:t>
      </w:r>
      <w:r>
        <w:rPr>
          <w:rFonts w:ascii="Times New Roman" w:hAnsi="Times New Roman"/>
          <w:sz w:val="20"/>
        </w:rPr>
        <w:t xml:space="preserve"> and/or </w:t>
      </w:r>
      <w:r>
        <w:rPr>
          <w:rFonts w:ascii="Times New Roman" w:hAnsi="Times New Roman"/>
          <w:sz w:val="20"/>
          <w:u w:val="single"/>
        </w:rPr>
        <w:t>2(c)</w:t>
      </w:r>
      <w:r>
        <w:rPr>
          <w:rFonts w:ascii="Times New Roman" w:hAnsi="Times New Roman"/>
          <w:sz w:val="20"/>
        </w:rPr>
        <w:t xml:space="preserve"> be forthwith delivered to the Collateral Agent in the same form as so received (with any necessary endorsement or documents set forth in </w:t>
      </w:r>
      <w:r>
        <w:rPr>
          <w:rFonts w:ascii="Times New Roman" w:hAnsi="Times New Roman"/>
          <w:sz w:val="20"/>
          <w:u w:val="single"/>
        </w:rPr>
        <w:t>Section 2(d)</w:t>
      </w:r>
      <w:r>
        <w:rPr>
          <w:rFonts w:ascii="Times New Roman" w:hAnsi="Times New Roman"/>
          <w:sz w:val="20"/>
        </w:rPr>
        <w:t xml:space="preserve"> or as otherwise reasonably requested by the Collateral Agent). So long as no Event of Default has occurred and is continuing, the Collateral Agent shall deliver to each Grantor any Pledged Securities in its possession if requested in writing to be delivered to the issuer thereof in connection with any exchange or redemption of such Pledged Securities. </w:t>
      </w:r>
    </w:p>
    <w:p>
      <w:pPr>
        <w:pStyle w:val="TextBody"/>
        <w:bidi w:val="0"/>
        <w:spacing w:before="240" w:after="0"/>
        <w:jc w:val="left"/>
        <w:rPr>
          <w:rFonts w:ascii="Times New Roman" w:hAnsi="Times New Roman"/>
          <w:sz w:val="20"/>
        </w:rPr>
      </w:pPr>
      <w:r>
        <w:rPr>
          <w:rFonts w:ascii="Times New Roman" w:hAnsi="Times New Roman"/>
          <w:sz w:val="20"/>
        </w:rPr>
        <w:t xml:space="preserve">(h) Upon the occurrence and during the continuance of an Event of Default and, other than in the case of a Bankruptcy Event of Default, after the Collateral Agent shall have notified the Grantors of the suspension of the rights of the Grantors under </w:t>
      </w:r>
      <w:r>
        <w:rPr>
          <w:rFonts w:ascii="Times New Roman" w:hAnsi="Times New Roman"/>
          <w:sz w:val="20"/>
          <w:u w:val="single"/>
        </w:rPr>
        <w:t>Section 2(g)(iii)</w:t>
      </w:r>
      <w:r>
        <w:rPr>
          <w:rFonts w:ascii="Times New Roman" w:hAnsi="Times New Roman"/>
          <w:sz w:val="20"/>
        </w:rPr>
        <w:t xml:space="preserve">, all rights of any Grantor to dividends, interest, principal or other distributions that such Grantor is authorized to receive pursuant to </w:t>
      </w:r>
      <w:r>
        <w:rPr>
          <w:rFonts w:ascii="Times New Roman" w:hAnsi="Times New Roman"/>
          <w:sz w:val="20"/>
          <w:u w:val="single"/>
        </w:rPr>
        <w:t>Section 2(g)(iii)</w:t>
      </w:r>
      <w:r>
        <w:rPr>
          <w:rFonts w:ascii="Times New Roman" w:hAnsi="Times New Roman"/>
          <w:sz w:val="20"/>
        </w:rPr>
        <w:t xml:space="preserve"> shall cease, and all such rights shall thereupon become vested in the Collateral Agent, which shall have the sole and exclusive right and authority to receive and retain such dividends, interest, principal or other distributions as part of the Pledged Collateral, subject to </w:t>
      </w:r>
      <w:r>
        <w:rPr>
          <w:rFonts w:ascii="Times New Roman" w:hAnsi="Times New Roman"/>
          <w:sz w:val="20"/>
          <w:u w:val="single"/>
        </w:rPr>
        <w:t>Section 2(k)</w:t>
      </w:r>
      <w:r>
        <w:rPr>
          <w:rFonts w:ascii="Times New Roman" w:hAnsi="Times New Roman"/>
          <w:sz w:val="20"/>
        </w:rPr>
        <w:t xml:space="preserve"> and the last sentence of this </w:t>
      </w:r>
      <w:r>
        <w:rPr>
          <w:rFonts w:ascii="Times New Roman" w:hAnsi="Times New Roman"/>
          <w:sz w:val="20"/>
          <w:u w:val="single"/>
        </w:rPr>
        <w:t>Section 2(h)</w:t>
      </w:r>
      <w:r>
        <w:rPr>
          <w:rFonts w:ascii="Times New Roman" w:hAnsi="Times New Roman"/>
          <w:sz w:val="20"/>
        </w:rPr>
        <w:t xml:space="preserve">. All dividends, interest, principal or other distributions received by any Grantor contrary to the provisions of </w:t>
      </w:r>
      <w:r>
        <w:rPr>
          <w:rFonts w:ascii="Times New Roman" w:hAnsi="Times New Roman"/>
          <w:sz w:val="20"/>
          <w:u w:val="single"/>
        </w:rPr>
        <w:t>Section 2(g)</w:t>
      </w:r>
      <w:r>
        <w:rPr>
          <w:rFonts w:ascii="Times New Roman" w:hAnsi="Times New Roman"/>
          <w:sz w:val="20"/>
        </w:rPr>
        <w:t xml:space="preserve"> or this </w:t>
      </w:r>
      <w:r>
        <w:rPr>
          <w:rFonts w:ascii="Times New Roman" w:hAnsi="Times New Roman"/>
          <w:sz w:val="20"/>
          <w:u w:val="single"/>
        </w:rPr>
        <w:t>Section 2(h)</w:t>
      </w:r>
      <w:r>
        <w:rPr>
          <w:rFonts w:ascii="Times New Roman" w:hAnsi="Times New Roman"/>
          <w:sz w:val="20"/>
        </w:rPr>
        <w:t xml:space="preserve"> shall be held in trust for the benefit of the Collateral Agent and shall be forthwith delivered to the Collateral Agent upon demand in the same form as so received (with any necessary endorsement reasonably requested by the Collateral Agent). Any and all money and other property paid over to or received by the Collateral Agent pursuant to the provisions of </w:t>
      </w:r>
      <w:r>
        <w:rPr>
          <w:rFonts w:ascii="Times New Roman" w:hAnsi="Times New Roman"/>
          <w:sz w:val="20"/>
          <w:u w:val="single"/>
        </w:rPr>
        <w:t>Section 2(g)</w:t>
      </w:r>
      <w:r>
        <w:rPr>
          <w:rFonts w:ascii="Times New Roman" w:hAnsi="Times New Roman"/>
          <w:sz w:val="20"/>
        </w:rPr>
        <w:t xml:space="preserve"> and/or this </w:t>
      </w:r>
      <w:r>
        <w:rPr>
          <w:rFonts w:ascii="Times New Roman" w:hAnsi="Times New Roman"/>
          <w:sz w:val="20"/>
          <w:u w:val="single"/>
        </w:rPr>
        <w:t>Section 2(h)</w:t>
      </w:r>
      <w:r>
        <w:rPr>
          <w:rFonts w:ascii="Times New Roman" w:hAnsi="Times New Roman"/>
          <w:sz w:val="20"/>
        </w:rPr>
        <w:t xml:space="preserve"> shall be retained by the Collateral Agent in an account to be established by the Collateral Agent upon receipt of such money or other property, shall be held as security for the payment and performance of the Obligations and shall be applied in accordance with the provisions of </w:t>
      </w:r>
      <w:r>
        <w:rPr>
          <w:rFonts w:ascii="Times New Roman" w:hAnsi="Times New Roman"/>
          <w:sz w:val="20"/>
          <w:u w:val="single"/>
        </w:rPr>
        <w:t>Section 8</w:t>
      </w:r>
      <w:r>
        <w:rPr>
          <w:rFonts w:ascii="Times New Roman" w:hAnsi="Times New Roman"/>
          <w:sz w:val="20"/>
        </w:rPr>
        <w:t xml:space="preserve">. After all Events of Default have been cured or waived, and the Grantors have delivered to the Collateral Agent a certificate of an executive officer to such effect, the Collateral Agent shall promptly repay to each Grantor (without interest) all dividends, interest, principal or other distributions that such Grantor would otherwise be permitted to retain pursuant to the terms of </w:t>
      </w:r>
      <w:r>
        <w:rPr>
          <w:rFonts w:ascii="Times New Roman" w:hAnsi="Times New Roman"/>
          <w:sz w:val="20"/>
          <w:u w:val="single"/>
        </w:rPr>
        <w:t>Section 2(g)(iii)</w:t>
      </w:r>
      <w:r>
        <w:rPr>
          <w:rFonts w:ascii="Times New Roman" w:hAnsi="Times New Roman"/>
          <w:sz w:val="20"/>
        </w:rPr>
        <w:t xml:space="preserve"> in the absence of an Event of Default and that remain in such account. </w:t>
      </w:r>
    </w:p>
    <w:p>
      <w:pPr>
        <w:pStyle w:val="TextBody"/>
        <w:bidi w:val="0"/>
        <w:spacing w:before="240" w:after="0"/>
        <w:jc w:val="left"/>
        <w:rPr>
          <w:rFonts w:ascii="Times New Roman" w:hAnsi="Times New Roman"/>
          <w:sz w:val="20"/>
        </w:rPr>
      </w:pPr>
      <w:r>
        <w:rPr>
          <w:rFonts w:ascii="Times New Roman" w:hAnsi="Times New Roman"/>
          <w:sz w:val="20"/>
        </w:rPr>
        <w:t xml:space="preserve">(i) Upon the occurrence and during the continuance of an Event of Default and, other than in the case of a Bankruptcy Event of Default, after the Collateral Agent shall have notified the Grantors of the suspension of the rights of the Grantors under </w:t>
      </w:r>
      <w:r>
        <w:rPr>
          <w:rFonts w:ascii="Times New Roman" w:hAnsi="Times New Roman"/>
          <w:sz w:val="20"/>
          <w:u w:val="single"/>
        </w:rPr>
        <w:t>Section 2(g)(i)</w:t>
      </w:r>
      <w:r>
        <w:rPr>
          <w:rFonts w:ascii="Times New Roman" w:hAnsi="Times New Roman"/>
          <w:sz w:val="20"/>
        </w:rPr>
        <w:t xml:space="preserve">, all rights of any Grantor to exercise the voting and consensual rights and powers it is entitled to exercise pursuant to </w:t>
      </w:r>
      <w:r>
        <w:rPr>
          <w:rFonts w:ascii="Times New Roman" w:hAnsi="Times New Roman"/>
          <w:sz w:val="20"/>
          <w:u w:val="single"/>
        </w:rPr>
        <w:t>Section 2(g)(i)</w:t>
      </w:r>
      <w:r>
        <w:rPr>
          <w:rFonts w:ascii="Times New Roman" w:hAnsi="Times New Roman"/>
          <w:sz w:val="20"/>
        </w:rPr>
        <w:t xml:space="preserve">, and the obligations of the Collateral Agent under </w:t>
      </w:r>
      <w:r>
        <w:rPr>
          <w:rFonts w:ascii="Times New Roman" w:hAnsi="Times New Roman"/>
          <w:sz w:val="20"/>
          <w:u w:val="single"/>
        </w:rPr>
        <w:t>Section 2(g)(ii)</w:t>
      </w:r>
      <w:r>
        <w:rPr>
          <w:rFonts w:ascii="Times New Roman" w:hAnsi="Times New Roman"/>
          <w:sz w:val="20"/>
        </w:rPr>
        <w:t xml:space="preserve">, shall cease, and all such rights shall thereupon become vested in the Collateral Agent, which shall have the sole and exclusive right and authority to exercise such voting and consensual rights and powers subject to </w:t>
      </w:r>
      <w:r>
        <w:rPr>
          <w:rFonts w:ascii="Times New Roman" w:hAnsi="Times New Roman"/>
          <w:sz w:val="20"/>
          <w:u w:val="single"/>
        </w:rPr>
        <w:t>Section 2(k)</w:t>
      </w:r>
      <w:r>
        <w:rPr>
          <w:rFonts w:ascii="Times New Roman" w:hAnsi="Times New Roman"/>
          <w:sz w:val="20"/>
        </w:rPr>
        <w:t xml:space="preserve"> and the last sentence of this </w:t>
      </w:r>
      <w:r>
        <w:rPr>
          <w:rFonts w:ascii="Times New Roman" w:hAnsi="Times New Roman"/>
          <w:sz w:val="20"/>
          <w:u w:val="single"/>
        </w:rPr>
        <w:t>Section 2(i)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the right from time to time following and during the continuance of an Event of Default to permit the Grantors to exercise such rights. After all Events of Default have been cured or waived, and the Grantors have delivered to the Collateral Agent a certificate of an executive officer to such effect, each Grantor shall have the exclusive right to exercise the voting and/or consensual rights and powers that such Grantor would otherwise be entitled to exercise pursuant to the terms of </w:t>
      </w:r>
      <w:r>
        <w:rPr>
          <w:rFonts w:ascii="Times New Roman" w:hAnsi="Times New Roman"/>
          <w:sz w:val="20"/>
          <w:u w:val="single"/>
        </w:rPr>
        <w:t>Section 2(g)(i)</w:t>
      </w:r>
      <w:r>
        <w:rPr>
          <w:rFonts w:ascii="Times New Roman" w:hAnsi="Times New Roman"/>
          <w:sz w:val="20"/>
        </w:rPr>
        <w:t xml:space="preserve">, and the obligations of the Collateral Agent under </w:t>
      </w:r>
      <w:r>
        <w:rPr>
          <w:rFonts w:ascii="Times New Roman" w:hAnsi="Times New Roman"/>
          <w:sz w:val="20"/>
          <w:u w:val="single"/>
        </w:rPr>
        <w:t>Section 2(g)(ii)</w:t>
      </w:r>
      <w:r>
        <w:rPr>
          <w:rFonts w:ascii="Times New Roman" w:hAnsi="Times New Roman"/>
          <w:sz w:val="20"/>
        </w:rPr>
        <w:t xml:space="preserve"> shall be reinstated. </w:t>
      </w:r>
    </w:p>
    <w:p>
      <w:pPr>
        <w:pStyle w:val="TextBody"/>
        <w:bidi w:val="0"/>
        <w:spacing w:before="240" w:after="0"/>
        <w:jc w:val="left"/>
        <w:rPr>
          <w:rFonts w:ascii="Times New Roman" w:hAnsi="Times New Roman"/>
          <w:sz w:val="20"/>
        </w:rPr>
      </w:pPr>
      <w:r>
        <w:rPr>
          <w:rFonts w:ascii="Times New Roman" w:hAnsi="Times New Roman"/>
          <w:sz w:val="20"/>
        </w:rPr>
        <w:t xml:space="preserve">(j) Any notice given by the Collateral Agent to the Grantors under </w:t>
      </w:r>
      <w:r>
        <w:rPr>
          <w:rFonts w:ascii="Times New Roman" w:hAnsi="Times New Roman"/>
          <w:sz w:val="20"/>
          <w:u w:val="single"/>
        </w:rPr>
        <w:t>Section 2(f)</w:t>
      </w:r>
      <w:r>
        <w:rPr>
          <w:rFonts w:ascii="Times New Roman" w:hAnsi="Times New Roman"/>
          <w:sz w:val="20"/>
        </w:rPr>
        <w:t xml:space="preserve"> or </w:t>
      </w:r>
      <w:r>
        <w:rPr>
          <w:rFonts w:ascii="Times New Roman" w:hAnsi="Times New Roman"/>
          <w:sz w:val="20"/>
          <w:u w:val="single"/>
        </w:rPr>
        <w:t>Section 2(g)</w:t>
      </w:r>
      <w:r>
        <w:rPr>
          <w:rFonts w:ascii="Times New Roman" w:hAnsi="Times New Roman"/>
          <w:sz w:val="20"/>
        </w:rPr>
        <w:t xml:space="preserve"> (i) may be given by telephone if also confirmed in writing, (ii) may be given with respect to one or more of the Grantors at the same or different times and (iii) may suspend the rights of the Grantors under </w:t>
      </w:r>
      <w:r>
        <w:rPr>
          <w:rFonts w:ascii="Times New Roman" w:hAnsi="Times New Roman"/>
          <w:sz w:val="20"/>
          <w:u w:val="single"/>
        </w:rPr>
        <w:t>Section 2(g)(i)</w:t>
      </w:r>
      <w:r>
        <w:rPr>
          <w:rFonts w:ascii="Times New Roman" w:hAnsi="Times New Roman"/>
          <w:sz w:val="20"/>
        </w:rPr>
        <w:t xml:space="preserve"> or </w:t>
      </w:r>
      <w:r>
        <w:rPr>
          <w:rFonts w:ascii="Times New Roman" w:hAnsi="Times New Roman"/>
          <w:sz w:val="20"/>
          <w:u w:val="single"/>
        </w:rPr>
        <w:t>2(g)(iii)</w:t>
      </w:r>
      <w:r>
        <w:rPr>
          <w:rFonts w:ascii="Times New Roman" w:hAnsi="Times New Roman"/>
          <w:sz w:val="20"/>
        </w:rPr>
        <w:t xml:space="preserve">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(k) Nothing contained in this Agreement shall be construed to make the Collateral Agent or any Buyer liable as a shareholder of any corporation, member of any limited liability company or as a partner of any partnership, and neither the Collateral Agent nor any Buyer by virtue of this Agreement or otherwise (except as referred to in the following sentence) shall have any of the duties, obligations or liabilities of a member of any limited liability company or as a partner in any partnership. The parties hereto expressly agree that, unless the Collateral Agent shall become the absolute owner of Pledged Equity consisting of a limited liability company interest or a partnership interest pursuant hereto, this Agreement shall not be construed as creating a partnership or joint venture among the Collateral Agent, any Buyer, any Grantor and/or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Grant of 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collateral security for the due and punctual payment and performance in full of the Obligations, as and when due, each Grantor hereby pledges and assigns to the Collateral Agent, its successors and permitted assigns, and hereby grants to the Collateral Agent, its successors and permitted assigns, for the ratable benefit of the Collateral Agent and the Noteholders, a continuing Lien on and security interest in, all of such Grantor’s right, title and interest in, to and under all of the following personal property and assets of such Grantor, wherever located and whether now or hereafter existing and whether now owned or hereafter acquired, of every kind, nature and description, whether tangible or intangible (together with the Pledged Collateral, the “</w:t>
      </w:r>
      <w:r>
        <w:rPr>
          <w:rFonts w:ascii="Times New Roman" w:hAnsi="Times New Roman"/>
          <w:b/>
          <w:sz w:val="20"/>
        </w:rPr>
        <w:t>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Accounts; </w:t>
      </w:r>
    </w:p>
    <w:p>
      <w:pPr>
        <w:pStyle w:val="TextBody"/>
        <w:bidi w:val="0"/>
        <w:spacing w:before="240" w:after="0"/>
        <w:jc w:val="left"/>
        <w:rPr>
          <w:rFonts w:ascii="Times New Roman" w:hAnsi="Times New Roman"/>
          <w:sz w:val="20"/>
        </w:rPr>
      </w:pPr>
      <w:r>
        <w:rPr>
          <w:rFonts w:ascii="Times New Roman" w:hAnsi="Times New Roman"/>
          <w:sz w:val="20"/>
        </w:rPr>
        <w:t xml:space="preserve">(ii) all Chattel Paper (whether tangible or Electronic Chattel Paper); </w:t>
      </w:r>
    </w:p>
    <w:p>
      <w:pPr>
        <w:pStyle w:val="TextBody"/>
        <w:bidi w:val="0"/>
        <w:spacing w:before="240" w:after="0"/>
        <w:jc w:val="left"/>
        <w:rPr>
          <w:rFonts w:ascii="Times New Roman" w:hAnsi="Times New Roman"/>
          <w:sz w:val="20"/>
        </w:rPr>
      </w:pPr>
      <w:r>
        <w:rPr>
          <w:rFonts w:ascii="Times New Roman" w:hAnsi="Times New Roman"/>
          <w:sz w:val="20"/>
        </w:rPr>
        <w:t xml:space="preserve">(iii) all Commercial Tort Claims, including, without limitation, those specified on </w:t>
      </w:r>
      <w:r>
        <w:rPr>
          <w:rFonts w:ascii="Times New Roman" w:hAnsi="Times New Roman"/>
          <w:sz w:val="20"/>
          <w:u w:val="single"/>
        </w:rPr>
        <w:t>Schedule VI</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all Documents; </w:t>
      </w:r>
    </w:p>
    <w:p>
      <w:pPr>
        <w:pStyle w:val="TextBody"/>
        <w:bidi w:val="0"/>
        <w:spacing w:before="240" w:after="0"/>
        <w:jc w:val="left"/>
        <w:rPr>
          <w:rFonts w:ascii="Times New Roman" w:hAnsi="Times New Roman"/>
          <w:sz w:val="20"/>
        </w:rPr>
      </w:pPr>
      <w:r>
        <w:rPr>
          <w:rFonts w:ascii="Times New Roman" w:hAnsi="Times New Roman"/>
          <w:sz w:val="20"/>
        </w:rPr>
        <w:t xml:space="preserve">(v) all Equipment; </w:t>
      </w:r>
    </w:p>
    <w:p>
      <w:pPr>
        <w:pStyle w:val="TextBody"/>
        <w:bidi w:val="0"/>
        <w:spacing w:before="240" w:after="0"/>
        <w:jc w:val="left"/>
        <w:rPr>
          <w:rFonts w:ascii="Times New Roman" w:hAnsi="Times New Roman"/>
          <w:sz w:val="20"/>
        </w:rPr>
      </w:pPr>
      <w:r>
        <w:rPr>
          <w:rFonts w:ascii="Times New Roman" w:hAnsi="Times New Roman"/>
          <w:sz w:val="20"/>
        </w:rPr>
        <w:t xml:space="preserve">(vi) all Fixtures; </w:t>
      </w:r>
    </w:p>
    <w:p>
      <w:pPr>
        <w:pStyle w:val="TextBody"/>
        <w:bidi w:val="0"/>
        <w:spacing w:before="240" w:after="0"/>
        <w:jc w:val="left"/>
        <w:rPr>
          <w:rFonts w:ascii="Times New Roman" w:hAnsi="Times New Roman"/>
          <w:sz w:val="20"/>
        </w:rPr>
      </w:pPr>
      <w:r>
        <w:rPr>
          <w:rFonts w:ascii="Times New Roman" w:hAnsi="Times New Roman"/>
          <w:sz w:val="20"/>
        </w:rPr>
        <w:t xml:space="preserve">(vii) all General Intangibles (including, without limitation, all Payment Intangibles); </w:t>
      </w:r>
    </w:p>
    <w:p>
      <w:pPr>
        <w:pStyle w:val="TextBody"/>
        <w:bidi w:val="0"/>
        <w:spacing w:before="240" w:after="0"/>
        <w:jc w:val="left"/>
        <w:rPr>
          <w:rFonts w:ascii="Times New Roman" w:hAnsi="Times New Roman"/>
          <w:sz w:val="20"/>
        </w:rPr>
      </w:pPr>
      <w:r>
        <w:rPr>
          <w:rFonts w:ascii="Times New Roman" w:hAnsi="Times New Roman"/>
          <w:sz w:val="20"/>
        </w:rPr>
        <w:t xml:space="preserve">(viii) all Goods; </w:t>
      </w:r>
    </w:p>
    <w:p>
      <w:pPr>
        <w:pStyle w:val="TextBody"/>
        <w:bidi w:val="0"/>
        <w:spacing w:before="240" w:after="0"/>
        <w:jc w:val="left"/>
        <w:rPr>
          <w:rFonts w:ascii="Times New Roman" w:hAnsi="Times New Roman"/>
          <w:sz w:val="20"/>
        </w:rPr>
      </w:pPr>
      <w:r>
        <w:rPr>
          <w:rFonts w:ascii="Times New Roman" w:hAnsi="Times New Roman"/>
          <w:sz w:val="20"/>
        </w:rPr>
        <w:t xml:space="preserve">(ix) all Instruments; </w:t>
      </w:r>
    </w:p>
    <w:p>
      <w:pPr>
        <w:pStyle w:val="TextBody"/>
        <w:bidi w:val="0"/>
        <w:spacing w:before="240" w:after="0"/>
        <w:jc w:val="left"/>
        <w:rPr>
          <w:rFonts w:ascii="Times New Roman" w:hAnsi="Times New Roman"/>
          <w:sz w:val="20"/>
        </w:rPr>
      </w:pPr>
      <w:r>
        <w:rPr>
          <w:rFonts w:ascii="Times New Roman" w:hAnsi="Times New Roman"/>
          <w:sz w:val="20"/>
        </w:rPr>
        <w:t xml:space="preserve">(x) all Inventory; </w:t>
      </w:r>
    </w:p>
    <w:p>
      <w:pPr>
        <w:pStyle w:val="TextBody"/>
        <w:bidi w:val="0"/>
        <w:spacing w:before="240" w:after="0"/>
        <w:jc w:val="left"/>
        <w:rPr>
          <w:rFonts w:ascii="Times New Roman" w:hAnsi="Times New Roman"/>
          <w:sz w:val="20"/>
        </w:rPr>
      </w:pPr>
      <w:r>
        <w:rPr>
          <w:rFonts w:ascii="Times New Roman" w:hAnsi="Times New Roman"/>
          <w:sz w:val="20"/>
        </w:rPr>
        <w:t xml:space="preserve">(xi) all Investment Property (and, regardless of whether classified as Investment Property under the Code, all Pledged Equity, Pledged Operating Agreements and Pledged Partnership Agreements); </w:t>
      </w:r>
    </w:p>
    <w:p>
      <w:pPr>
        <w:pStyle w:val="TextBody"/>
        <w:bidi w:val="0"/>
        <w:spacing w:before="240" w:after="0"/>
        <w:jc w:val="left"/>
        <w:rPr>
          <w:rFonts w:ascii="Times New Roman" w:hAnsi="Times New Roman"/>
          <w:sz w:val="20"/>
        </w:rPr>
      </w:pPr>
      <w:r>
        <w:rPr>
          <w:rFonts w:ascii="Times New Roman" w:hAnsi="Times New Roman"/>
          <w:sz w:val="20"/>
        </w:rPr>
        <w:t xml:space="preserve">(xii) all Intellectual Property and all Licenses; </w:t>
      </w:r>
    </w:p>
    <w:p>
      <w:pPr>
        <w:pStyle w:val="TextBody"/>
        <w:bidi w:val="0"/>
        <w:spacing w:before="240" w:after="0"/>
        <w:jc w:val="left"/>
        <w:rPr>
          <w:rFonts w:ascii="Times New Roman" w:hAnsi="Times New Roman"/>
          <w:sz w:val="20"/>
        </w:rPr>
      </w:pPr>
      <w:r>
        <w:rPr>
          <w:rFonts w:ascii="Times New Roman" w:hAnsi="Times New Roman"/>
          <w:sz w:val="20"/>
        </w:rPr>
        <w:t xml:space="preserve">(xiii) all Letter-of-Credit Rights; </w:t>
      </w:r>
    </w:p>
    <w:p>
      <w:pPr>
        <w:pStyle w:val="TextBody"/>
        <w:bidi w:val="0"/>
        <w:spacing w:before="240" w:after="0"/>
        <w:jc w:val="left"/>
        <w:rPr>
          <w:rFonts w:ascii="Times New Roman" w:hAnsi="Times New Roman"/>
          <w:sz w:val="20"/>
        </w:rPr>
      </w:pPr>
      <w:r>
        <w:rPr>
          <w:rFonts w:ascii="Times New Roman" w:hAnsi="Times New Roman"/>
          <w:sz w:val="20"/>
        </w:rPr>
        <w:t xml:space="preserve">(xiv) all Pledged Accounts, all cash and other property from time to time deposited therein, and all monies and property in the possession or under the control of the Collateral Agent or any Noteholder or any Affiliate, representative, agent or correspondent of the Collateral Agent or any such Noteholder; </w:t>
      </w:r>
    </w:p>
    <w:p>
      <w:pPr>
        <w:pStyle w:val="TextBody"/>
        <w:bidi w:val="0"/>
        <w:spacing w:before="240" w:after="0"/>
        <w:jc w:val="left"/>
        <w:rPr>
          <w:rFonts w:ascii="Times New Roman" w:hAnsi="Times New Roman"/>
          <w:sz w:val="20"/>
        </w:rPr>
      </w:pPr>
      <w:r>
        <w:rPr>
          <w:rFonts w:ascii="Times New Roman" w:hAnsi="Times New Roman"/>
          <w:sz w:val="20"/>
        </w:rPr>
        <w:t xml:space="preserve">(xv) all Supporting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(xvi) all other tangible and intangible personal property of each Grantor (whether or not subject to the Code), including, without limitation, all Deposit Accounts and other accounts and all cash and all investments therein, all proceeds, products, offspring, accessions, rents, profits, income, benefits, substitutions and replacements of and to any of the property of any Grantor described in the preceding clauses of this </w:t>
      </w:r>
      <w:r>
        <w:rPr>
          <w:rFonts w:ascii="Times New Roman" w:hAnsi="Times New Roman"/>
          <w:sz w:val="20"/>
          <w:u w:val="single"/>
        </w:rPr>
        <w:t>Section 3(a)</w:t>
      </w:r>
      <w:r>
        <w:rPr>
          <w:rFonts w:ascii="Times New Roman" w:hAnsi="Times New Roman"/>
          <w:sz w:val="20"/>
        </w:rPr>
        <w:t xml:space="preserve"> (including, without limitation, any proceeds of insurance thereon and all causes of action, claims and warranties now or hereafter held by each Grantor in respect of any of the items listed above), and all books, correspondence, files and other Records, including, without limitation, all tapes, desks, cards, Software, data and computer programs in the possession or under the control of any Grantor or any other Person from time to time acting for any Grantor, in each case, to the extent of such Grantor’s rights therein, that at any time evidence or contain information relating to any of the property described in the preceding clauses of this </w:t>
      </w:r>
      <w:r>
        <w:rPr>
          <w:rFonts w:ascii="Times New Roman" w:hAnsi="Times New Roman"/>
          <w:sz w:val="20"/>
          <w:u w:val="single"/>
        </w:rPr>
        <w:t>Section 3(a)</w:t>
      </w:r>
      <w:r>
        <w:rPr>
          <w:rFonts w:ascii="Times New Roman" w:hAnsi="Times New Roman"/>
          <w:sz w:val="20"/>
        </w:rPr>
        <w:t xml:space="preserve"> or are otherwise necessary or helpful in the collection or realization thereof; and </w:t>
      </w:r>
    </w:p>
    <w:p>
      <w:pPr>
        <w:pStyle w:val="TextBody"/>
        <w:bidi w:val="0"/>
        <w:spacing w:before="240" w:after="0"/>
        <w:jc w:val="left"/>
        <w:rPr>
          <w:rFonts w:ascii="Times New Roman" w:hAnsi="Times New Roman"/>
          <w:sz w:val="20"/>
        </w:rPr>
      </w:pPr>
      <w:r>
        <w:rPr>
          <w:rFonts w:ascii="Times New Roman" w:hAnsi="Times New Roman"/>
          <w:sz w:val="20"/>
        </w:rPr>
        <w:t xml:space="preserve">(xvii) all Proceeds, including all Cash Proceeds and Noncash Proceeds, and products of any and all of the foregoing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each case howsoever any Grantor’s interest therein may arise or appear (whether by ownership, security interest, claim or otherwise). </w:t>
      </w:r>
    </w:p>
    <w:p>
      <w:pPr>
        <w:pStyle w:val="TextBody"/>
        <w:bidi w:val="0"/>
        <w:spacing w:before="240" w:after="0"/>
        <w:jc w:val="left"/>
        <w:rPr>
          <w:rFonts w:ascii="Times New Roman" w:hAnsi="Times New Roman"/>
          <w:sz w:val="20"/>
        </w:rPr>
      </w:pPr>
      <w:r>
        <w:rPr>
          <w:rFonts w:ascii="Times New Roman" w:hAnsi="Times New Roman"/>
          <w:sz w:val="20"/>
        </w:rPr>
        <w:t>(b) Notwithstanding anything herein to the contrary, the term “</w:t>
      </w:r>
      <w:r>
        <w:rPr>
          <w:rFonts w:ascii="Times New Roman" w:hAnsi="Times New Roman"/>
          <w:b/>
          <w:sz w:val="20"/>
        </w:rPr>
        <w:t>Collateral</w:t>
      </w:r>
      <w:r>
        <w:rPr>
          <w:rFonts w:ascii="Times New Roman" w:hAnsi="Times New Roman"/>
          <w:sz w:val="20"/>
        </w:rPr>
        <w:t xml:space="preserve">” shall not include any Excluded Collateral.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Permitted Liens existing as of the date hereof, each Grantor agrees not to further encumber, or permit any other Lien to exist that encumbers, any of its Intellectual Property, including, without limitation, any of its Copyrights, Copyright applications, Copyright registrations and like protections in each work of authorship and derivative work, whether published or unpublished, Licenses, Patents, Patent applications and like protections, including, without limitation, improvements, divisions, continuations, renewals, reissues, extensions, and continuations-in-part of the same, Trademarks, service marks and, to the extent permitted under applicable law, any applications therefor, whether registered or not, and the goodwill of the business of such Grantor connected with and symbolized thereby, know-how, operating manuals, trade secret rights, rights to unpatented inventions, and any claims for damage by way of any past, present, or future infringement of any of the foregoing, in each case without the Collateral Agent’s prior written consent (which consent may be withheld or given in the Collateral Agent’s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(d) Each Grantor agrees that the pledge of the shares of Capital Stock acquired by such Grantor of any and all Persons now or hereafter existing that is a Foreign Subsidiary may be supplemented by one or more separate pledge agreements, deeds of pledge, share charges or other similar agreements or instruments, executed and delivered by such Grantor in favor of the Collateral Agent, which agreements or instruments will provide for the pledge of such shares of Capital Stock and perfection of the Lien on such shares in accordance with the laws of the applicable foreign jurisdiction. With respect to such shares of Capital Stock, the Collateral Agent may, at any time and from time to time, in its sole and absolute discretion, take such actions in such foreign jurisdictions that will result in the perfection of the Lien created in such shares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to secure the due and punctual payment and performance in full of the Obligations, as and when due, and in order to induce the Buyers as aforesaid, each Grantor hereby grants to the Collateral Agent, its successors and permitted assigns, for the ratable benefit of the Collateral Agent and the Noteholders, a right of set-off against the property of such Grantor held by the Collateral Agent, for itself and for the ratable benefit of the Noteholders, consisting of property described above in </w:t>
      </w:r>
      <w:r>
        <w:rPr>
          <w:rFonts w:ascii="Times New Roman" w:hAnsi="Times New Roman"/>
          <w:sz w:val="20"/>
          <w:u w:val="single"/>
        </w:rPr>
        <w:t>Section 2(a)</w:t>
      </w:r>
      <w:r>
        <w:rPr>
          <w:rFonts w:ascii="Times New Roman" w:hAnsi="Times New Roman"/>
          <w:sz w:val="20"/>
        </w:rPr>
        <w:t xml:space="preserve"> and/or </w:t>
      </w:r>
      <w:r>
        <w:rPr>
          <w:rFonts w:ascii="Times New Roman" w:hAnsi="Times New Roman"/>
          <w:sz w:val="20"/>
          <w:u w:val="single"/>
        </w:rPr>
        <w:t>Section 3(a)</w:t>
      </w:r>
      <w:r>
        <w:rPr>
          <w:rFonts w:ascii="Times New Roman" w:hAnsi="Times New Roman"/>
          <w:sz w:val="20"/>
        </w:rPr>
        <w:t xml:space="preserve"> now or hereafter in the possession or custody of or in transit to the Collateral Agent, for any purpose, including safekeeping, collection or pledge, for the account of such Grantor, or as to which such Grantor may have any right or power; provided that such right shall only to be exercised after an Event of Default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Security for Obligations</w:t>
      </w:r>
      <w:r>
        <w:rPr>
          <w:rFonts w:ascii="Times New Roman" w:hAnsi="Times New Roman"/>
          <w:sz w:val="20"/>
        </w:rPr>
        <w:t>. The Lien and security interest created hereby in the Collateral constitutes continuing collateral security for all of the following obligations, whether direct or indirect, absolute or contingent, and whether now existing or hereafter incurred (collectively, the “</w:t>
      </w:r>
      <w:r>
        <w:rPr>
          <w:rFonts w:ascii="Times New Roman" w:hAnsi="Times New Roman"/>
          <w:b/>
          <w:sz w:val="20"/>
        </w:rPr>
        <w:t>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payment by the Company and each other Grantor, as and when due and payable (by scheduled maturity, required prepayment, acceleration, demand or otherwise), of all amounts from time to time owing by it in respect of the Securities Purchase Agreement, this Agreement, the Notes and the other Transaction Documents, and (ii) in the case of the Guarantors, the payment by such Guarantors, as and when due and payable of all Guaranteed Obligations under the Guaranties, including, without limitation, in both cases, (A) all principal of, interest, make-whole and other amounts on the Notes (including, without limitation, all interest, make-whole and other amounts that accrues after the commencement of any Insolvency Proceeding of any Grantor, whether or not the payment of such interest is enforceable or is allowable in such Insolvency Proceeding), and (B) all fees, interest, premiums, penalties, contract causes of action, costs, commissions, expense reimbursements, indemnifications and all other amounts due or to become due under this Agreement or any of the Transaction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(b) the due and punctual performance and observance by each Grantor of all of its other obligations from time to time existing in respect of any of the Transaction Documents, including without limitation, with respect to any conversion or redemption rights of the Noteholders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Representations and Warranties</w:t>
      </w:r>
      <w:r>
        <w:rPr>
          <w:rFonts w:ascii="Times New Roman" w:hAnsi="Times New Roman"/>
          <w:sz w:val="20"/>
        </w:rPr>
        <w:t xml:space="preserve">. Each Grantor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I</w:t>
      </w:r>
      <w:r>
        <w:rPr>
          <w:rFonts w:ascii="Times New Roman" w:hAnsi="Times New Roman"/>
          <w:sz w:val="20"/>
        </w:rPr>
        <w:t xml:space="preserve"> hereto sets forth (i) the exact legal name of each Grantor, (ii) the state of incorporation, organization or formation and the organizational identification number of each Grantor in such state and (iii) each Grantor’s federal employer identification number. The information set forth in </w:t>
      </w:r>
      <w:r>
        <w:rPr>
          <w:rFonts w:ascii="Times New Roman" w:hAnsi="Times New Roman"/>
          <w:sz w:val="20"/>
          <w:u w:val="single"/>
        </w:rPr>
        <w:t>Schedule I</w:t>
      </w:r>
      <w:r>
        <w:rPr>
          <w:rFonts w:ascii="Times New Roman" w:hAnsi="Times New Roman"/>
          <w:sz w:val="20"/>
        </w:rPr>
        <w:t xml:space="preserve"> hereto with respect to such Grantor is true and accurate in all respects. Such Grantor has not previously changed its name (or operated under any other name), jurisdiction of organization or organizational identification number from those set forth in </w:t>
      </w:r>
      <w:r>
        <w:rPr>
          <w:rFonts w:ascii="Times New Roman" w:hAnsi="Times New Roman"/>
          <w:sz w:val="20"/>
          <w:u w:val="single"/>
        </w:rPr>
        <w:t>Schedule I</w:t>
      </w:r>
      <w:r>
        <w:rPr>
          <w:rFonts w:ascii="Times New Roman" w:hAnsi="Times New Roman"/>
          <w:sz w:val="20"/>
        </w:rPr>
        <w:t xml:space="preserve"> hereto in the past five (5) years except as disclosed in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(b) There is no pending or, to its knowledge, written notice threatening any action, suit, proceeding or claim affecting any Grantor before any Governmental Authority or any arbitrator, or any order, judgment or award issued by any Governmental Authority or arbitrator, in each case, that may adversely affect the grant by any Grantor, or the perfection, of the Lien and security interest purported to be created hereby in the Collateral, or the exercise by the Collateral Agent of any of its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(c) All Federal, state and local tax returns and other reports required by applicable law to be filed by any Grantor have been filed, or extensions have been obtained, and all taxes, assessments and other governmental charges or levies imposed upon any Grantor or any property of any Grantor (including, without limitation, all federal income and social security taxes on employees’ wages) and which have become due 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All Equipment, Fixtures, Goods and Inventory of each Grantor now existing are, and all Equipment, Fixtures, Goods and Inventory of each Grantor hereafter existing will be, located and/or based at the addresses specified therefor in </w:t>
      </w:r>
      <w:r>
        <w:rPr>
          <w:rFonts w:ascii="Times New Roman" w:hAnsi="Times New Roman"/>
          <w:sz w:val="20"/>
          <w:u w:val="single"/>
        </w:rPr>
        <w:t>Schedule III</w:t>
      </w:r>
      <w:r>
        <w:rPr>
          <w:rFonts w:ascii="Times New Roman" w:hAnsi="Times New Roman"/>
          <w:sz w:val="20"/>
        </w:rPr>
        <w:t xml:space="preserve"> hereto, except that each Grantor will give the Collateral Agent written notice of any change in the location of any such Collateral within twenty (20) days of such change, other than to locations set forth on </w:t>
      </w:r>
      <w:r>
        <w:rPr>
          <w:rFonts w:ascii="Times New Roman" w:hAnsi="Times New Roman"/>
          <w:sz w:val="20"/>
          <w:u w:val="single"/>
        </w:rPr>
        <w:t>Schedule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hereto (and with respect to which the Collateral Agent has filed financing statements and otherwise fully perfected its Liens thereon). Each Grantor’s principal place of business and chief executive office, the place where each Grantor keeps its Records concerning the Collateral and all originals of all Chattel Paper in which any Grantor has any right, title or interest are located and will continue to be located at the addresses specified therefor in </w:t>
      </w:r>
      <w:r>
        <w:rPr>
          <w:rFonts w:ascii="Times New Roman" w:hAnsi="Times New Roman"/>
          <w:sz w:val="20"/>
          <w:u w:val="single"/>
        </w:rPr>
        <w:t>Schedule III</w:t>
      </w:r>
      <w:r>
        <w:rPr>
          <w:rFonts w:ascii="Times New Roman" w:hAnsi="Times New Roman"/>
          <w:sz w:val="20"/>
        </w:rPr>
        <w:t xml:space="preserve"> hereto. None of the Accounts in which any Grantor has any right, title or interest is or will be evidenced by Promissory Notes or other Instruments. </w:t>
      </w:r>
    </w:p>
    <w:p>
      <w:pPr>
        <w:pStyle w:val="TextBody"/>
        <w:bidi w:val="0"/>
        <w:spacing w:before="240" w:after="0"/>
        <w:jc w:val="left"/>
        <w:rPr>
          <w:rFonts w:ascii="Times New Roman" w:hAnsi="Times New Roman"/>
          <w:sz w:val="20"/>
        </w:rPr>
      </w:pPr>
      <w:r>
        <w:rPr>
          <w:rFonts w:ascii="Times New Roman" w:hAnsi="Times New Roman"/>
          <w:sz w:val="20"/>
        </w:rPr>
        <w:t xml:space="preserve">(e) Set forth in </w:t>
      </w:r>
      <w:r>
        <w:rPr>
          <w:rFonts w:ascii="Times New Roman" w:hAnsi="Times New Roman"/>
          <w:sz w:val="20"/>
          <w:u w:val="single"/>
        </w:rPr>
        <w:t>Schedule IV</w:t>
      </w:r>
      <w:r>
        <w:rPr>
          <w:rFonts w:ascii="Times New Roman" w:hAnsi="Times New Roman"/>
          <w:sz w:val="20"/>
        </w:rPr>
        <w:t xml:space="preserve"> hereto is a complete and accurate list, as of the date of this Agreement, of (i) all Pledged Debt, specifying the debtor thereof and the outstanding principal amount thereof as of the Initial Closing Date, Securities and other Instruments in which any Grantor has any right, title or interest, (ii) each Pledged Account of each Grantor, together with the name and address of each institution at which each such Pledged Account is maintained, the account number for each such Pledged Account and a description of the purpose of each such Pledged Account and (iii) the name of each Foreign Currency Controlled Account of each Grantor, together with the name and address of each institution at which each such Foreign Currency Controlled Account is maintained and the amount of cash or cash equivalents held in each such Foreign Currency Controlled Account. Set forth in </w:t>
      </w:r>
      <w:r>
        <w:rPr>
          <w:rFonts w:ascii="Times New Roman" w:hAnsi="Times New Roman"/>
          <w:sz w:val="20"/>
          <w:u w:val="single"/>
        </w:rPr>
        <w:t>Schedule II</w:t>
      </w:r>
      <w:r>
        <w:rPr>
          <w:rFonts w:ascii="Times New Roman" w:hAnsi="Times New Roman"/>
          <w:sz w:val="20"/>
        </w:rPr>
        <w:t xml:space="preserve"> hereto is a complete and correct list of each trade name used by each Grantor and the name of, and each trade name used by, each Person from which each Grantor has acquired any substantial part of the Collateral. All of the Pledged Debt, to the best of the Grantors’ knowledge (provided that no such knowledge qualification applies to Pledged Debt issued by a Grantor or a Subsidiary), is the legal, valid and binding obligation of the issuer thereof, enforceable against such issuer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(f) Each Grantor has delivered to the Collateral Agent complete and correct copies of each License described in </w:t>
      </w:r>
      <w:r>
        <w:rPr>
          <w:rFonts w:ascii="Times New Roman" w:hAnsi="Times New Roman"/>
          <w:sz w:val="20"/>
          <w:u w:val="single"/>
        </w:rPr>
        <w:t>Schedule II</w:t>
      </w:r>
      <w:r>
        <w:rPr>
          <w:rFonts w:ascii="Times New Roman" w:hAnsi="Times New Roman"/>
          <w:sz w:val="20"/>
        </w:rPr>
        <w:t xml:space="preserve"> hereto, including all schedules and exhibits thereto, which represent all of the Licenses of the Grantors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No default under any material License by any such party has occurred, nor does any defense, offset, deduction or counterclaim exist thereunder in favor of any such party. </w:t>
      </w:r>
    </w:p>
    <w:p>
      <w:pPr>
        <w:pStyle w:val="TextBody"/>
        <w:bidi w:val="0"/>
        <w:spacing w:before="240" w:after="0"/>
        <w:jc w:val="left"/>
        <w:rPr>
          <w:rFonts w:ascii="Times New Roman" w:hAnsi="Times New Roman"/>
          <w:sz w:val="20"/>
        </w:rPr>
      </w:pPr>
      <w:r>
        <w:rPr>
          <w:rFonts w:ascii="Times New Roman" w:hAnsi="Times New Roman"/>
          <w:sz w:val="20"/>
        </w:rPr>
        <w:t xml:space="preserve">(g) Each Grantor owns and controls, or otherwise possesses adequate rights to use, all Intellectual Property, which is the only Intellectual Property necessary to conduct its business in substantially the same manner as conducted as of the date hereof. </w:t>
      </w:r>
      <w:r>
        <w:rPr>
          <w:rFonts w:ascii="Times New Roman" w:hAnsi="Times New Roman"/>
          <w:sz w:val="20"/>
          <w:u w:val="single"/>
        </w:rPr>
        <w:t>Schedule II</w:t>
      </w:r>
      <w:r>
        <w:rPr>
          <w:rFonts w:ascii="Times New Roman" w:hAnsi="Times New Roman"/>
          <w:sz w:val="20"/>
        </w:rPr>
        <w:t xml:space="preserve"> hereto sets forth a true and complete list of all Intellectual Property and Licenses owned or used by each Grantor as of the date hereof, and applications for grant or registration of Intellectual Property. All such Intellectual Property of such Grantor is subsisting and in full force and effect, has not been adjudged invalid or unenforceable, is valid and enforceable, and has not been abandoned in whole or in part. No Grantor has received written notice challenging the validity, enforceability, or ownership of any Intellectual Property, and no such challenge is pending or, to the knowledge of any Grantor, threatened. Except as set forth in </w:t>
      </w:r>
      <w:r>
        <w:rPr>
          <w:rFonts w:ascii="Times New Roman" w:hAnsi="Times New Roman"/>
          <w:sz w:val="20"/>
          <w:u w:val="single"/>
        </w:rPr>
        <w:t>Schedule II</w:t>
      </w:r>
      <w:r>
        <w:rPr>
          <w:rFonts w:ascii="Times New Roman" w:hAnsi="Times New Roman"/>
          <w:sz w:val="20"/>
        </w:rPr>
        <w:t xml:space="preserve">, no such Intellectual Property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of any licensing or franchising agreement. Except as set forth in </w:t>
      </w:r>
      <w:r>
        <w:rPr>
          <w:rFonts w:ascii="Times New Roman" w:hAnsi="Times New Roman"/>
          <w:sz w:val="20"/>
          <w:u w:val="single"/>
        </w:rPr>
        <w:t>Schedule II</w:t>
      </w:r>
      <w:r>
        <w:rPr>
          <w:rFonts w:ascii="Times New Roman" w:hAnsi="Times New Roman"/>
          <w:sz w:val="20"/>
        </w:rPr>
        <w:t xml:space="preserve">, no Grantor has any knowledge of any infringement upon or conflict with the Patent, Trademark, Copyright, trade secret rights of others and, each Grantor is not now infringing or in conflict with any Patent, Trademark, Copyright, trade secret or similar rights of others, and to the knowledge of each Grantor, no other Person is infringing or in conflict in any material respect with any Intellectual Property owned or used by each Grantor. No Grantor has received any notice that it is violating or has violated the Intellectual Property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(h) Each Grantor is and will be at all times the sole and exclusive owner of the Collateral in which such Grantor has granted a Lien and security interest hereunder free and clear of any Liens, except for (i) Permitted Liens thereon and (ii) certain Intellectual Property rights of the Company which is jointly owned by the Company with certain third parties as described in </w:t>
      </w:r>
      <w:r>
        <w:rPr>
          <w:rFonts w:ascii="Times New Roman" w:hAnsi="Times New Roman"/>
          <w:sz w:val="20"/>
          <w:u w:val="single"/>
        </w:rPr>
        <w:t>Schedule II</w:t>
      </w:r>
      <w:r>
        <w:rPr>
          <w:rFonts w:ascii="Times New Roman" w:hAnsi="Times New Roman"/>
          <w:sz w:val="20"/>
        </w:rPr>
        <w:t xml:space="preserve"> hereto. No effective financing statement or other instrument similar in effect covering all or any part of the Collateral is on file in any recording or filing office except such as (i) may have been filed in favor of the Collateral Agent and/or the Noteholders relating to this Agreement or the other Transaction Documents, or (ii) are intended to perfect Permitted Liens existing as of the date hereof and disclosed on </w:t>
      </w:r>
      <w:r>
        <w:rPr>
          <w:rFonts w:ascii="Times New Roman" w:hAnsi="Times New Roman"/>
          <w:sz w:val="20"/>
          <w:u w:val="single"/>
        </w:rPr>
        <w:t>Schedule VII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(i) The exercise by the Collateral Agent of any of its rights and remedies hereunder will not contravene any law or any contractual restriction binding on or otherwise affecting any Grantor or any of its properties and will not result in or require the creation of any Lien, upon or with respect to any of its properties other than as granted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No authorization or approval or other action by, and no notice to or filing with, any Governmental Authority, is required for (i) the grant by each Grantor, or the perfection, of the Lien and security interest purported to be created hereby in the Collateral, or (ii) the exercise by the Collateral Agent of any of its rights and remedies hereunder, except for (A) the filing under the Code as in effect in the applicable jurisdiction of the financing statements described in </w:t>
      </w:r>
      <w:r>
        <w:rPr>
          <w:rFonts w:ascii="Times New Roman" w:hAnsi="Times New Roman"/>
          <w:sz w:val="20"/>
          <w:u w:val="single"/>
        </w:rPr>
        <w:t>Schedule V</w:t>
      </w:r>
      <w:r>
        <w:rPr>
          <w:rFonts w:ascii="Times New Roman" w:hAnsi="Times New Roman"/>
          <w:sz w:val="20"/>
        </w:rPr>
        <w:t xml:space="preserve"> hereto, all of which financing statements have been duly filed and are in full force and effect, (B) with respect to all Pledged Accounts, and all cash and other property from time to time deposited therein, the execution of a Controlled Account Agreement with the depository or other institution with which the applicable Pledged Accounts are maintained, as provided in </w:t>
      </w:r>
      <w:r>
        <w:rPr>
          <w:rFonts w:ascii="Times New Roman" w:hAnsi="Times New Roman"/>
          <w:sz w:val="20"/>
          <w:u w:val="single"/>
        </w:rPr>
        <w:t>Section 6(i)</w:t>
      </w:r>
      <w:r>
        <w:rPr>
          <w:rFonts w:ascii="Times New Roman" w:hAnsi="Times New Roman"/>
          <w:sz w:val="20"/>
        </w:rPr>
        <w:t xml:space="preserve">, (C) with respect to Commodity Contracts, the execution of a control agreement with the commodity intermediary with which such Commodity Contract is carried, as provided in </w:t>
      </w:r>
      <w:r>
        <w:rPr>
          <w:rFonts w:ascii="Times New Roman" w:hAnsi="Times New Roman"/>
          <w:sz w:val="20"/>
          <w:u w:val="single"/>
        </w:rPr>
        <w:t>Section 6(i)</w:t>
      </w:r>
      <w:r>
        <w:rPr>
          <w:rFonts w:ascii="Times New Roman" w:hAnsi="Times New Roman"/>
          <w:sz w:val="20"/>
        </w:rPr>
        <w:t xml:space="preserve">, (D) with respect to the perfection of the security interest created hereby in the United States Intellectual Property and Licenses, the recording of the appropriate Intellectual Property Security Agreement in the United States Patent and Trademark Office or the United States Copyright Office, as applicable, (E) with respect to the perfection of the security interest created hereby in foreign Intellectual Property and Licenses, registrations and filings in jurisdictions located outside of the United States and covering rights in such jurisdictions relating to such foreign Intellectual Property and Licenses, (F) with respect to the perfection of the security interest created hereby in any Letter-of-Credit Rights, the consent of the issuer of the applicable letter of credit to the assignment of proceeds as provided in the Code as in effect in the applicable jurisdiction, (G) with respect to Investment Property constituting uncertificated securities, the applicable Grantor causing the issuer thereof either (i) to register the Collateral Agent as the registered owner of such securities or (ii) to agree in an authenticated record with such Grantor and the Collateral Agent that such issuer will comply with instructions with respect to such securities originated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Collateral Agent without further consent of such Grantor, such authenticated record to be in form and substance satisfactory to the Collateral Agent, (H) with respect to Investment Property constituting certificated securities or instruments, such items to be delivered to and held by or on behalf of the Collateral Agent pursuant hereto in suitable form for transfer by delivery or accompanied by duly executed instruments of transfer or assignment in blank, all in form and substance satisfactory to the Collateral Agent, (I) with respect to any action that may be necessary to obtain control of Collateral constituting Commodity Contracts, Electronic Chattel Paper or Letter of Credit Rights, the taking of such actions, and (J) the Collateral Agent having possession of all Documents, Chattel Paper, Instruments and cash constituting Collateral (subclauses (A) through (J) each a “</w:t>
      </w:r>
      <w:r>
        <w:rPr>
          <w:rFonts w:ascii="Times New Roman" w:hAnsi="Times New Roman"/>
          <w:b/>
          <w:sz w:val="20"/>
        </w:rPr>
        <w:t>Perfection Requirement</w:t>
      </w:r>
      <w:r>
        <w:rPr>
          <w:rFonts w:ascii="Times New Roman" w:hAnsi="Times New Roman"/>
          <w:sz w:val="20"/>
        </w:rPr>
        <w:t>” and collectively, the “</w:t>
      </w:r>
      <w:r>
        <w:rPr>
          <w:rFonts w:ascii="Times New Roman" w:hAnsi="Times New Roman"/>
          <w:b/>
          <w:sz w:val="20"/>
        </w:rPr>
        <w:t>Perfection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This Agreement creates in favor of the Collateral Agent a legal, valid and enforceable Lien on and security interest in the Collateral, as security for the Obligations. The performance of the Perfection Requirements results in the perfection of such Lien on and security interest in the Collateral. Such Lien and security interest is (or in the case of Collateral in which any Grantor obtains any right, title or interest after the date hereof, will be), the Permitted Liens and the Perfection Requirements, a first priority, valid, enforceable and perfected Lien on and security interest in all personal property of each Grantor (other than Excluded Collateral).Such recordings and filings and all other action necessary to perfect and protect such Lien and security interest have been duly taken (and, in the case of Collateral in which any Grantor obtains right, title or interest after the date hereof, will be duly taken), except for the Collateral Agent’s having possession of all Documents, Chattel Paper, Instruments and cash constituting Collateral after the date hereof and the other actions, filings and recordations described above, including the Perfection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(l) As of the date hereof, no Grantor holds any Commercial Tort Claims or has knowledge of any pending Commercial Tort Claims, except for the Commercial Tort Claims described in </w:t>
      </w:r>
      <w:r>
        <w:rPr>
          <w:rFonts w:ascii="Times New Roman" w:hAnsi="Times New Roman"/>
          <w:sz w:val="20"/>
          <w:u w:val="single"/>
        </w:rPr>
        <w:t>Schedule 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All of the Pledged Equity is presently owned by the applicable Grantor as set forth in </w:t>
      </w:r>
      <w:r>
        <w:rPr>
          <w:rFonts w:ascii="Times New Roman" w:hAnsi="Times New Roman"/>
          <w:sz w:val="20"/>
          <w:u w:val="single"/>
        </w:rPr>
        <w:t>Schedule IV</w:t>
      </w:r>
      <w:r>
        <w:rPr>
          <w:rFonts w:ascii="Times New Roman" w:hAnsi="Times New Roman"/>
          <w:sz w:val="20"/>
        </w:rPr>
        <w:t xml:space="preserve"> free and clear of all Liens other than Permitted Liens, and is presently represented by the certificates listed on </w:t>
      </w:r>
      <w:r>
        <w:rPr>
          <w:rFonts w:ascii="Times New Roman" w:hAnsi="Times New Roman"/>
          <w:sz w:val="20"/>
          <w:u w:val="single"/>
        </w:rPr>
        <w:t>Schedule IV</w:t>
      </w:r>
      <w:r>
        <w:rPr>
          <w:rFonts w:ascii="Times New Roman" w:hAnsi="Times New Roman"/>
          <w:sz w:val="20"/>
        </w:rPr>
        <w:t xml:space="preserve"> hereto (if applicable). As of the date hereof, there are no existing options, warrants, calls or commitments of any character whatsoever relating to the Pledged Equity other than as contemplated and permitted by the Transaction Documents. Each Grantor is the sole holder of record and the sole beneficial owner of the Pledged Equity, as applicable. None of the Pledged Equity has been issued or transferred in violation of the securities registration, securities disclosure or similar laws of any jurisdiction to which such issuance or transfer may be subject. The Pledged Equity constitutes 100% or such other percentage as set forth on </w:t>
      </w:r>
      <w:r>
        <w:rPr>
          <w:rFonts w:ascii="Times New Roman" w:hAnsi="Times New Roman"/>
          <w:sz w:val="20"/>
          <w:u w:val="single"/>
        </w:rPr>
        <w:t>Schedule IV</w:t>
      </w:r>
      <w:r>
        <w:rPr>
          <w:rFonts w:ascii="Times New Roman" w:hAnsi="Times New Roman"/>
          <w:sz w:val="20"/>
        </w:rPr>
        <w:t xml:space="preserve"> of the issued and outstanding shares of Capital Stock of the applicable Pledged Entity. All of the Pledged Equity has been duly and validly authorized and issued by the issuer thereof and, in the case of Pledged Equity (other than Pledged Equity consisting of limited liability company interests or partnership interests which, pursuant to the relevant organizational or formation documents, cannot be fully paid and non-assessable), is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Such Grantor (i) is a corporation, limited liability company or limited partnership, as applicable, duly organized, validly existing and in good standing under the laws of the jurisdiction of its incorporation, organization or formation, (ii) has all requisite corporate, limited liability company or limited partnership power and authority to conduct its business as now conducted and as presently contemplated and to execute and deliver this Agreement and each other Transaction Document to which such Grantor is a party, and to consummate the transactions contemplated hereby and thereby and (iii)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The execution, delivery and performance by each Grantor of this Agreement and each other Transaction Document to which such Grantor is a party (i) have been duly authorized by all necessary corporate, limited liability company or limited partnership action, (ii) do not and will not contravene its charter or by-laws, limited liability company or operating agreement, certificate of partnership or partnership agreement, as applicable, or any applicable law or any contractual restriction binding on such Grantor or its properties, (iii) do not and will not result in or require the creation of any Lien (other than pursuant to any Transaction Document) upon or with respect to any of its assets or properties, and (iv) do not and will not result in any default, noncompliance, suspension, revocation, impairment, forfeiture or nonrenewal of any material permit, license, authorization or approval applicable to it or its operations or any of its assets or properties. </w:t>
      </w:r>
    </w:p>
    <w:p>
      <w:pPr>
        <w:pStyle w:val="TextBody"/>
        <w:bidi w:val="0"/>
        <w:spacing w:before="240" w:after="0"/>
        <w:jc w:val="left"/>
        <w:rPr>
          <w:rFonts w:ascii="Times New Roman" w:hAnsi="Times New Roman"/>
          <w:sz w:val="20"/>
        </w:rPr>
      </w:pPr>
      <w:r>
        <w:rPr>
          <w:rFonts w:ascii="Times New Roman" w:hAnsi="Times New Roman"/>
          <w:sz w:val="20"/>
        </w:rPr>
        <w:t xml:space="preserve">(p) This Agreement has been duly executed and delivered by each Grantor and is the legal, valid and binding obligation of such Grantor, enforceable against such Grantor in accordance with its terms, except as may be limited by applicable bankruptcy, insolvency, reorganization, moratorium, fraudulent conveyance, suretyship or other similar laws and equitable principles (regardless of whether enforcement is sought in equity or at law). Each of the other Transaction Documents to which any Grantor is or will be a party, when delivered, duly executed and delivered by such Grantor and the legal, valid and binding obligation of such Grantor, enforceable against such Grantor in accordance with its terms, except as may be limited by applicable bankruptcy, insolvency, reorganization, moratorium, fraudulent conveyance, suretyship or other similar laws and equitable principles (regardless of whether enforcement is sought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(q) There are no conditions precedent to the effectiveness of this Agreement that have not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Covenants as to the Collateral</w:t>
      </w:r>
      <w:r>
        <w:rPr>
          <w:rFonts w:ascii="Times New Roman" w:hAnsi="Times New Roman"/>
          <w:sz w:val="20"/>
        </w:rPr>
        <w:t xml:space="preserve">. Until all of the Obligations shall have been fully performed and Paid in Full, unless the Collateral Agent shall otherwise consent in writing (in its sole and absolute discretion):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Further Assurances</w:t>
      </w:r>
      <w:r>
        <w:rPr>
          <w:rFonts w:ascii="Times New Roman" w:hAnsi="Times New Roman"/>
          <w:sz w:val="20"/>
        </w:rPr>
        <w:t xml:space="preserve">. Each Grantor will, at its expense, at any time and from time to time, promptly execute and deliver all further instruments and documents and take all further action that the Collateral Agent may reasonably request in order to: (i) perfect and protect the Lien and security interest of the Collateral Agent created hereby; (ii) enable the Collateral Agent to exercise and enforce its rights and remedies hereunder in respect of the Collateral, including, without limitation, the Controlled Accounts; or (iii) otherwise effect the purposes of this Agreement, including, without limitation: (A) marking conspicuously all Chattel Paper and each License and, at the request of the Collateral Agent, each of its Records pertaining to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legend, in form and substance satisfactory to the Collateral Agent, indicating that such Chattel Paper, License or Collateral is subject to the Lien and security interest created hereby, (B) delivering and pledging to the Collateral Agent each Promissory Note, Security (subject to the limitations set forth in </w:t>
      </w:r>
      <w:r>
        <w:rPr>
          <w:rFonts w:ascii="Times New Roman" w:hAnsi="Times New Roman"/>
          <w:sz w:val="20"/>
          <w:u w:val="single"/>
        </w:rPr>
        <w:t>Section 3</w:t>
      </w:r>
      <w:r>
        <w:rPr>
          <w:rFonts w:ascii="Times New Roman" w:hAnsi="Times New Roman"/>
          <w:sz w:val="20"/>
        </w:rPr>
        <w:t xml:space="preserve">), Chattel Paper or other Instrument, now or hereafter owned by any Grantor, duly endorsed and accompanied by executed instruments of transfer or assignment, all in form and substance satisfactory to the Collateral Agent, (C) executing and filing (to the extent, if any, that any Grantor’s signature is required thereon) or authenticating the filing of, such financing or continuation statements, or amendments thereto, as may be necessary or that the Collateral Agent may reasonably request in order to perfect and preserve the security interest created hereby, (D) furnishing to the Collateral Agent from time to time statements and schedules further identifying and describing the Collateral and such other reports in connection with the Collateral in each case as the Collateral Agent may reasonably request, all in reasonable detail, (E) if any Collateral shall be in the possession of a third party, notifying such Person of the Collateral Agent’s security interest created hereby and obtaining a written acknowledgment from such Person, in form and substance satisfactory to the Collateral Agent, that such Person holds possession of the Collateral for the benefit of the Collateral Agent (for the ratable benefit of the Collateral Agent and the Noteholders), (F) if at any time after the date hereof, any Grantor acquires or holds any Commercial Tort Claim, promptly notifying the Collateral Agent in a writing signed by such Grantor setting forth a brief description of such Commercial Tort Claim and granting to the Collateral Agent a Lien and security interest therein and in the Proceeds thereof, which writing shall incorporate the provisions hereof and shall be in form and substance satisfactory to the Collateral Agent, (G) upon the acquisition after the date hereof by any Grantor of any motor vehicle or other Equipment subject to a certificate of title or ownership (other than a motor vehicle or Equipment that is subject to a purchase money security interest), causing the Collateral Agent to be listed as the lienholder on such certificate of title or ownership and delivering evidence of the same to the Collateral Agent in accordance with </w:t>
      </w:r>
      <w:r>
        <w:rPr>
          <w:rFonts w:ascii="Times New Roman" w:hAnsi="Times New Roman"/>
          <w:sz w:val="20"/>
          <w:u w:val="single"/>
        </w:rPr>
        <w:t>Section 6(j)</w:t>
      </w:r>
      <w:r>
        <w:rPr>
          <w:rFonts w:ascii="Times New Roman" w:hAnsi="Times New Roman"/>
          <w:sz w:val="20"/>
        </w:rPr>
        <w:t xml:space="preserve"> hereof, and (H) taking all actions required by the Code or by other law, as applicable, in any relevant Code jurisdiction, or by other law as applicable in any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Location of Collateral</w:t>
      </w:r>
      <w:r>
        <w:rPr>
          <w:rFonts w:ascii="Times New Roman" w:hAnsi="Times New Roman"/>
          <w:sz w:val="20"/>
        </w:rPr>
        <w:t xml:space="preserve">. Each Grantor will keep the Collateral (i) at the locations specified therefor on </w:t>
      </w:r>
      <w:r>
        <w:rPr>
          <w:rFonts w:ascii="Times New Roman" w:hAnsi="Times New Roman"/>
          <w:sz w:val="20"/>
          <w:u w:val="single"/>
        </w:rPr>
        <w:t>Schedule III</w:t>
      </w:r>
      <w:r>
        <w:rPr>
          <w:rFonts w:ascii="Times New Roman" w:hAnsi="Times New Roman"/>
          <w:sz w:val="20"/>
        </w:rPr>
        <w:t xml:space="preserve"> hereto, or (ii) at such other locations set forth on </w:t>
      </w:r>
      <w:r>
        <w:rPr>
          <w:rFonts w:ascii="Times New Roman" w:hAnsi="Times New Roman"/>
          <w:sz w:val="20"/>
          <w:u w:val="single"/>
        </w:rPr>
        <w:t>Schedule III</w:t>
      </w:r>
      <w:r>
        <w:rPr>
          <w:rFonts w:ascii="Times New Roman" w:hAnsi="Times New Roman"/>
          <w:sz w:val="20"/>
        </w:rPr>
        <w:t xml:space="preserve"> and with respect to which the Collateral Agent has filed financing statements and otherwise fully perfected its Liens thereon, or (iii) at such other locations in the United States, provided that thirty (30) days prior to any change in the location of any Collateral to such other location, or upon the acquisition of any Collateral to be kept at such other locations, the Grantors shall give the Collateral Agent written notice thereof and deliver to the Collateral Agent a new </w:t>
      </w:r>
      <w:r>
        <w:rPr>
          <w:rFonts w:ascii="Times New Roman" w:hAnsi="Times New Roman"/>
          <w:sz w:val="20"/>
          <w:u w:val="single"/>
        </w:rPr>
        <w:t>Schedule III</w:t>
      </w:r>
      <w:r>
        <w:rPr>
          <w:rFonts w:ascii="Times New Roman" w:hAnsi="Times New Roman"/>
          <w:sz w:val="20"/>
        </w:rPr>
        <w:t xml:space="preserve"> indicating such new locations and such other written statements and schedules as the Collateral Agent may require.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Condition of Equipment</w:t>
      </w:r>
      <w:r>
        <w:rPr>
          <w:rFonts w:ascii="Times New Roman" w:hAnsi="Times New Roman"/>
          <w:sz w:val="20"/>
        </w:rPr>
        <w:t xml:space="preserve">. Each Grantor will maintain or cause to be maintained and preserved in good condition, repair and working order, ordinary wear and tear excepted, the Equipment (necessary or useful to its business) and will forthwith, or in the case of any loss or damage to any Equipment of any Grantor within a commercially reasonable time after the occurrence thereof, make or cause to be made all repairs, replacements and other improvements in connection therewith which are necessary or desirable, consistent with past practice, or which the Collateral Agent may request to such end. Any Grantor will promptly furnish to the Collateral Agent a statement describing in reasonable detail any such loss or damage in excess of $25,000 per occurrence to any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Taxes, Etc</w:t>
      </w:r>
      <w:r>
        <w:rPr>
          <w:rFonts w:ascii="Times New Roman" w:hAnsi="Times New Roman"/>
          <w:sz w:val="20"/>
        </w:rPr>
        <w:t xml:space="preserve">.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Grantor will, at its own expense, maintain insurance (including, without limitation, comprehensive general liability, hazard, rent and business interruption insurance) with respect to its properties (including all real properties leased or owned by it) and business, in such amounts and covering such risks, in such form and with responsible and reputable insurance companies or associations as is required by any Governmental Authority having jurisdiction with respect thereto or as is carried generally in accordance with sound business practice by companies in similar businesses similarly situated and in any event, in amount, adequacy and scope reasonably satisfactory to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requested by the Collateral Agent at any time and from time to time, each such policy for liability insurance shall provide for all losses to be paid on behalf of the Collateral Agent and any Grantor as their respective interests may appear, and each policy for property damage insurance shall provide for all losses to be adjusted with, and paid directly to, the Collateral Agent. In addition to and without limiting the foregoing, to the extent requested by the Collateral Agent at any time and from time to time, each such policy shall in addition (A) name the Collateral Agent as an additional insured party and/or loss payable, as applicable, thereunder (without any representation or warranty by or obligation upon the Collateral Agent) as its interests may appear, (B) contain an agreement by the insurer that any loss thereunder shall be payable to the Collateral Agent on its own account notwithstanding any action, inaction or breach of representation or warranty by any Grantor, (C) provide that there shall be no recourse against the Collateral Agent for payment of premiums or other amounts with respect thereto, and (D) provide that at least thirty (30) days’ prior written notice of cancellation, lapse, expiration or other adverse change and at least ten (10) days’ prior written notice if cancellation is due to nonpayment shall be given to the Collateral Agent by the insurer. Any Grantor will, if so requested by the Collateral Agent, deliver to the Collateral Agent original or duplicate policies of such insurance (including certificates demonstrating compliance with this </w:t>
      </w:r>
      <w:r>
        <w:rPr>
          <w:rFonts w:ascii="Times New Roman" w:hAnsi="Times New Roman"/>
          <w:sz w:val="20"/>
          <w:u w:val="single"/>
        </w:rPr>
        <w:t>Section 6(e)</w:t>
      </w:r>
      <w:r>
        <w:rPr>
          <w:rFonts w:ascii="Times New Roman" w:hAnsi="Times New Roman"/>
          <w:sz w:val="20"/>
        </w:rPr>
        <w:t xml:space="preserve">) and, as often as the Collateral Agent may reasonably request, a report of a reputable insurance broker with respect to such insurance. Any Grantor will also, at the request of the Collateral Agent, execute and deliver instruments of assignment of such insurance policies and cause the respective insurers to acknowledge notice of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(iii) Reimbursement under any liability insurance maintained by any Grantor pursuant to this </w:t>
      </w:r>
      <w:r>
        <w:rPr>
          <w:rFonts w:ascii="Times New Roman" w:hAnsi="Times New Roman"/>
          <w:sz w:val="20"/>
          <w:u w:val="single"/>
        </w:rPr>
        <w:t>Section 6(e)</w:t>
      </w:r>
      <w:r>
        <w:rPr>
          <w:rFonts w:ascii="Times New Roman" w:hAnsi="Times New Roman"/>
          <w:sz w:val="20"/>
        </w:rPr>
        <w:t xml:space="preserve"> may be paid directly to the Person who shall have incurred liability covered by such insurance. In the case of any loss involving damage to Equipment or Inventory, to the extent paragraph (iv) of this </w:t>
      </w:r>
      <w:r>
        <w:rPr>
          <w:rFonts w:ascii="Times New Roman" w:hAnsi="Times New Roman"/>
          <w:sz w:val="20"/>
          <w:u w:val="single"/>
        </w:rPr>
        <w:t>Section 6(e)</w:t>
      </w:r>
      <w:r>
        <w:rPr>
          <w:rFonts w:ascii="Times New Roman" w:hAnsi="Times New Roman"/>
          <w:sz w:val="20"/>
        </w:rPr>
        <w:t xml:space="preserve"> is not applicable, any proceeds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insurance involving such damage shall be paid to the Collateral Agent, and any Grantor will make or cause to be made the necessary repairs to or replacements of such Equipment or Inventory, and any proceeds of insurance maintained by any Grantor pursuant to this </w:t>
      </w:r>
      <w:r>
        <w:rPr>
          <w:rFonts w:ascii="Times New Roman" w:hAnsi="Times New Roman"/>
          <w:sz w:val="20"/>
          <w:u w:val="single"/>
        </w:rPr>
        <w:t>Section 6(e)</w:t>
      </w:r>
      <w:r>
        <w:rPr>
          <w:rFonts w:ascii="Times New Roman" w:hAnsi="Times New Roman"/>
          <w:sz w:val="20"/>
        </w:rPr>
        <w:t xml:space="preserve"> (except as otherwise provided in paragraph (iv) in this </w:t>
      </w:r>
      <w:r>
        <w:rPr>
          <w:rFonts w:ascii="Times New Roman" w:hAnsi="Times New Roman"/>
          <w:sz w:val="20"/>
          <w:u w:val="single"/>
        </w:rPr>
        <w:t>Section 6(e)</w:t>
      </w:r>
      <w:r>
        <w:rPr>
          <w:rFonts w:ascii="Times New Roman" w:hAnsi="Times New Roman"/>
          <w:sz w:val="20"/>
        </w:rPr>
        <w:t xml:space="preserve">) shall be paid by the Collateral Agent to any Grantor as reimbursement for the reasonable costs of such repairs or replacements. </w:t>
      </w:r>
    </w:p>
    <w:p>
      <w:pPr>
        <w:pStyle w:val="TextBody"/>
        <w:bidi w:val="0"/>
        <w:spacing w:before="240" w:after="0"/>
        <w:jc w:val="left"/>
        <w:rPr>
          <w:rFonts w:ascii="Times New Roman" w:hAnsi="Times New Roman"/>
          <w:sz w:val="20"/>
        </w:rPr>
      </w:pPr>
      <w:r>
        <w:rPr>
          <w:rFonts w:ascii="Times New Roman" w:hAnsi="Times New Roman"/>
          <w:sz w:val="20"/>
        </w:rPr>
        <w:t xml:space="preserve">(iv) Notwithstanding anything to the contrary in subsection 6(e)(iii) above, following and during the continuance of an Event of Default, all insurance payments in respect of each Grantor’s properties and business shall be paid to the Collateral Agent and applied as specified in </w:t>
      </w:r>
      <w:r>
        <w:rPr>
          <w:rFonts w:ascii="Times New Roman" w:hAnsi="Times New Roman"/>
          <w:sz w:val="20"/>
          <w:u w:val="single"/>
        </w:rPr>
        <w:t>Section 8(b)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Provisions Concerning Name, Organization, Location, Accounts and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Grantor will (A) give the Collateral Agent at least thirty (30) days’ prior written notice of any change in such Grantor’s name, identity or organizational structure, (B) maintain its jurisdiction of incorporation, organization or formation as set forth in </w:t>
      </w:r>
      <w:r>
        <w:rPr>
          <w:rFonts w:ascii="Times New Roman" w:hAnsi="Times New Roman"/>
          <w:sz w:val="20"/>
          <w:u w:val="single"/>
        </w:rPr>
        <w:t>Schedule I</w:t>
      </w:r>
      <w:r>
        <w:rPr>
          <w:rFonts w:ascii="Times New Roman" w:hAnsi="Times New Roman"/>
          <w:sz w:val="20"/>
        </w:rPr>
        <w:t xml:space="preserve"> hereto, (C) immediately notify the Collateral Agent upon obtaining an organizational identification number, if on the date hereof such Grantor did not have such identification number, and (D) keep adequate records concerning the Collateral and permit representatives of the Collateral Agent during normal business hours on reasonable notice to such Grantor, to inspect and make abstracts from such records. </w:t>
      </w:r>
    </w:p>
    <w:p>
      <w:pPr>
        <w:pStyle w:val="TextBody"/>
        <w:bidi w:val="0"/>
        <w:spacing w:before="240" w:after="0"/>
        <w:jc w:val="left"/>
        <w:rPr>
          <w:rFonts w:ascii="Times New Roman" w:hAnsi="Times New Roman"/>
          <w:sz w:val="20"/>
        </w:rPr>
      </w:pPr>
      <w:r>
        <w:rPr>
          <w:rFonts w:ascii="Times New Roman" w:hAnsi="Times New Roman"/>
          <w:sz w:val="20"/>
        </w:rPr>
        <w:t xml:space="preserve">(ii) Each Grantor will (except as otherwise provided in this subsection (f)), continue to collect, at its own expense, all amounts due or to become due under the Accounts. In connection with such collections, any Grantor may (and, at the Collateral Agent’s direction, will) take such action as any Grantor or the Collateral Agent may deem necessary or advisable to enforce collection or performance of the Accounts;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Collateral Agent shall have the right at any time following the occurrence and during the continuance of an Event of Default to notify the Account Debtors or obligors under any Accounts of the assignment of such Accounts to the Collateral Agent and to direct such Account Debtors or obligors to make payment of all amounts due or to become due to any Grantor thereunder directly to the Collateral Agent or its designated agent and, upon such notification and at the expense of any Grantor and to the extent permitted by applicable law, to enforce collection of any such Accounts and to adjust, settle or compromise the amount or payment thereof, in the same manner and to the same extent as any Grantor might have done. After receipt by any Grantor of a notice from the Collateral Agent that the Collateral Agent has notified, intends to notify, or has enforced or intends to enforce any Grantor’s rights against the Account Debtors or obligors under any Accounts as referred to in the proviso to the immediately preceding sentence, (A) all amounts and proceeds (including, without limitation, Instruments) received by any Grantor in respect of the Accounts shall be received in trust for the benefit of the Collateral Agent hereunder (for the ratable benefit of the Collateral Agent and the Noteholders), shall be segregated from other funds of any Grantor and shall be forthwith paid over to the Collateral Agent in the same form as so received (with any necessary endorsement) to be applied as specified in </w:t>
      </w:r>
      <w:r>
        <w:rPr>
          <w:rFonts w:ascii="Times New Roman" w:hAnsi="Times New Roman"/>
          <w:sz w:val="20"/>
          <w:u w:val="single"/>
        </w:rPr>
        <w:t>Section 8(b)</w:t>
      </w:r>
      <w:r>
        <w:rPr>
          <w:rFonts w:ascii="Times New Roman" w:hAnsi="Times New Roman"/>
          <w:sz w:val="20"/>
        </w:rPr>
        <w:t xml:space="preserve"> hereof, and (B) no Grantor will adjust, settle or compromise the amount or payment of any Account or release wholly or partly any Account Debtor or obligor thereof or allow any credit or discount thereon. In addition, upon the occurrence and during the continuance of an Event of Default,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may (in its sole and absolute discretion) direct any or all of the banks and financial institutions with which any Grantor either maintains a Deposit Account or a lockbox (including, without limitation, any Controlled Account) or deposits the proceeds of any Accounts to send immediately to the Collateral Agent by wire transfer (to such deposit account as the Collateral Agent shall specify, or in such other manner as the Collateral Agent shall direct) all or a portion of such Securities, cash, investments and other items held by such institution. Any such Securities, cash, investments and other items so received by the Collateral Agent shall be applied as specified in accordance with </w:t>
      </w:r>
      <w:r>
        <w:rPr>
          <w:rFonts w:ascii="Times New Roman" w:hAnsi="Times New Roman"/>
          <w:sz w:val="20"/>
          <w:u w:val="single"/>
        </w:rPr>
        <w:t>Section 8(b)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(iii) Upon the occurrence and during the continuance of any breach or default under any material License referred to in </w:t>
      </w:r>
      <w:r>
        <w:rPr>
          <w:rFonts w:ascii="Times New Roman" w:hAnsi="Times New Roman"/>
          <w:sz w:val="20"/>
          <w:u w:val="single"/>
        </w:rPr>
        <w:t>Schedule II</w:t>
      </w:r>
      <w:r>
        <w:rPr>
          <w:rFonts w:ascii="Times New Roman" w:hAnsi="Times New Roman"/>
          <w:sz w:val="20"/>
        </w:rPr>
        <w:t xml:space="preserve"> hereto by any party thereto other than any Grantor, each Grantor party thereto will, promptly after obtaining knowledge thereof, give the Collateral Agent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 </w:t>
      </w:r>
    </w:p>
    <w:p>
      <w:pPr>
        <w:pStyle w:val="TextBody"/>
        <w:bidi w:val="0"/>
        <w:spacing w:before="240" w:after="0"/>
        <w:jc w:val="left"/>
        <w:rPr>
          <w:rFonts w:ascii="Times New Roman" w:hAnsi="Times New Roman"/>
          <w:sz w:val="20"/>
        </w:rPr>
      </w:pPr>
      <w:r>
        <w:rPr>
          <w:rFonts w:ascii="Times New Roman" w:hAnsi="Times New Roman"/>
          <w:sz w:val="20"/>
        </w:rPr>
        <w:t xml:space="preserve">(iv) Each Grantor will, at its expense, promptly deliver to the Collateral Agent a copy of each notice or other communication received by it by which any other party to any material License referred to in </w:t>
      </w:r>
      <w:r>
        <w:rPr>
          <w:rFonts w:ascii="Times New Roman" w:hAnsi="Times New Roman"/>
          <w:sz w:val="20"/>
          <w:u w:val="single"/>
        </w:rPr>
        <w:t>Schedule II</w:t>
      </w:r>
      <w:r>
        <w:rPr>
          <w:rFonts w:ascii="Times New Roman" w:hAnsi="Times New Roman"/>
          <w:sz w:val="20"/>
        </w:rPr>
        <w:t xml:space="preserve"> hereto purports to exercise any of its rights or affect any of its obligations thereunder, together with a copy of any reply by such Grantor thereto. </w:t>
      </w:r>
    </w:p>
    <w:p>
      <w:pPr>
        <w:pStyle w:val="TextBody"/>
        <w:bidi w:val="0"/>
        <w:spacing w:before="240" w:after="0"/>
        <w:jc w:val="left"/>
        <w:rPr>
          <w:rFonts w:ascii="Times New Roman" w:hAnsi="Times New Roman"/>
          <w:sz w:val="20"/>
        </w:rPr>
      </w:pPr>
      <w:r>
        <w:rPr>
          <w:rFonts w:ascii="Times New Roman" w:hAnsi="Times New Roman"/>
          <w:sz w:val="20"/>
        </w:rPr>
        <w:t xml:space="preserve">(v) 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necessary or reasonable to maintain such Licenses in full force and effect. No Grantor will, without the prior written consent of the Collateral Agent (in its sole and absolute discretion), cancel, terminate, amend or otherwise modify in any respect, or waive any provision of, any material License referred to in </w:t>
      </w:r>
      <w:r>
        <w:rPr>
          <w:rFonts w:ascii="Times New Roman" w:hAnsi="Times New Roman"/>
          <w:sz w:val="20"/>
          <w:u w:val="single"/>
        </w:rPr>
        <w:t>Schedule II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Transfers and Other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as otherwise expressly permitted in the other Transaction Documents, no Grantor shall, directly or indirectly, sell, lease, license, assign, transfer, spin-off, split-off, close, convey or otherwise dispose of any Collateral whether in a single transaction or a series of related transactions, other than (A) sales, leases, non-exclusive licenses, assignments, transfers, conveyances and other dispositions of such assets or rights by such Grantor for fair value in the ordinary course of business consistent with past practices and (B) sales of Inventory and product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Except as expressly provided in the Notes, no Grantor shall, directly or indirectly, redeem, repurchase or declare or pay any cash dividend or distribution on any of its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Grantor shall, directly or indirectly, without the prior written consent of the Required Holders, (A) issue any Notes (other than as contemplated by the Securities Purchase Agreement and the Notes) or (B) issue any other Securities that would cause a breach or default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(iv) No Grantor shall enter into, renew, extend or be a party to, any transaction or series of related transactions (including, without limitation, the purchase, sale, lease, transfer or exchange of property or assets of any kind or the rendering of services of any kind) with any Affiliate, except in the ordinary course of business in a manner and to an extent consistent with past practice and necessary or desirable for the prudent operation of its business, for fair consideration and on terms no less favorable to it than would be obtainable in a comparable arm’s length transaction with a Person that is not an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(v) No Grantor will create, suffer to exist or grant any Lien upon or with respect to any Collateral other than a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applicable, each Grantor shall duly execute and deliver the applicable Intellectual Property Security Agreement. Each Grantor (either itself or through licensees) will, and will cause each licensee thereof to, take all action necessary to maintain all of the Intellectual Property in full force and effect, including, without limitation, using the proper statutory notices, numbers and markings (relating to patent, trademark and copyright rights), and using the Trademarks on each applicable trademark class of goods in order to so maintain the Trademarks in full force and free from any claim of abandonment for non-use, and each Grantor will not (nor permit any licensee thereof to) do any act or knowingly omit to do any act whereby any Intellectual Property may become abandoned, cancelled or invalidated;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no Event of Default has occurred and is continuing, no Grantor shall have an obligation to use or to maintain any Intellectual Property (A) that relates solely to any product or work that is no longer necessary or material and has been, or is in the process of being, discontinued, abandoned or terminated in the ordinary course of business and consistent with the exercise of reasonable business judgment,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and does not have a Material Adverse Effect on the business of any Grantor, or (C) that is substantially the same as other Intellectual Property that is in full force, so long as the failure to use or maintain such Intellectual Property does not materially or adversely affect the validity of such replacement Intellectual Property and so long as such other Intellectual Property is subject to the Lien and security interest created by this Agreement and does not have a Material Adverse Effect on the business of any Grantor.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and application for registration of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charges or fees. If any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Property (other than Intellectual Property described in the proviso to the second sentence of subsection (i) of this clause (h)) is infringed, misappropriated, diluted or otherwise violated in any material respect by a third party, each Grantor shall (x) upon learning of such infringement, misappropriation, dilution or other violation, promptly (and in any event within ten (10) Business Days) notify the Collateral Agent in writing and (y)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provided that no Grantor shall settle, compromise, or otherwise resolve any material Intellectual Property litigation or dispute involving Intellectual Property without the prior written consent of the Collateral Agent (not to be unreasonably withheld, conditioned or delayed). Each Grantor shall furnish to the Collateral Agent from time to time upon its request statements and schedules further identifying and describing the Intellectual Property and Licenses and such other reports in connection with the Intellectual Property and Licenses as the Collateral Agent may reasonably request, all in reasonable detail and promptly upon request of the Collateral Agent, following receipt by the Collateral Agent of any such statements, schedules or reports, each Grantor shall modify this Agreement by amending </w:t>
      </w:r>
      <w:r>
        <w:rPr>
          <w:rFonts w:ascii="Times New Roman" w:hAnsi="Times New Roman"/>
          <w:sz w:val="20"/>
          <w:u w:val="single"/>
        </w:rPr>
        <w:t>Schedule II</w:t>
      </w:r>
      <w:r>
        <w:rPr>
          <w:rFonts w:ascii="Times New Roman" w:hAnsi="Times New Roman"/>
          <w:sz w:val="20"/>
        </w:rPr>
        <w:t xml:space="preserve"> hereto, as the case may be, to include any Intellectual Property and License, as the case may be, which is or hereafter becomes part of the Collateral under this Agreement and shall execute and authenticate such documents and do such acts as shall be necessary or, in the reasonable judgment of the Collateral Agent, desirable to subject such Intellectual Property and Licenses to the Lien and security interest created by this Agreement. Notwithstanding anything herein to the contrary, upon the occurrence and during the continuance of an Event of Default, no Grantor may abandon, surrender or cancel or otherwise permit any Intellectual Property to become abandoned, surrendered, cancelled or invalid without the prior written consent of the Collateral Agent (in its sole and absolute discretion), and if any Intellectual Property is infringed, misappropriated, diluted or otherwise violated in any material respect by a third party, each Grantor will take such reasonable action as the Collateral Agent shall deem appropriate under the circumstances to protect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(ii) In no event shall any Grantor, either itself or through any agent, employee, licensee or designee, file an application for the registration of any Patent, Trademark or Copyright with the United States Copyright Office or the United States Patent and Trademark Office, as applicable, or in any similar office or agency of the United States or any country or any political subdivision thereof unless it gives the Collateral Agent prior written notice thereof. Each Grantor shall provide the Collateral Agent with written notice within fifteen (15) days following the filing of any such application. Upon request of the Collateral Agent, any Grantor shall execute, authenticate and deliver any and all assignments, agreements, instruments, documents and papers as the Collateral Agent may reasonably request to evidence the Collateral Agent’s security interest hereunder in such Intellectual Property (including execution and delivery of supplemental Intellectual Property Security Agreements for perfecting the Collateral Agent’s interest therein) and the General Intangibles of any Grantor relating thereto or represented thereby, and each Grantor hereby appoints the Collateral Agent its attorney-in-fact to execute and/or authenticate and file all such writings for the foregoing purposes, all acts of such attorney being hereby ratified and confirmed, and such power (being coupled with an interest) shall be irrevocable until all Obligations are fully performed and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Each Grantor represents, warrants, and covenants that it has not, and shall not during the term of this Agreement, grant to any Person any exclusive license or other exclusive right to use, manufacture, sell, distribute, or otherwise exploit any Intellectual Property, or enter into any agreement that, in each case, would limit or restrict the ability of the Collateral Agent to exercise its rights hereunder with respect to any Intellectual Property, without the prior written consent of the Collateral Agent. Any purported grant of such exclusive rights without such consent shall be void and of no force or effect as against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Pledged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Within thirty (30) calendar days of the Initial Closing Date (the “</w:t>
      </w:r>
      <w:r>
        <w:rPr>
          <w:rFonts w:ascii="Times New Roman" w:hAnsi="Times New Roman"/>
          <w:b/>
          <w:sz w:val="20"/>
        </w:rPr>
        <w:t>Post-Closing Period</w:t>
      </w:r>
      <w:r>
        <w:rPr>
          <w:rFonts w:ascii="Times New Roman" w:hAnsi="Times New Roman"/>
          <w:sz w:val="20"/>
        </w:rPr>
        <w:t>”), each Grantor shall cause each bank and other financial institution which maintains a Controlled Account (each a “</w:t>
      </w:r>
      <w:r>
        <w:rPr>
          <w:rFonts w:ascii="Times New Roman" w:hAnsi="Times New Roman"/>
          <w:b/>
          <w:sz w:val="20"/>
        </w:rPr>
        <w:t>Controlled Account Bank</w:t>
      </w:r>
      <w:r>
        <w:rPr>
          <w:rFonts w:ascii="Times New Roman" w:hAnsi="Times New Roman"/>
          <w:sz w:val="20"/>
        </w:rPr>
        <w:t xml:space="preserve">”) to execute and deliver to the Collateral Agent, in form and substance satisfactory to the Collateral Agent, a Controlled Account Agreement with respect to such Controlled Account, duly executed by each Grantor and such Controlled Account Bank, pursuant to which such Controlled Account Bank among other things shall irrevocably agree, with respect to such Controlled Account, that (i) at any time after any Grantor, the Collateral Agent or any Buyer shall have notified such Controlled Account Bank that an Event of Default has occurred or is continuing, such Controlled Account Bank will comply with any and all instructions originated by the Collateral Agent directing the disposition of the funds in such Controlled Account without further consent by such Grantor, (ii) such Controlled Account Bank shall waive, subordinate or agree not to exercise any rights of setoff or recoupment or any other claim against the applicable Controlled Account other than for payment of its service fees and other charges directly related to the administration of such Controlled Account and for returned checks or other items of payment, (iii) at any time after any Grantor, the Collateral Agent or any Buyer shall have notified such Controlled Account Bank that an Event of Default has occurred or is continuing, with respect to each such Controlled Account, such Controlled Account Bank shall not comply with any instructions, directions or orders of any form with respect to such Controlled Accounts other than instructions, directions or orders originated by the Collateral Agent, (iv) all funds deposited by any Grantor with such Controlled Account Bank shall, be subject to a perfected, first priority security interest in favor of the Collateral Agent, subject to the Permitted Liens and the proviso in the penultimate sentence of Section 5(k), and (v) upon receipt of written notice from the Collateral Agent during the continuance of an Event of Default, such Controlled Account Bank shall immediately send to the Collateral Agent by wire transfer (to such account as the Collateral Agent shall specify, or in such other manner as the Collateral Agent shall direct) all such funds and other items held by it. No Grantor shall create or maintain any Pledged Account without the prior written consent of the Collateral Agent (in its sole and absolute discretion) and complying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after the date of this Agreement (but subject to the Post-Closing Period), the average daily balance of any Account that is not subject to a Controlled Account Agreement exceeds $10,000 during any calendar month (including the calendar month in which the date of this Agreement occurs), the Company shall, either (x) within two (2) Business Days following such date, transfer to a Controlled Account an amount sufficient to reduce the average daily balance of such Account to an amount not in excess of $10,000 or (y) within twenty-one (21) calendar days following the last day of such calendar month, deliver to the Collateral Agent a Controlled Account Agreement with respect to such Account, duly executed by such Grantor and the depositary bank in which such Account is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6(i)(B)</w:t>
      </w:r>
      <w:r>
        <w:rPr>
          <w:rFonts w:ascii="Times New Roman" w:hAnsi="Times New Roman"/>
          <w:sz w:val="20"/>
        </w:rPr>
        <w:t xml:space="preserve"> above, and without limiting any of the foregoing, if at any time on or after the date that is twenty-one (21) calendar days following the Initial Closing Date, the total aggregate amount of the cash of the Company and any of its Subsidiaries, in the aggregate, that is not held in a Controlled Account exceeds $100,000 (the “</w:t>
      </w:r>
      <w:r>
        <w:rPr>
          <w:rFonts w:ascii="Times New Roman" w:hAnsi="Times New Roman"/>
          <w:b/>
          <w:sz w:val="20"/>
        </w:rPr>
        <w:t>Maximum Free Cash Amount</w:t>
      </w:r>
      <w:r>
        <w:rPr>
          <w:rFonts w:ascii="Times New Roman" w:hAnsi="Times New Roman"/>
          <w:sz w:val="20"/>
        </w:rPr>
        <w:t xml:space="preserve">”), the Company shall within two (2) Business Days following such date, either (x) transfer to a Controlled Account an amount sufficient to reduce the total aggregate amount of the cash that is not held in a Controlled Account to an amount not in excess of the Maximum Free Cash Amount or (y) deliver to the Collateral Agent a Controlled Account Agreement with respect to such Account (or Accounts), duly executed by such Grantor and the depositary bank in which such Account (or Accounts) is maintained, as necessary to reduce the total aggregate amount of the cash that is not held in a Controlled Account to an amount not in excess of the Maximum Free Cash Amount.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Motor Vehicles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Upon the Collateral Agent’s written request, each Grantor shall deliver to the Collateral Agent originals of the certificates of title or ownership for each motor vehicle with a value in excess of $10,000 owned by it, with the Collateral Agent listed as lienholder, for the ratable benefit of the Collateral Agent and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(ii) Each Grantor hereby appoints the Collateral Agent as its attorney-in-fact for the purpose of (A) executing on behalf of such Grantor title or ownership applications for filing with appropriate Governmental Authorities to enable motor vehicles now owned or hereafter acquired by such Grantor to be retitled and the Collateral Agent listed as lienholder thereof, (B) filing such applications with such Governmental Authorities, and (C) executing such other agreements, documents and instruments on behalf of, and taking such other action in the name of, such Grantor as the Collateral Agent may deem necessary or advisable to accomplish the purposes hereof (including, without limitation, for the purpose of creating in favor of the Collateral Agent a perfected Lien on the motor vehicles and exercising the rights and remedies of the Collateral Agent hereunder). This appointment as attorney-in-fact is coupled with an interest and is irrevocable until all of the Obligations are fully performed and Paid in Full. </w:t>
      </w:r>
    </w:p>
    <w:p>
      <w:pPr>
        <w:pStyle w:val="TextBody"/>
        <w:bidi w:val="0"/>
        <w:spacing w:before="240" w:after="0"/>
        <w:jc w:val="left"/>
        <w:rPr>
          <w:rFonts w:ascii="Times New Roman" w:hAnsi="Times New Roman"/>
          <w:sz w:val="20"/>
        </w:rPr>
      </w:pPr>
      <w:r>
        <w:rPr>
          <w:rFonts w:ascii="Times New Roman" w:hAnsi="Times New Roman"/>
          <w:sz w:val="20"/>
        </w:rPr>
        <w:t xml:space="preserve">(iii) Any certificates of title or ownership delivered pursuant to the terms hereof shall be accompanied by accurate odometer statements for each motor vehicle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(iv) So long as no Event of Default shall have occurred and be continuing, upon the request of any Grantor, the Collateral Agent shall execute and deliver to any Grantor such instruments as such Grantor shall reasonably request in writing to remove the notation of the Collateral Agent as lienholder on any certificate of title for any motor vehicle;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instruments shall be delivered, and the release effective, only upon receipt by the Collateral Agent of a certificate from any Grantor stating that such motor vehicle is to be sold or has suffered a casualty loss (with title thereto in such case passing to the casualty insurance company therefor in settlement of the claim for such loss) and the amount that any Grantor will receive as sale proceeds or insurance proceeds. Any proceeds of such sale or casualty loss shall be paid to the Collateral Agent hereunder immediately upon receipt, to be applied to the Obligations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Control</w:t>
      </w:r>
      <w:r>
        <w:rPr>
          <w:rFonts w:ascii="Times New Roman" w:hAnsi="Times New Roman"/>
          <w:sz w:val="20"/>
        </w:rPr>
        <w:t xml:space="preserve">. Each Grantor hereby agrees to take any or all action that may be necessary or that the Collateral Agent may reasonably request in order for the Collateral Agent to obtain “control” in accordance with Sections 9-105 through 9-107 of the Code with respect to the following Collateral: (i) Electronic Chattel Paper, (ii) Investment Property, and (iii) Letter-of-Credit Rights.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Inspection and Reporting</w:t>
      </w:r>
      <w:r>
        <w:rPr>
          <w:rFonts w:ascii="Times New Roman" w:hAnsi="Times New Roman"/>
          <w:sz w:val="20"/>
        </w:rPr>
        <w:t xml:space="preserve">. Each Grantor shall permit the Collateral Agent, or any agent or representatives thereof or such attorneys, accountant or other professionals or other Persons as the Collateral Agent may designate (at Grantors’ sole cost and expense) (i) to examine and make copies of and abstracts from any Grantor’s Records and books of account, (ii) to visit and inspect its properties, (iii) to verify materials, leases, Instruments, Accounts, Inventory and other assets of any Grantor from time to time, and (iv) to conduct audits, physical counts, appraisals, valuations and/or examinations at the locations of any Grantor. Each Grantor shall also permit the Collateral Agent, or any agent or representatives thereof or such attorneys, accountants or other professionals or other Persons as the Collateral Agent may designate to discuss such Grantor’s affairs, finances and accounts with any of its directors, officers, managerial employees, attorneys, independent accountants or any of its other representatives. Without limiting the foregoing, the Collateral Agent may, at any time, in the Collateral Agent’s own name, in the name of a nominee of the Collateral Agent, or in the name of any Grantor communicate (by mail, telephone, facsimile or otherwise) with the Account Debtors of such Grantor, parties to contracts with such Grantor and/or obligors in respect of Instruments or Pledged Debt of such Grantor to verify with such Persons, to the Collateral Agent’s satisfaction, the existence, amount, terms of, and any other matter relating to, Accounts, Instruments, Pledged Debt, Chattel Paper, payment intangibles and/or other receivables.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Future Subsidiaries</w:t>
      </w:r>
      <w:r>
        <w:rPr>
          <w:rFonts w:ascii="Times New Roman" w:hAnsi="Times New Roman"/>
          <w:sz w:val="20"/>
        </w:rPr>
        <w:t xml:space="preserve">. If any Grantor hereafter creates or acquires any Subsidiary, simultaneously with the creation or acquisition of such Subsidiary, such Grantor shall (i) if such Subsidiary is a Domestic Subsidiary, cause such Subsidiary to become a party to this Agreement as an additional “Grantor” hereunder, (ii) deliver to the Collateral Agent updated Schedules to this Agreement, as appropriate (including, without limitation, an updated </w:t>
      </w:r>
      <w:r>
        <w:rPr>
          <w:rFonts w:ascii="Times New Roman" w:hAnsi="Times New Roman"/>
          <w:sz w:val="20"/>
          <w:u w:val="single"/>
        </w:rPr>
        <w:t>Schedule IV</w:t>
      </w:r>
      <w:r>
        <w:rPr>
          <w:rFonts w:ascii="Times New Roman" w:hAnsi="Times New Roman"/>
          <w:sz w:val="20"/>
        </w:rPr>
        <w:t xml:space="preserve"> to reflect the grant by such Grantor of a Lien on and security interest in all Pledged Debt and Pledged Equity now or hereafter owned by such Grantor), (iii) if such Subsidiary is a Domestic Subsidiary, cause such Subsidiary to duly execute and deliver a guaranty of the Obligations in favor of the Collateral Agent in form and substance acceptable to the Collateral Agent, (iv) deliver to the Collateral Agent the stock certificates representing all of the Capital Stock of such Subsidiary, along with undated stock powers for each such certificates, executed in blank (or, if any such shares of Capital Stock are uncertificated, confirmation and evidence reasonably satisfactory to the Collateral Agent that the security interest in such uncertificated securities has been transferred to and perfected by the Collateral Agent, in accordance with Section 8-106 of the Code or any other similar or local or foreign law that may be applicable), and (v) duly execute and/or cause to be delivered to the Collateral Agent, in form and substance acceptable to the Collateral Agent, such opinions of counsel and other documents as the Collateral Agent shall request with respect thereto; provided, however, that no Grantor shall be required to pledge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Excluded Collateral. Each Grantor hereby authorizes the Collateral Agent to attach such updated Schedules to this Agreement and agrees that all Pledged Equity and Pledged Debt listed on any updated Schedule delivered to the Collateral Agent shall for all purposes hereunder be considered Collateral. The Grantors agree that the pledge of the shares of Capital Stock acquired by a Grantor of Foreign Subsidiary may be supplemented by one or more separate pledge agreements, deeds of pledge, share charges, or other similar agreements or instruments, executed and delivered by the relevant Grantor in favor of the Collateral Agent, which pledge agreements will provide for the pledge of such shares of Capital Stock in accordance with the laws of the applicable foreign jurisdiction. With respect to such shares of Capital Stock, the Collateral Agent may, at any time and from time to time, in its sole discretion, take actions in such foreign jurisdictions that will result in the perfection of the Lien created in such shares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Certain Post-Closing Matters.</w:t>
      </w:r>
      <w:r>
        <w:rPr>
          <w:rFonts w:ascii="Times New Roman" w:hAnsi="Times New Roman"/>
          <w:sz w:val="20"/>
        </w:rPr>
        <w:t xml:space="preserve"> On or before the applicable date set forth on </w:t>
      </w:r>
      <w:r>
        <w:rPr>
          <w:rFonts w:ascii="Times New Roman" w:hAnsi="Times New Roman"/>
          <w:sz w:val="20"/>
          <w:u w:val="single"/>
        </w:rPr>
        <w:t>Schedule VIII</w:t>
      </w:r>
      <w:r>
        <w:rPr>
          <w:rFonts w:ascii="Times New Roman" w:hAnsi="Times New Roman"/>
          <w:sz w:val="20"/>
        </w:rPr>
        <w:t xml:space="preserve"> for each action described therein, or such later date agreed to in writing by the Collateral Agent (including via email) in its sole discretion, take, or cause to be taken, each action specified and deliver each required agreement or document, as applicable. The failure to have taken such actions or deliver such agreements or documents by the date set forth on </w:t>
      </w:r>
      <w:r>
        <w:rPr>
          <w:rFonts w:ascii="Times New Roman" w:hAnsi="Times New Roman"/>
          <w:sz w:val="20"/>
          <w:u w:val="single"/>
        </w:rPr>
        <w:t>Schedule VIII</w:t>
      </w:r>
      <w:r>
        <w:rPr>
          <w:rFonts w:ascii="Times New Roman" w:hAnsi="Times New Roman"/>
          <w:sz w:val="20"/>
        </w:rPr>
        <w:t xml:space="preserve"> (as such date may be extended in the Collateral Agent’s sole discretion as provided herein) shall be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Additional Provisions Concerning 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maximum extent permitted by applicable law, and for the purpose of taking any action that the Collateral Agent may deem necessary or advisable to accomplish the purposes of this Agreement, each Grantor hereby (i) authorizes the Collateral Agent to execute any such agreements, instruments or other documents in such Grantor’s name and to file such agreements, instruments or other documents in such Grantor’s name and in any appropriate filing office, (ii) authorizes the Collateral Agent at any time and from time to time to file, one or more financing or continuation statements, and amendments thereto, relating to the Collateral (including, without limitation, any such financing statements that (A) describe the Collateral as “all assets” or “all personal property” (or words of similar effect) or that describe or identify the Collateral by type or in any other manner as the Collateral Agent may determine regardless of whether any particular asset of such Grantor falls within the scope of Article 9 of the Code or whether any particular asset of such Grantor constitutes part of the Collateral, and (B) contain any other information required by Part 5 of Article 9 of the Code for the sufficiency or filing office acceptance of any financing statement, continuation statement or amendment, including, without limitation, whether such Grantor is an organization, the type of organization and any organizational identification number issued to such Grantor) and (iii) ratifies such authorization to the extent that the Collateral Agent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Grantor hereby irrevocably appoints the Collateral Agent as its attorney-in-fact and proxy, with full authority in the place and stead of such Grantor and in the name of such Grantor or otherwise, from time to time in the Collateral Agent’s discretion, to take any action and to execute any instrument which the Collateral Agent may deem necessary or advisable to accomplish the purposes of this Agreement, including, without limitation, (i) to obtain and adjust insurance required to be paid to the Collateral Agent pursuant to </w:t>
      </w:r>
      <w:r>
        <w:rPr>
          <w:rFonts w:ascii="Times New Roman" w:hAnsi="Times New Roman"/>
          <w:sz w:val="20"/>
          <w:u w:val="single"/>
        </w:rPr>
        <w:t>Section 6(e)</w:t>
      </w:r>
      <w:r>
        <w:rPr>
          <w:rFonts w:ascii="Times New Roman" w:hAnsi="Times New Roman"/>
          <w:sz w:val="20"/>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action, suit or proceedings which the Collateral Agent may deem necessary or desirable for the collection of any Collateral or otherwise to enforce the rights of the Collateral Agent and the Noteholders with respect to any Collateral, (v) to execute assignments, licenses and other documents to enforce the rights of the Collateral Agent and the Noteholders with respect to any Collateral, and (vi) to verify any and all information with respect to any and all Accounts. This power is coupled with an interest and is irrevocable until all of the Obligations are fully performed and Paid in Full. </w:t>
      </w:r>
    </w:p>
    <w:p>
      <w:pPr>
        <w:pStyle w:val="TextBody"/>
        <w:bidi w:val="0"/>
        <w:spacing w:before="240" w:after="0"/>
        <w:jc w:val="left"/>
        <w:rPr>
          <w:rFonts w:ascii="Times New Roman" w:hAnsi="Times New Roman"/>
          <w:sz w:val="20"/>
        </w:rPr>
      </w:pPr>
      <w:r>
        <w:rPr>
          <w:rFonts w:ascii="Times New Roman" w:hAnsi="Times New Roman"/>
          <w:sz w:val="20"/>
        </w:rPr>
        <w:t xml:space="preserve">(c) For the purpose of enabling the Collateral Agent to exercise rights and remedies hereunder, at such time as the Collateral Agent shall be lawfully entitled to exercise such rights and remedies, and for no other purpose, each Grantor hereby grants to the Collateral Agent, to the extent assignable, an irrevocable non-exclusive license (exercisable without payment of royalty or other compensation to any Grantor) to use, assign, license or sublicense any Intellectual Property in which such Grantor now or hereafter has any right, title or interest, wherever the same may be located, including, without limitation, in such license reasonable access to all media in which any of the licensed items may be recorded or stored and to all computer programs used for the compilation or printout thereof. Notwithstanding anything contained herein to the contrary, but subject to the provisions of the Securities Purchase Agreement that limit the right of any Grantor to dispose of its property, and </w:t>
      </w:r>
      <w:r>
        <w:rPr>
          <w:rFonts w:ascii="Times New Roman" w:hAnsi="Times New Roman"/>
          <w:sz w:val="20"/>
          <w:u w:val="single"/>
        </w:rPr>
        <w:t>Section 6(g)</w:t>
      </w:r>
      <w:r>
        <w:rPr>
          <w:rFonts w:ascii="Times New Roman" w:hAnsi="Times New Roman"/>
          <w:sz w:val="20"/>
        </w:rPr>
        <w:t xml:space="preserve"> and </w:t>
      </w:r>
      <w:r>
        <w:rPr>
          <w:rFonts w:ascii="Times New Roman" w:hAnsi="Times New Roman"/>
          <w:sz w:val="20"/>
          <w:u w:val="single"/>
        </w:rPr>
        <w:t>Section 6(h)</w:t>
      </w:r>
      <w:r>
        <w:rPr>
          <w:rFonts w:ascii="Times New Roman" w:hAnsi="Times New Roman"/>
          <w:sz w:val="20"/>
        </w:rPr>
        <w:t xml:space="preserve"> hereof, so long as no Event of Default shall have occurred and be continuing, any Grantor may exploit, use, enjoy, protect, license, sublicense, assign, sell, dispose of or take other actions with respect to the Intellectual Property in the ordinary course of its business and as otherwise expressly permitted by any of the other Transaction Documents, provided that no such action shall impair the Lien of the Collateral Agent in such Intellectual Property. In furtherance of the foregoing, unless an Event of Default shall have occurred and be continuing, the Collateral Agent shall from time to time, upon the request of any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full performance and Payment in Full of all of the Obligations, the Collateral Agent (subject to </w:t>
      </w:r>
      <w:r>
        <w:rPr>
          <w:rFonts w:ascii="Times New Roman" w:hAnsi="Times New Roman"/>
          <w:sz w:val="20"/>
          <w:u w:val="single"/>
        </w:rPr>
        <w:t>Section 11(e)</w:t>
      </w:r>
      <w:r>
        <w:rPr>
          <w:rFonts w:ascii="Times New Roman" w:hAnsi="Times New Roman"/>
          <w:sz w:val="20"/>
        </w:rPr>
        <w:t xml:space="preserve"> hereof) shall release and reassign to any Grantor all of the Collateral Agent’s right, title and interest in and to the Intellectual Property, and the Licenses, all without recourse, representation or warranty whatsoever. The exercise of rights and remedies hereunder by the Collateral Agent shall not terminate the rights of the holders of any licenses or sublicenses theretofore granted by each Grantor in accordance with the second sentence of this clause (c). Each Grantor hereby releases the Collateral Agent from any claims, causes of action and demands at any time arising out of or with respect to any actions taken or omitted to be taken by the Collateral Agent under the powers of attorney granted herein other than actions taken or omitted to be taken through the Collateral Agent’s gross negligence or willful misconduct, as determined by a final judgment of a court of competent jurisdiction no longer subject to appeal.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Grantor fails to perform any agreement or obligation contained herein, the Collateral Agent may itself perform, or cause performance of, such agreement or obligation, in the name of such Grantor or the Collateral Agent, and the expenses of the Collateral Agent incurred in connection therewith shall be payable by such Grantor pursuant to </w:t>
      </w:r>
      <w:r>
        <w:rPr>
          <w:rFonts w:ascii="Times New Roman" w:hAnsi="Times New Roman"/>
          <w:sz w:val="20"/>
          <w:u w:val="single"/>
        </w:rPr>
        <w:t>Section 9</w:t>
      </w:r>
      <w:r>
        <w:rPr>
          <w:rFonts w:ascii="Times New Roman" w:hAnsi="Times New Roman"/>
          <w:sz w:val="20"/>
        </w:rPr>
        <w:t xml:space="preserve"> hereof and such obligation shall be secured by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(e) The powers conferred on the Collateral Agent hereunder are solely to protect its interest in the Collateral and shall not impose any duty upon it to exercise any such powers. Except for the safe custody of any Collateral in its possession and the accounting for moneys actually received by it hereunder, the Collateral Agent shall have no duty as to any Collateral or as to the taking of any necessary steps to preserve rights against prior parties or any other rights pertaining to any Collateral. </w:t>
      </w:r>
    </w:p>
    <w:p>
      <w:pPr>
        <w:pStyle w:val="TextBody"/>
        <w:bidi w:val="0"/>
        <w:spacing w:before="240" w:after="0"/>
        <w:jc w:val="left"/>
        <w:rPr>
          <w:rFonts w:ascii="Times New Roman" w:hAnsi="Times New Roman"/>
          <w:sz w:val="20"/>
        </w:rPr>
      </w:pPr>
      <w:r>
        <w:rPr>
          <w:rFonts w:ascii="Times New Roman" w:hAnsi="Times New Roman"/>
          <w:sz w:val="20"/>
        </w:rPr>
        <w:t xml:space="preserve">(f) 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Collateral Agent of any of its rights or remedies hereunder shall not release any Grantor from any of its obligations under the Licenses or otherwise in respect of the Collateral, and (iii) the Collateral Agent shall not have any obligation or liability by reason of this Agreement under the Licenses or with respect to any of the other Collateral, nor shall the Collateral Agent be obligated to perform any of the obligations or duties of any Grantor thereunder or to take any action to collect or enforce any claim for payment assigned hereunder. </w:t>
      </w:r>
    </w:p>
    <w:p>
      <w:pPr>
        <w:pStyle w:val="TextBody"/>
        <w:bidi w:val="0"/>
        <w:spacing w:before="240" w:after="0"/>
        <w:jc w:val="left"/>
        <w:rPr>
          <w:rFonts w:ascii="Times New Roman" w:hAnsi="Times New Roman"/>
          <w:sz w:val="20"/>
        </w:rPr>
      </w:pPr>
      <w:r>
        <w:rPr>
          <w:rFonts w:ascii="Times New Roman" w:hAnsi="Times New Roman"/>
          <w:sz w:val="20"/>
        </w:rPr>
        <w:t xml:space="preserve">(g) As long as no Event of Default shall have occurred and be continuing and, other than in the case of a Bankruptcy Event of Default, until written notice shall be given to the applicable Grantor: </w:t>
      </w:r>
    </w:p>
    <w:p>
      <w:pPr>
        <w:pStyle w:val="TextBody"/>
        <w:bidi w:val="0"/>
        <w:spacing w:before="120" w:after="0"/>
        <w:jc w:val="left"/>
        <w:rPr>
          <w:rFonts w:ascii="Times New Roman" w:hAnsi="Times New Roman"/>
          <w:sz w:val="20"/>
        </w:rPr>
      </w:pPr>
      <w:r>
        <w:rPr>
          <w:rFonts w:ascii="Times New Roman" w:hAnsi="Times New Roman"/>
          <w:sz w:val="20"/>
        </w:rPr>
        <w:t xml:space="preserve">(i) Each Grantor shall have the right, from time to time, to vote and give consents with respect to the Pledged Equity, or any part thereof for all purposes not inconsistent with the provisions of this Agreement, the Securities Purchase Agreement or any other Transaction Document; provided, however, that no vote shall be cast, and no consent shall be given or action taken, which would have the effect of impairing the position or interest of the Collateral Agent in respect of the Pledged Equity or which would authorize, effect or consent to (unless and to the extent expressly permitted by the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(A) the dissolution or liquidation, in whole or in part, of a Pledged Entity; </w:t>
      </w:r>
    </w:p>
    <w:p>
      <w:pPr>
        <w:pStyle w:val="TextBody"/>
        <w:bidi w:val="0"/>
        <w:spacing w:before="120" w:after="0"/>
        <w:jc w:val="left"/>
        <w:rPr>
          <w:rFonts w:ascii="Times New Roman" w:hAnsi="Times New Roman"/>
          <w:sz w:val="20"/>
        </w:rPr>
      </w:pPr>
      <w:r>
        <w:rPr>
          <w:rFonts w:ascii="Times New Roman" w:hAnsi="Times New Roman"/>
          <w:sz w:val="20"/>
        </w:rPr>
        <w:t xml:space="preserve">(B) the consolidation or merger of a Pledged Entity with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(C) the sale, disposition or encumbrance of all or substantially all of the assets of a Pledged Entity, except for Liens in favor of the Collateral Agent; </w:t>
      </w:r>
    </w:p>
    <w:p>
      <w:pPr>
        <w:pStyle w:val="TextBody"/>
        <w:bidi w:val="0"/>
        <w:spacing w:before="120" w:after="0"/>
        <w:jc w:val="left"/>
        <w:rPr>
          <w:rFonts w:ascii="Times New Roman" w:hAnsi="Times New Roman"/>
          <w:sz w:val="20"/>
        </w:rPr>
      </w:pPr>
      <w:r>
        <w:rPr>
          <w:rFonts w:ascii="Times New Roman" w:hAnsi="Times New Roman"/>
          <w:sz w:val="20"/>
        </w:rPr>
        <w:t xml:space="preserve">(D) any change in the authorized number of shares, the stated capital or the authorized share capital of a Pledged Entity or the issuance of any additional shares of its Capital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alteration of the voting rights with respect to the Capital Stock of a Pledged Entity. </w:t>
      </w:r>
    </w:p>
    <w:p>
      <w:pPr>
        <w:pStyle w:val="TextBody"/>
        <w:bidi w:val="0"/>
        <w:spacing w:before="240" w:after="0"/>
        <w:jc w:val="left"/>
        <w:rPr>
          <w:rFonts w:ascii="Times New Roman" w:hAnsi="Times New Roman"/>
          <w:sz w:val="20"/>
        </w:rPr>
      </w:pPr>
      <w:r>
        <w:rPr>
          <w:rFonts w:ascii="Times New Roman" w:hAnsi="Times New Roman"/>
          <w:sz w:val="20"/>
        </w:rPr>
        <w:t xml:space="preserve">(h) (i) Each Grantor shall be entitled, from time to time, to collect and receive for its own use all cash dividends and interest paid in respect of the Pledged Equity to the extent not in violation of the Securities Purchase Agreement other than any and all: (A) dividends and interest paid or payable other than in cash in respect of any Pledged Equity, and instruments and other property received, receivable or otherwise distributed in respect of, or in exchange for, any Pledged Equity; (B) dividends and other distributions paid or payable in cash in respect of any Pledged Equity in connection with a partial or total liquidation or dissolution or in connection with a reduction of capital, capital surplus or paid-in capital of a Pledged Entity; and (C) cash paid, payable or otherwise distributed, in respect of principal of, or in redemption of, or in exchange for, any Pledged Equity; provided, however, that until actually paid all rights to such distributions shall remain subject to the Lien created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(ii) all dividends and interest (other than such cash dividends and interest as are permitted to be paid to any Grantor in accordance with clause (i) above) and all other distributions in respect of any of the Pledged Equity, whenever paid or made, shall be delivered to the Collateral Agent to hold as Pledged Equity and shall, if received by any Grantor, be received in trust for the benefit of the Collateral Agent (for the ratable benefit of the Collateral Agent and the Noteholders), be segregated from the other property or funds of such Grantor, and be forthwith delivered to the Collateral Agent as Pledged Equity in the same form as so received (with any necessary endorsement).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Remedies Upon Event of Default; Application of Proceeds</w:t>
      </w:r>
      <w:r>
        <w:rPr>
          <w:rFonts w:ascii="Times New Roman" w:hAnsi="Times New Roman"/>
          <w:sz w:val="20"/>
        </w:rPr>
        <w:t xml:space="preserve">. If any Event of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The Collateral Agent may exercise in respect of the Collateral, in addition to any other rights and remedies provided for herein, in any other Transaction Document or otherwise available to it, all of the rights and remedies of a secured party upon default under the Code (whether or not the Code applies to the affected Collateral), and also may (i) take absolute control of the Collateral, including, without limitation, transfer into the Collateral Agent’s name or into the name of its nominee or nominees (to the extent the Collateral Agent has not theretofore done so) and thereafter receive, for the ratable benefit of itself and the Noteholders,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Collateral Agent forthwith, assemble all or part of its respective Collateral as directed by the Collateral Agent and make it available to the Collateral Agent at a place or places to be designated by the Collateral Agent that is reasonably convenient to both parties, and the Collateral Agent may enter into and occupy any premises owned or leased by any Grantor where the Collateral or any part thereof is located or assembled for a reasonable period in order to effectuate the Collateral Agent’s rights and remedies hereunder or under law, without obligation to any Grantor in respect of such occupation, and (iii) without notice except as specified below and without any obligation to prepare or process the Collateral for sale, (A) sell the Collateral or any part thereof in one or more parcels at public or private sale (including, without limitation, by credit bid), at any of the Collateral Agent’s offices or elsewhere, for cash, on credit or for future delivery, and at such price or prices and upon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terms as the Collateral Agent may deem commercially reasonable and/or (B) lease, license or dispose of the Collateral or any part thereof upon such terms as the Collateral Agent may deem commercially reasonable. Each Grantor agrees that, to the extent notice of sale or any other disposition of its respective Collateral shall be required by law, at least ten (10) days’ notice to any Grantor of the time and place of any public sale or the time after which any private sale or other disposition of its respective Collateral is to be made shall constitute reasonable notification. The Collateral Agent shall not be obligated to make any sale or other disposition of any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Each Grantor hereby waives any claims against the Collateral Agent and the Noteholders arising by reason of the fact that the price at which its respective Collateral may have been sold at a private sale was less than the price which might have been obtained at a public sale or was less than the aggregate amount of the Obligations, even if the Collateral Agent accepts the first offer received and does not offer such Collateral to more than one offeree, and waives all rights that any Grantor may have to require that all or any part of such Collateral be marshaled upon any sale (public or private) thereof. Each Grantor hereby acknowledges that (i) any such sale of its respective Collateral by the Collateral Agent shall be made without warranty, (ii) the Collateral Agent may specifically disclaim any warranties of title, possession, quiet enjoyment or the like, and (iii) such actions set forth in clauses (i) and (ii) above shall not adversely affect the commercial reasonableness of any such sale of Collateral. In addition to the foregoing, (1) upon written notice to any Grantor from the Collateral Agent after and during the continuance of an Event of Default, such Grantor shall cease any use of the Intellectual Property or any trademark, patent or copyright similar thereto for any purpose described in such notice; (2) the Collateral Agent may, at any time and from time to time after and during the continuance of an Event of Default, upon 10 days’ prior notice to such Grantor, license, whether general, special or otherwise, and whether on an exclusive or non-exclusive basis, any of the Intellectual Property, throughout the universe for such term or terms, on such conditions, and in such manner, as the Collateral Agent shall in its sole discretion determine; (3) the Collateral Agent may, at any time, pursuant to the authority granted in </w:t>
      </w:r>
      <w:r>
        <w:rPr>
          <w:rFonts w:ascii="Times New Roman" w:hAnsi="Times New Roman"/>
          <w:sz w:val="20"/>
          <w:u w:val="single"/>
        </w:rPr>
        <w:t>Section 7</w:t>
      </w:r>
      <w:r>
        <w:rPr>
          <w:rFonts w:ascii="Times New Roman" w:hAnsi="Times New Roman"/>
          <w:sz w:val="20"/>
        </w:rPr>
        <w:t xml:space="preserve"> hereof or otherwise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 (4) the Collateral Agent may record or file any document evidencing its security interest in the Intellectual Property with the United States Patent and Trademark Office, the United States Copyright Office, or any other applicable registry; (5) the Collateral Agent may take over or direct the prosecution, maintenance, and enforcement of any Intellectual Property, including the right to bring suit in the name of any Grantor or the Collateral Agent to recover damages for infringement and to seek injunctive relief; and (6) the Collateral Agent may settle or compromise any claims or litigation relating to the Intellectual Property on such terms as the Collateral Agent deems appropriate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Any cash held by the Collateral Agent as Collateral and all Cash Proceeds received by the Collateral Agent in respect of any sale or disposition of or collection from, or other realization upon, all or any part of the Collateral shall be applied as follows (subject to the provisions of the Securities Purchase Agreement): </w:t>
      </w:r>
      <w:r>
        <w:rPr>
          <w:rFonts w:ascii="Times New Roman" w:hAnsi="Times New Roman"/>
          <w:sz w:val="20"/>
          <w:u w:val="single"/>
        </w:rPr>
        <w:t>first</w:t>
      </w:r>
      <w:r>
        <w:rPr>
          <w:rFonts w:ascii="Times New Roman" w:hAnsi="Times New Roman"/>
          <w:sz w:val="20"/>
        </w:rPr>
        <w:t xml:space="preserve">, to pay any fees, indemnities or expense reimbursements then due to the Collateral Agent (including, without limitation, those described in </w:t>
      </w:r>
      <w:r>
        <w:rPr>
          <w:rFonts w:ascii="Times New Roman" w:hAnsi="Times New Roman"/>
          <w:sz w:val="20"/>
          <w:u w:val="single"/>
        </w:rPr>
        <w:t>Section 9</w:t>
      </w:r>
      <w:r>
        <w:rPr>
          <w:rFonts w:ascii="Times New Roman" w:hAnsi="Times New Roman"/>
          <w:sz w:val="20"/>
        </w:rPr>
        <w:t xml:space="preserve"> hereof); </w:t>
      </w:r>
      <w:r>
        <w:rPr>
          <w:rFonts w:ascii="Times New Roman" w:hAnsi="Times New Roman"/>
          <w:sz w:val="20"/>
          <w:u w:val="single"/>
        </w:rPr>
        <w:t>second</w:t>
      </w:r>
      <w:r>
        <w:rPr>
          <w:rFonts w:ascii="Times New Roman" w:hAnsi="Times New Roman"/>
          <w:sz w:val="20"/>
        </w:rPr>
        <w:t xml:space="preserve">, to pay any fees, indemnities or expense reimbursements then due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Noteholders, on a pro rata basis; </w:t>
      </w:r>
      <w:r>
        <w:rPr>
          <w:rFonts w:ascii="Times New Roman" w:hAnsi="Times New Roman"/>
          <w:sz w:val="20"/>
          <w:u w:val="single"/>
        </w:rPr>
        <w:t>third</w:t>
      </w:r>
      <w:r>
        <w:rPr>
          <w:rFonts w:ascii="Times New Roman" w:hAnsi="Times New Roman"/>
          <w:sz w:val="20"/>
        </w:rPr>
        <w:t xml:space="preserve"> to pay interest due under the Notes owing to the Noteholders, on a pro rata basis; </w:t>
      </w:r>
      <w:r>
        <w:rPr>
          <w:rFonts w:ascii="Times New Roman" w:hAnsi="Times New Roman"/>
          <w:sz w:val="20"/>
          <w:u w:val="single"/>
        </w:rPr>
        <w:t>fourth</w:t>
      </w:r>
      <w:r>
        <w:rPr>
          <w:rFonts w:ascii="Times New Roman" w:hAnsi="Times New Roman"/>
          <w:sz w:val="20"/>
        </w:rPr>
        <w:t xml:space="preserve">, to pay or prepay principal in respect of the Notes, whether or not then due, owing to the Noteholders, on a pro rata basis; </w:t>
      </w:r>
      <w:r>
        <w:rPr>
          <w:rFonts w:ascii="Times New Roman" w:hAnsi="Times New Roman"/>
          <w:sz w:val="20"/>
          <w:u w:val="single"/>
        </w:rPr>
        <w:t>fifth</w:t>
      </w:r>
      <w:r>
        <w:rPr>
          <w:rFonts w:ascii="Times New Roman" w:hAnsi="Times New Roman"/>
          <w:sz w:val="20"/>
        </w:rPr>
        <w:t xml:space="preserve">, to pay or prepay any other Obligations, whether or not then due, in such order and manner as the Collateral Agent shall elect, consistent with the provisions of the Securities Purchase Agreement. Any surplus of such cash or Cash Proceeds held by the Collateral Agent and remaining after the full performance and Payment in Full of all of the Obligations shall be paid over to whomsoever shall be lawfully entitled to receive the same or as a court of competent jurisdiction shall direct.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proceeds of any such sale, disposition, collection or realization are insufficient to pay all amounts to which the Collateral Agent and the Noteholders are legally entitled, each Grantor shall be, jointly and severally, liable for the deficiency, together with interest thereon at the highest rate specified in the Notes for interest on overdue principal thereof or such other rate as shall be fixed by applicable law, together with the costs of collection and the reasonable fees, costs, expenses and other charges of any attorneys employed by the Collateral Agent to collect such deficiency.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applicable law imposes duties on the Collateral Agent to exercise rights and remedies in a commercially reasonable manner, each Grantor acknowledges and agrees that it is commercially reasonable for the Collateral Agent (i) to fail to incur expenses deemed significant by the Collateral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any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Collateral Agent against risks of loss, collection or disposition of Collateral or to provide to the Collateral Agent a guaranteed return from the collection or disposition of Collateral, or (xii) to the extent deemed appropriate by the Collateral Agent, to obtain the services of brokers, investment bankers, consultants, attorneys and other professionals to assist the Collateral Agent in the collection or disposition of any of the Collateral. Each Grantor acknowledges that the purpose of this section is to provide non-exhaustive indications of what actions or omissions by the Collateral Agent would be commercially reasonable in the Collateral Agent’s exercise of rights and remedies against the Collateral and that other actions or omissions by the Collateral Agent shall not be deemed commercially unreasonable solely on account of not being indicated in this section. Without limitation of the foregoing, nothing contained in this section shall be construed to grant any rights to any Grantor or to impose any duties on the Collateral Agent that would not have been granted or imposed by this Agreement or by applicable law in the absence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Collateral Agent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Collateral Agent’s rights and remedies hereunder and in respect of such collateral security and other assurances of payment shall be cumulative and in addition to all other rights and remedies, however existing or arising. To the extent that any Grantor lawfully may, each Grantor hereby agrees that it will not invoke any law relating to the marshaling of collateral which might cause delay in or impede the enforcement of the Collateral Agent’s rights and remedies under this Agreement or under any other instrument creating or evidencing any of the Obligations or under which any of the Obligations is outstanding or by which any of the Obligations is secured or payment thereof is otherwise assured, and, to the extent that it lawfully may, each Grantor hereby irrevocably waives the benefits of all such laws.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Indemnity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Grantor agrees, jointly and severally, to defend, protect, indemnify and hold the Collateral Agent and each of the Noteholders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to the extent resulting from such Person’s gross negligence or willful misconduct, as determined by a final judgment of a court of competent jurisdiction no longer subject to appeal. </w:t>
      </w:r>
    </w:p>
    <w:p>
      <w:pPr>
        <w:pStyle w:val="TextBody"/>
        <w:bidi w:val="0"/>
        <w:spacing w:before="240" w:after="0"/>
        <w:jc w:val="left"/>
        <w:rPr>
          <w:rFonts w:ascii="Times New Roman" w:hAnsi="Times New Roman"/>
          <w:sz w:val="20"/>
        </w:rPr>
      </w:pPr>
      <w:r>
        <w:rPr>
          <w:rFonts w:ascii="Times New Roman" w:hAnsi="Times New Roman"/>
          <w:sz w:val="20"/>
        </w:rPr>
        <w:t xml:space="preserve">(b) Each Grantor agrees, jointly and severally, to pay to the Collateral Agent upon demand the amount of any and all costs and expenses, including the reasonable fees, costs, expenses and disbursements of counsel for the Collateral Agent and of any experts and agents (including, without limitation, any collateral trustee which may act as agent of the Collateral Agent), which the Collateral Agent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or remedies of the Collateral Agent hereunder or under applicable law, or (iv) the failure by any Grantor to perform or observe any of the provisions of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 Etc</w:t>
      </w:r>
      <w:r>
        <w:rPr>
          <w:rFonts w:ascii="Times New Roman" w:hAnsi="Times New Roman"/>
          <w:sz w:val="20"/>
        </w:rPr>
        <w:t xml:space="preserve">. All notices and other communications provided for hereunder shall be effected in the manner provided for in Section 9(f) of the Securities Purchase Agreement. Any notices or other communications to any Grantor shall be sent to the Company’s address as set forth in Section 9(f) of the Securities Purchase Agreement. For the avoidance of doubt, all Foreign Subsidiaries, as Grantors, hereby appoint the Company as its agent for receipt of service of process and all notices and other communications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amendment of any provision of this Agreement shall be effective unless it is in writing and signed by each Grantor and the Collateral Agent (and approved by the Required Holders), and no waiver of any provision of this Agreement, and no consent to any departure by each Grantor therefrom, shall be effective unless it is in writing and signed by each Grantor and the Collateral Agent (and approved by the Required Holders), and then such waiver or consent shall be effective only in the specific instance and for the specific purpose for which given. No amendment, modification or waiver of this Agreement shall be effective to the extent that it (1) applies to fewer than all of the holders of the Securities (as defined in the Securities Purchase Agreement) then outstanding or (2) imposes any obligation or liability on any Noteholder without such Noteholders prior written consent (which may be granted or withheld in such Noteholder’s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No failure on the part of the Collateral Agent to exercise, and no delay in exercising, any right or remedy hereunder or under any of the other Transaction Documents shall operate as a waiver thereof; nor shall any single or partial exercise of any such right or remedy preclude any other or further exercise thereof or the exercise of any other right or remedy. The rights and remedies of the Collateral Agent or any Noteholder provided herein and in the other Transaction Documents are cumulative and are in addition to, and not exclusive of, any rights or remedies provided by law. The rights and remedies of the Collateral Agent or any Noteholder under any of the other Transaction Documents against any party thereto are not conditional or contingent on any attempt by such Person to exercise any of its rights or remedies under any of the other Transaction Documents against such party or against any other Person, including but not limited to, any Grantor. </w:t>
      </w:r>
    </w:p>
    <w:p>
      <w:pPr>
        <w:pStyle w:val="TextBody"/>
        <w:bidi w:val="0"/>
        <w:spacing w:before="240" w:after="0"/>
        <w:jc w:val="left"/>
        <w:rPr>
          <w:rFonts w:ascii="Times New Roman" w:hAnsi="Times New Roman"/>
          <w:sz w:val="20"/>
        </w:rPr>
      </w:pPr>
      <w:r>
        <w:rPr>
          <w:rFonts w:ascii="Times New Roman" w:hAnsi="Times New Roman"/>
          <w:sz w:val="20"/>
        </w:rPr>
        <w:t xml:space="preserve">(c)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shall create a continuing Lien on and security interest in the Collateral and shall (i) remain in full force and effect until the full performance and Payment in Full of the Obligations, and (ii) be binding on each Grantor and all other Persons who become bound as debtor to this Agreement in accordance with Section 9-203(d) of the Code and shall inure, together with all rights and remedies of the Collateral Agent and the Noteholders hereunder, to the ratable benefit of the Collateral Agent and the Noteholders and their respective permitted successors, transferees and assigns. Without limiting the generality of clause (ii) of the immediately preceding sentence, without notice to any Grantor, the Collateral Agent and the Noteholders may assign or otherwise transfer their rights and obligations under this Agreement and any of the other Transaction Documents, to any other Person and such other Person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thereupon become vested with all of the benefits in respect thereof granted to the Collateral Agent and the Noteholders herein or otherwise. Upon any such assignment or transfer, all references in this Agreement to the Collateral Agent or any such Noteholder shall mean the assignee of the Collateral Agent or such Noteholder. None of the rights or obligations of any Grantor hereunder may be assigned, delegated, or otherwise transferred without the prior written consent of the Collateral Agent in its sole and absolute discretion, and any such assignment, delegation, or transfer without such consent of the Collateral Agent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(e) Upon the full performance and Payment in Full of the Obligations, (i) this Agreement and the security interests created hereby shall terminate and all rights to the Collateral shall revert to the respective Grantor that granted such security interests hereunder, and (ii) the Collateral Agent will, upon any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 Jury Trial</w:t>
      </w:r>
      <w:r>
        <w:rPr>
          <w:rFonts w:ascii="Times New Roman" w:hAnsi="Times New Roman"/>
          <w:sz w:val="20"/>
        </w:rPr>
        <w:t xml:space="preserve">.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Each Grantor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w:t>
      </w:r>
      <w:r>
        <w:rPr>
          <w:rFonts w:ascii="Times New Roman" w:hAnsi="Times New Roman"/>
          <w:sz w:val="20"/>
          <w:u w:val="single"/>
        </w:rPr>
        <w:t>Section 9(f)</w:t>
      </w:r>
      <w:r>
        <w:rPr>
          <w:rFonts w:ascii="Times New Roman" w:hAnsi="Times New Roman"/>
          <w:sz w:val="20"/>
        </w:rPr>
        <w:t xml:space="preserve">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any Grantor in any other jurisdiction to collect on such Grantor’s obligations to such Buyer or to enforce a judgment or other court ruling in favor of such Buyer. </w:t>
      </w:r>
      <w:r>
        <w:rPr>
          <w:rFonts w:ascii="Times New Roman" w:hAnsi="Times New Roman"/>
          <w:b/>
          <w:sz w:val="20"/>
        </w:rPr>
        <w:t>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headings of this Agreement are for convenience of reference and shall not form part of, or affect the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shall remain in full force and effect and continue to be effective should any petition be filed by or against any Grantor for liquidation or reorganization, should any Grantor become insolvent or make an assignment for the benefit of creditors or should a receiver or trustee be appointed for all or any significant part of any Grantor’s assets, and shall continue to be effective or be reinstated, as the case may be, if at any time payment and performance of the Obligations, or any part thereof, is, pursuant to applicable law, rescinded or reduced in amount, or must otherwise be restored or returned by any 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 </w:t>
      </w:r>
    </w:p>
    <w:p>
      <w:pPr>
        <w:pStyle w:val="TextBody"/>
        <w:bidi w:val="0"/>
        <w:spacing w:before="240" w:after="0"/>
        <w:jc w:val="left"/>
        <w:rPr>
          <w:rFonts w:ascii="Times New Roman" w:hAnsi="Times New Roman"/>
          <w:sz w:val="20"/>
        </w:rPr>
      </w:pPr>
      <w:r>
        <w:rPr>
          <w:rFonts w:ascii="Times New Roman" w:hAnsi="Times New Roman"/>
          <w:sz w:val="20"/>
        </w:rPr>
        <w:t xml:space="preserve">(j) Each Grantor agrees, on a joint and several basis, to pay all reasonable and documented costs and expenses (including legal costs) incurred by the Collateral Agent and each Noteholder in accordance with the terms of </w:t>
      </w:r>
      <w:r>
        <w:rPr>
          <w:rFonts w:ascii="Times New Roman" w:hAnsi="Times New Roman"/>
          <w:sz w:val="20"/>
          <w:u w:val="single"/>
        </w:rPr>
        <w:t>Section 4(j)</w:t>
      </w:r>
      <w:r>
        <w:rPr>
          <w:rFonts w:ascii="Times New Roman" w:hAnsi="Times New Roman"/>
          <w:sz w:val="20"/>
        </w:rPr>
        <w:t xml:space="preserve"> of the Securities Purchase Agreement and all Obligations provided for in this </w:t>
      </w:r>
      <w:r>
        <w:rPr>
          <w:rFonts w:ascii="Times New Roman" w:hAnsi="Times New Roman"/>
          <w:sz w:val="20"/>
          <w:u w:val="single"/>
        </w:rPr>
        <w:t>Section 11(j)</w:t>
      </w:r>
      <w:r>
        <w:rPr>
          <w:rFonts w:ascii="Times New Roman" w:hAnsi="Times New Roman"/>
          <w:sz w:val="20"/>
        </w:rPr>
        <w:t xml:space="preserve"> shall survive the termination of the Notes and the payment of the Notes and all other amounts payable thereunder and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All agreements, representations and warranties made herein and in every other Transaction Document shall survive the execution and delivery of this Agreement and the other Transaction Documents. The provisions of </w:t>
      </w:r>
      <w:r>
        <w:rPr>
          <w:rFonts w:ascii="Times New Roman" w:hAnsi="Times New Roman"/>
          <w:sz w:val="20"/>
          <w:u w:val="single"/>
        </w:rPr>
        <w:t>Sections 6(d)</w:t>
      </w:r>
      <w:r>
        <w:rPr>
          <w:rFonts w:ascii="Times New Roman" w:hAnsi="Times New Roman"/>
          <w:sz w:val="20"/>
        </w:rPr>
        <w:t>,</w:t>
      </w:r>
      <w:r>
        <w:rPr>
          <w:rFonts w:ascii="Times New Roman" w:hAnsi="Times New Roman"/>
          <w:sz w:val="20"/>
          <w:u w:val="single"/>
        </w:rPr>
        <w:t> 9</w:t>
      </w:r>
      <w:r>
        <w:rPr>
          <w:rFonts w:ascii="Times New Roman" w:hAnsi="Times New Roman"/>
          <w:sz w:val="20"/>
        </w:rPr>
        <w:t xml:space="preserve"> and </w:t>
      </w:r>
      <w:r>
        <w:rPr>
          <w:rFonts w:ascii="Times New Roman" w:hAnsi="Times New Roman"/>
          <w:sz w:val="20"/>
          <w:u w:val="single"/>
        </w:rPr>
        <w:t>11</w:t>
      </w:r>
      <w:r>
        <w:rPr>
          <w:rFonts w:ascii="Times New Roman" w:hAnsi="Times New Roman"/>
          <w:sz w:val="20"/>
        </w:rPr>
        <w:t xml:space="preserve"> of this Agreement shall survive the termination of the Notes and the payment of the Notes and all other amounts payable thereunder and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Material Non-Public Information</w:t>
      </w:r>
      <w:r>
        <w:rPr>
          <w:rFonts w:ascii="Times New Roman" w:hAnsi="Times New Roman"/>
          <w:sz w:val="20"/>
        </w:rPr>
        <w:t xml:space="preserve">. Upon receipt or delivery by any Grantor of any notice in accordance with the terms of this Agreement, unless such Grantor has in good faith determined that the matters relating to such notice do not constitute material, non-public information relating to the Grantor or any of its Subsidiaries, such Grantor shall within one (1) Business Day after any such receipt or delivery publicly disclose such material, non-public information on a Current Report on Form 8-K or otherwise. In the event that such Grantor believes that a notice contains material, non-public information relating to such Grantor or any of its Subsidiaries, such Grantor so shall indicate to the Collateral Agent and any applicable Noteholder contemporaneously with delivery of such notice, and in the absence of any such indication, the Collateral Agent and each Noteholder shall be allowed to presume that all matters relating to such notice do not constitute material, non-public information relating to such Grantor or its Subsidiaries. Nothing contained in this </w:t>
      </w:r>
      <w:r>
        <w:rPr>
          <w:rFonts w:ascii="Times New Roman" w:hAnsi="Times New Roman"/>
          <w:sz w:val="20"/>
          <w:u w:val="single"/>
        </w:rPr>
        <w:t>Section 12</w:t>
      </w:r>
      <w:r>
        <w:rPr>
          <w:rFonts w:ascii="Times New Roman" w:hAnsi="Times New Roman"/>
          <w:sz w:val="20"/>
        </w:rPr>
        <w:t xml:space="preserve"> shall limit any obligations of any Grantor, or any rights or remedies of the Collateral Agent or any Noteholder, under Section 9(m) of the Securities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Grantor has caused this Agreement to be executed and delivered by its officer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9"/>
        <w:gridCol w:w="74"/>
        <w:gridCol w:w="3589"/>
      </w:tblGrid>
      <w:tr>
        <w:trPr/>
        <w:tc>
          <w:tcPr>
            <w:tcW w:w="419"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u w:val="single"/>
              </w:rPr>
              <w:t>GRANTORS</w:t>
            </w:r>
            <w:r>
              <w:rPr>
                <w:rFonts w:ascii="Times New Roman" w:hAnsi="Times New Roman"/>
                <w:sz w:val="20"/>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CERENOME, INC.</w:t>
            </w:r>
          </w:p>
        </w:tc>
      </w:tr>
      <w:tr>
        <w:trPr>
          <w:trHeight w:val="240" w:hRule="atLeast"/>
        </w:trPr>
        <w:tc>
          <w:tcPr>
            <w:tcW w:w="419" w:type="dxa"/>
            <w:tcBorders/>
            <w:vAlign w:val="center"/>
          </w:tcPr>
          <w:p>
            <w:pPr>
              <w:pStyle w:val="TableContents"/>
              <w:bidi w:val="0"/>
              <w:spacing w:before="0" w:after="283"/>
              <w:jc w:val="left"/>
              <w:rPr>
                <w:sz w:val="4"/>
                <w:szCs w:val="4"/>
              </w:rPr>
            </w:pPr>
            <w:r>
              <w:rPr>
                <w:sz w:val="4"/>
                <w:szCs w:val="4"/>
              </w:rPr>
            </w:r>
          </w:p>
        </w:tc>
        <w:tc>
          <w:tcPr>
            <w:tcW w:w="3663" w:type="dxa"/>
            <w:gridSpan w:val="2"/>
            <w:tcBorders/>
            <w:vAlign w:val="center"/>
          </w:tcPr>
          <w:p>
            <w:pPr>
              <w:pStyle w:val="TableContents"/>
              <w:bidi w:val="0"/>
              <w:spacing w:before="0" w:after="283"/>
              <w:jc w:val="left"/>
              <w:rPr>
                <w:sz w:val="4"/>
                <w:szCs w:val="4"/>
              </w:rPr>
            </w:pPr>
            <w:r>
              <w:rPr>
                <w:sz w:val="4"/>
                <w:szCs w:val="4"/>
              </w:rPr>
            </w:r>
          </w:p>
        </w:tc>
      </w:tr>
      <w:tr>
        <w:trPr/>
        <w:tc>
          <w:tcPr>
            <w:tcW w:w="41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74" w:type="dxa"/>
            <w:tcBorders>
              <w:bottom w:val="single" w:sz="2" w:space="0" w:color="000000"/>
            </w:tcBorders>
            <w:tcMar>
              <w:bottom w:w="28" w:type="dxa"/>
            </w:tcMar>
            <w:vAlign w:val="bottom"/>
          </w:tcPr>
          <w:p>
            <w:pPr>
              <w:pStyle w:val="TableContents"/>
              <w:bidi w:val="0"/>
              <w:spacing w:before="0" w:after="283"/>
              <w:jc w:val="left"/>
              <w:rPr/>
            </w:pPr>
            <w:r>
              <w:rPr/>
              <w:t> </w:t>
            </w:r>
          </w:p>
        </w:tc>
        <w:tc>
          <w:tcPr>
            <w:tcW w:w="3589" w:type="dxa"/>
            <w:tcBorders>
              <w:bottom w:val="single" w:sz="2" w:space="0" w:color="000000"/>
            </w:tcBorders>
            <w:tcMar>
              <w:bottom w:w="28" w:type="dxa"/>
            </w:tcMar>
          </w:tcPr>
          <w:p>
            <w:pPr>
              <w:pStyle w:val="TableContents"/>
              <w:bidi w:val="0"/>
              <w:spacing w:before="0" w:after="283"/>
              <w:jc w:val="left"/>
              <w:rPr/>
            </w:pPr>
            <w:r>
              <w:rPr/>
              <w:t> </w:t>
            </w:r>
          </w:p>
        </w:tc>
      </w:tr>
      <w:tr>
        <w:trPr/>
        <w:tc>
          <w:tcPr>
            <w:tcW w:w="41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589" w:type="dxa"/>
            <w:tcBorders/>
            <w:vAlign w:val="bottom"/>
          </w:tcPr>
          <w:p>
            <w:pPr>
              <w:pStyle w:val="TableContents"/>
              <w:bidi w:val="0"/>
              <w:spacing w:before="0" w:after="283"/>
              <w:jc w:val="left"/>
              <w:rPr/>
            </w:pPr>
            <w:r>
              <w:rPr/>
              <w:t>Name:</w:t>
            </w:r>
          </w:p>
        </w:tc>
      </w:tr>
      <w:tr>
        <w:trPr/>
        <w:tc>
          <w:tcPr>
            <w:tcW w:w="419" w:type="dxa"/>
            <w:tcBorders/>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3589"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9"/>
        <w:gridCol w:w="107"/>
        <w:gridCol w:w="3376"/>
      </w:tblGrid>
      <w:tr>
        <w:trPr/>
        <w:tc>
          <w:tcPr>
            <w:tcW w:w="59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CNSIDE DIAGNOSTICS, LLC</w:t>
            </w:r>
          </w:p>
        </w:tc>
      </w:tr>
      <w:tr>
        <w:trPr>
          <w:trHeight w:val="240" w:hRule="atLeast"/>
        </w:trPr>
        <w:tc>
          <w:tcPr>
            <w:tcW w:w="599"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r>
      <w:tr>
        <w:trPr/>
        <w:tc>
          <w:tcPr>
            <w:tcW w:w="599"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376" w:type="dxa"/>
            <w:tcBorders>
              <w:bottom w:val="single" w:sz="2" w:space="0" w:color="000000"/>
            </w:tcBorders>
            <w:tcMar>
              <w:bottom w:w="28" w:type="dxa"/>
            </w:tcMar>
          </w:tcPr>
          <w:p>
            <w:pPr>
              <w:pStyle w:val="TableContents"/>
              <w:bidi w:val="0"/>
              <w:spacing w:before="0" w:after="283"/>
              <w:jc w:val="left"/>
              <w:rPr/>
            </w:pPr>
            <w:r>
              <w:rPr/>
              <w:t> </w:t>
            </w:r>
          </w:p>
        </w:tc>
      </w:tr>
      <w:tr>
        <w:trPr/>
        <w:tc>
          <w:tcPr>
            <w:tcW w:w="5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Name:</w:t>
            </w:r>
          </w:p>
        </w:tc>
      </w:tr>
      <w:tr>
        <w:trPr/>
        <w:tc>
          <w:tcPr>
            <w:tcW w:w="59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57"/>
        <w:gridCol w:w="85"/>
        <w:gridCol w:w="3540"/>
      </w:tblGrid>
      <w:tr>
        <w:trPr/>
        <w:tc>
          <w:tcPr>
            <w:tcW w:w="45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i/>
              </w:rPr>
              <w:t>3I, LP</w:t>
            </w:r>
            <w:r>
              <w:rPr>
                <w:b/>
              </w:rPr>
              <w:t xml:space="preserve">, </w:t>
            </w:r>
            <w:r>
              <w:rPr/>
              <w:br/>
              <w:t>as Collateral Agent</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540" w:type="dxa"/>
            <w:tcBorders>
              <w:bottom w:val="single" w:sz="2" w:space="0" w:color="000000"/>
            </w:tcBorders>
            <w:tcMar>
              <w:bottom w:w="28" w:type="dxa"/>
            </w:tcMar>
          </w:tcPr>
          <w:p>
            <w:pPr>
              <w:pStyle w:val="TableContents"/>
              <w:bidi w:val="0"/>
              <w:spacing w:before="0" w:after="283"/>
              <w:jc w:val="left"/>
              <w:rPr/>
            </w:pPr>
            <w:r>
              <w:rPr/>
              <w:t> </w:t>
            </w:r>
          </w:p>
        </w:tc>
      </w:tr>
      <w:tr>
        <w:trPr/>
        <w:tc>
          <w:tcPr>
            <w:tcW w:w="45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40" w:type="dxa"/>
            <w:tcBorders/>
            <w:vAlign w:val="bottom"/>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40" w:type="dxa"/>
            <w:tcBorders/>
            <w:vAlign w:val="bottom"/>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INTELLECTUAL PROPERTY SECURITY AGREEMENT </w:t>
      </w:r>
    </w:p>
    <w:p>
      <w:pPr>
        <w:pStyle w:val="TextBody"/>
        <w:bidi w:val="0"/>
        <w:spacing w:before="120" w:after="0"/>
        <w:jc w:val="center"/>
        <w:rPr>
          <w:rFonts w:ascii="Times New Roman" w:hAnsi="Times New Roman"/>
          <w:sz w:val="20"/>
        </w:rPr>
      </w:pPr>
      <w:r>
        <w:rPr>
          <w:rFonts w:ascii="Times New Roman" w:hAnsi="Times New Roman"/>
          <w:sz w:val="20"/>
        </w:rPr>
        <w:t xml:space="preserve">INTELLECTUAL PROPERTY SECURITY AGREEMENT </w:t>
      </w:r>
    </w:p>
    <w:p>
      <w:pPr>
        <w:pStyle w:val="TextBody"/>
        <w:bidi w:val="0"/>
        <w:spacing w:before="240" w:after="0"/>
        <w:jc w:val="left"/>
        <w:rPr>
          <w:rFonts w:ascii="Times New Roman" w:hAnsi="Times New Roman"/>
          <w:sz w:val="20"/>
        </w:rPr>
      </w:pPr>
      <w:r>
        <w:rPr>
          <w:rFonts w:ascii="Times New Roman" w:hAnsi="Times New Roman"/>
          <w:sz w:val="20"/>
        </w:rPr>
        <w:t>This INTELLECTUAL PROPERTY SECURITY AGREEMENT (as amended, modified, supplemented, renewed, restated or replaced from time to time, this “</w:t>
      </w:r>
      <w:r>
        <w:rPr>
          <w:rFonts w:ascii="Times New Roman" w:hAnsi="Times New Roman"/>
          <w:b/>
          <w:sz w:val="20"/>
        </w:rPr>
        <w:t>IP Security Agreement</w:t>
      </w:r>
      <w:r>
        <w:rPr>
          <w:rFonts w:ascii="Times New Roman" w:hAnsi="Times New Roman"/>
          <w:sz w:val="20"/>
        </w:rPr>
        <w:t xml:space="preserve">”), dated </w:t>
      </w:r>
      <w:r>
        <w:rPr>
          <w:rFonts w:ascii="Times New Roman" w:hAnsi="Times New Roman"/>
          <w:b/>
          <w:i/>
          <w:sz w:val="20"/>
        </w:rPr>
        <w:t>[_____]</w:t>
      </w:r>
      <w:r>
        <w:rPr>
          <w:rFonts w:ascii="Times New Roman" w:hAnsi="Times New Roman"/>
          <w:sz w:val="20"/>
        </w:rPr>
        <w:t>, 20</w:t>
      </w:r>
      <w:r>
        <w:rPr>
          <w:rFonts w:ascii="Times New Roman" w:hAnsi="Times New Roman"/>
          <w:b/>
          <w:i/>
          <w:sz w:val="20"/>
        </w:rPr>
        <w:t>[__]</w:t>
      </w:r>
      <w:r>
        <w:rPr>
          <w:rFonts w:ascii="Times New Roman" w:hAnsi="Times New Roman"/>
          <w:sz w:val="20"/>
        </w:rPr>
        <w:t>, is made by the Persons listed on the signature pages hereof (collectively, the “</w:t>
      </w:r>
      <w:r>
        <w:rPr>
          <w:rFonts w:ascii="Times New Roman" w:hAnsi="Times New Roman"/>
          <w:b/>
          <w:sz w:val="20"/>
        </w:rPr>
        <w:t>Grantors</w:t>
      </w:r>
      <w:r>
        <w:rPr>
          <w:rFonts w:ascii="Times New Roman" w:hAnsi="Times New Roman"/>
          <w:sz w:val="20"/>
        </w:rPr>
        <w:t xml:space="preserve">”) in favor of </w:t>
      </w:r>
      <w:r>
        <w:rPr>
          <w:rFonts w:ascii="Times New Roman" w:hAnsi="Times New Roman"/>
          <w:b/>
          <w:i/>
          <w:sz w:val="20"/>
        </w:rPr>
        <w:t>3i, LP</w:t>
      </w:r>
      <w:r>
        <w:rPr>
          <w:rFonts w:ascii="Times New Roman" w:hAnsi="Times New Roman"/>
          <w:sz w:val="20"/>
        </w:rPr>
        <w:t>, in its capacity as collateral agent (the “</w:t>
      </w:r>
      <w:r>
        <w:rPr>
          <w:rFonts w:ascii="Times New Roman" w:hAnsi="Times New Roman"/>
          <w:b/>
          <w:sz w:val="20"/>
        </w:rPr>
        <w:t>Collateral Agent</w:t>
      </w:r>
      <w:r>
        <w:rPr>
          <w:rFonts w:ascii="Times New Roman" w:hAnsi="Times New Roman"/>
          <w:sz w:val="20"/>
        </w:rPr>
        <w:t xml:space="preserve">”) for the Noteholders. All capitalized terms not otherwise defined herein shall have the meanings respectively ascribed thereto in the Security Agreement (as defined below). </w:t>
      </w:r>
    </w:p>
    <w:p>
      <w:pPr>
        <w:pStyle w:val="TextBody"/>
        <w:bidi w:val="0"/>
        <w:spacing w:before="240" w:after="0"/>
        <w:jc w:val="left"/>
        <w:rPr>
          <w:rFonts w:ascii="Times New Roman" w:hAnsi="Times New Roman"/>
          <w:sz w:val="20"/>
        </w:rPr>
      </w:pPr>
      <w:r>
        <w:rPr>
          <w:rFonts w:ascii="Times New Roman" w:hAnsi="Times New Roman"/>
          <w:sz w:val="20"/>
        </w:rPr>
        <w:t>WHEREAS, Cerenome, Inc., a corporation organized under the laws of the State of Delaware (the “</w:t>
      </w:r>
      <w:r>
        <w:rPr>
          <w:rFonts w:ascii="Times New Roman" w:hAnsi="Times New Roman"/>
          <w:b/>
          <w:sz w:val="20"/>
        </w:rPr>
        <w:t>Company</w:t>
      </w:r>
      <w:r>
        <w:rPr>
          <w:rFonts w:ascii="Times New Roman" w:hAnsi="Times New Roman"/>
          <w:sz w:val="20"/>
        </w:rPr>
        <w:t>”) and each party listed as a “Buyer” on the Schedule of Buyers attached thereto (collectively, the “</w:t>
      </w:r>
      <w:r>
        <w:rPr>
          <w:rFonts w:ascii="Times New Roman" w:hAnsi="Times New Roman"/>
          <w:b/>
          <w:sz w:val="20"/>
        </w:rPr>
        <w:t>Buyers</w:t>
      </w:r>
      <w:r>
        <w:rPr>
          <w:rFonts w:ascii="Times New Roman" w:hAnsi="Times New Roman"/>
          <w:sz w:val="20"/>
        </w:rPr>
        <w:t>”) are parties to that certain Securities Purchase Agreement, dated September 4, 2026, pursuant to which the Company shall be required to sell, and the Buyers shall purchase or have the right to purchase, the “Notes” (as defined therein) issued pursuant thereto (as such Notes may be amended, modified, supplemented, renewed, restated or replaced from time to time in accordance with the terms thereof, collectively,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it is a condition precedent to the purchase of the Notes under the Securities Purchase Agreement that each Grantor has executed and delivered that certain Security and Pledge Agreement, dated September 8, 2026, made by the Grantors to the Collateral Agent (as amended, modified, supplemented, renewed, restated or replaced from time to time, the “</w:t>
      </w:r>
      <w:r>
        <w:rPr>
          <w:rFonts w:ascii="Times New Roman" w:hAnsi="Times New Roman"/>
          <w:b/>
          <w:sz w:val="20"/>
        </w:rPr>
        <w:t>Security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under the terms of the Security Agreement, the Grantors have granted to the Collateral Agent, for the ratable benefit of the Collateral Agent and the Noteholders, a Lien on and security interest in, among other property, certain intellectual property of the Grantors, and have agreed as a condition thereof to execute this IP Security Agreement for recording with the U.S. Patent and Trademark Office, the United States Copyright Office and other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WHEREAS, the Grantors have determined that the execution, delivery, and performance of this IP Security Agreement directly benefits, and is in the best interest of, the Grantors.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agreements herein and in order to induce the Buyers to perform under the Securities Purchase Agreement, each Grantor agrees with the Collateral Agent, for the ratable benefit of the Collateral Agent and the Noteholders,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Grant of Security</w:t>
      </w:r>
      <w:r>
        <w:rPr>
          <w:rFonts w:ascii="Times New Roman" w:hAnsi="Times New Roman"/>
          <w:sz w:val="20"/>
        </w:rPr>
        <w:t>. As collateral security for the due and punctual payment and performance in full of the Obligations, as and when due, each Grantor hereby pledges and assigns to the Collateral Agent, its successors and permitted assigns, and hereby grants to the Collateral Agent, its successors and permitted assigns, for the ratable benefit of the Collateral Agent and the Noteholders, a continuing Lien on and security interest in, all of such Grantor’s right, title and interest in, to and under the following (the “</w:t>
      </w:r>
      <w:r>
        <w:rPr>
          <w:rFonts w:ascii="Times New Roman" w:hAnsi="Times New Roman"/>
          <w:b/>
          <w:sz w:val="20"/>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Patents and Patent applications set forth in </w:t>
      </w:r>
      <w:r>
        <w:rPr>
          <w:rFonts w:ascii="Times New Roman" w:hAnsi="Times New Roman"/>
          <w:sz w:val="20"/>
          <w:u w:val="single"/>
        </w:rPr>
        <w:t>Schedule A</w:t>
      </w:r>
      <w:r>
        <w:rPr>
          <w:rFonts w:ascii="Times New Roman" w:hAnsi="Times New Roman"/>
          <w:sz w:val="20"/>
        </w:rPr>
        <w:t xml:space="preserve">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Trademark and service mark registrations and applications set forth in </w:t>
      </w:r>
      <w:r>
        <w:rPr>
          <w:rFonts w:ascii="Times New Roman" w:hAnsi="Times New Roman"/>
          <w:sz w:val="20"/>
          <w:u w:val="single"/>
        </w:rPr>
        <w:t>Schedule B</w:t>
      </w:r>
      <w:r>
        <w:rPr>
          <w:rFonts w:ascii="Times New Roman" w:hAnsi="Times New Roman"/>
          <w:sz w:val="20"/>
        </w:rPr>
        <w:t xml:space="preserve"> hereto (provided that no security interest shall be granted in United States intent-to-use trademark applications to the extent that, and solely during the period in which, the grant of a security interest therein would impair the validity or enforceability of such intent-to-use trademark applications under applicable federal law), together with the goodwill symbolized thereby; </w:t>
      </w:r>
    </w:p>
    <w:p>
      <w:pPr>
        <w:pStyle w:val="TextBody"/>
        <w:bidi w:val="0"/>
        <w:spacing w:before="240" w:after="0"/>
        <w:jc w:val="left"/>
        <w:rPr>
          <w:rFonts w:ascii="Times New Roman" w:hAnsi="Times New Roman"/>
          <w:sz w:val="20"/>
        </w:rPr>
      </w:pPr>
      <w:r>
        <w:rPr>
          <w:rFonts w:ascii="Times New Roman" w:hAnsi="Times New Roman"/>
          <w:sz w:val="20"/>
        </w:rPr>
        <w:t xml:space="preserve">(iii) all Copyrights, whether registered or unregistered, now owned or hereafter acquired by such Grantor, including, without limitation, the copyright registrations and applications and exclusive copyright licenses set forth in </w:t>
      </w:r>
      <w:r>
        <w:rPr>
          <w:rFonts w:ascii="Times New Roman" w:hAnsi="Times New Roman"/>
          <w:sz w:val="20"/>
          <w:u w:val="single"/>
        </w:rPr>
        <w:t>Schedule C</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(iv) all reissues, divisions, continuations, continuations-in-part, extensions, renewals and reexaminations of any of the foregoing, all rights in the foregoing provided by international treaties or conventions, all rights corresponding thereto throughout the world and all other rights of any kind whatsoever of such Grantor accruing thereunder or 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(v) any and all claims for damages and injunctive relief for past, present and future infringement, dilution, misappropriation, violation, misuse or breach with respect to any of the foregoing, with the right, but not the obligation, to sue for and collect, or otherwise recover, such damages; and </w:t>
      </w:r>
    </w:p>
    <w:p>
      <w:pPr>
        <w:pStyle w:val="TextBody"/>
        <w:bidi w:val="0"/>
        <w:spacing w:before="240" w:after="0"/>
        <w:jc w:val="left"/>
        <w:rPr>
          <w:rFonts w:ascii="Times New Roman" w:hAnsi="Times New Roman"/>
          <w:sz w:val="20"/>
        </w:rPr>
      </w:pPr>
      <w:r>
        <w:rPr>
          <w:rFonts w:ascii="Times New Roman" w:hAnsi="Times New Roman"/>
          <w:sz w:val="20"/>
        </w:rPr>
        <w:t xml:space="preserve">(vi) any and all Proceeds, including without limitation Cash and Noncash Proceeds of, collateral for, income, royalties and other payments now or hereafter due and payable with respect to, and Supporting Obligations relating to, any and all of the collateral of or arising from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Security for Obligations</w:t>
      </w:r>
      <w:r>
        <w:rPr>
          <w:rFonts w:ascii="Times New Roman" w:hAnsi="Times New Roman"/>
          <w:sz w:val="20"/>
        </w:rPr>
        <w:t xml:space="preserve">. The grant of a Lien on and security interest in, the Collateral by each Grantor under this IP Security Agreement constitutes continuing collateral security for the payment and performance of all Obligations of such Grantor now or hereafter existing under or in respect of the Notes and the Transaction Documents, whether direct or indirect, absolute or contingent, and whether for principal, reimbursement obligations, interest, premiums, penalties, fees, indemnifications, contract causes of action, costs, expenses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Recordation</w:t>
      </w:r>
      <w:r>
        <w:rPr>
          <w:rFonts w:ascii="Times New Roman" w:hAnsi="Times New Roman"/>
          <w:sz w:val="20"/>
        </w:rPr>
        <w:t xml:space="preserve">. Each Grantor authorizes and requests that the Register of Copyrights, the Commissioner for Patents and the Commissioner for Trademarks and any other applicable government officer record this IP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Execution in Counterparts</w:t>
      </w:r>
      <w:r>
        <w:rPr>
          <w:rFonts w:ascii="Times New Roman" w:hAnsi="Times New Roman"/>
          <w:sz w:val="20"/>
        </w:rPr>
        <w:t xml:space="preserve">. This IP Security Agreement may be executed in any number of counterparts and by different parties hereto in separate counterparts, each of which shall be deemed to be an original, but all of which taken together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Grants, Rights and Remedies</w:t>
      </w:r>
      <w:r>
        <w:rPr>
          <w:rFonts w:ascii="Times New Roman" w:hAnsi="Times New Roman"/>
          <w:sz w:val="20"/>
        </w:rPr>
        <w:t xml:space="preserve">. This IP Security Agreement has been entered into in conjunction with the provisions of the Security Agreement. Each Grantor does hereby acknowledge and confirm that the grant of the Lien and security interest hereunder to, and the rights and remedies of, the Collateral Agent with respect to the Collateral are more fully set forth in the Security Agreement, the terms and provisions of which are incorporated herein by reference as if fully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Governing Law; Jurisdiction;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questions concerning the construction, validity, enforcement and interpretation of this Agreement shall be governed by the internal laws of the State of New York, without giving effect to any provision or rule of law (whether of the State of New York or any other jurisdictions) that would cause the application of the laws of any jurisdiction other than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(ii) Each Grantor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defense or objection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Section 9(f) of the Securities Purchase Agreement or on the signature pages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Collateral Agent or the Noteholders from bringing suit or taking other legal action against any Grantor in any other jurisdiction to collect on a Grantor’s obligations or to enforce a judgment or other court ruling in favor of the Collateral Agent or a Noteholder.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WAIVER OF JURY TRIAL, ETC</w:t>
      </w:r>
      <w:r>
        <w:rPr>
          <w:rFonts w:ascii="Times New Roman" w:hAnsi="Times New Roman"/>
          <w:sz w:val="20"/>
        </w:rPr>
        <w:t xml:space="preserve">. EACH GRANTOR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(iv) Each Grantor irrevocably and unconditionally waives any right it may have to claim or recover in any legal action, suit or proceeding referred to in this Section any special, exemplary, indirect, incidental, punitive or consequential damages.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the page is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Grantor has caused this Agreement to be duly executed and delivered by its officer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5"/>
        <w:gridCol w:w="62"/>
        <w:gridCol w:w="3705"/>
      </w:tblGrid>
      <w:tr>
        <w:trPr/>
        <w:tc>
          <w:tcPr>
            <w:tcW w:w="31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[_____________________]</w:t>
            </w:r>
          </w:p>
        </w:tc>
      </w:tr>
      <w:tr>
        <w:trPr>
          <w:trHeight w:val="240" w:hRule="atLeast"/>
        </w:trPr>
        <w:tc>
          <w:tcPr>
            <w:tcW w:w="315" w:type="dxa"/>
            <w:tcBorders/>
            <w:vAlign w:val="center"/>
          </w:tcPr>
          <w:p>
            <w:pPr>
              <w:pStyle w:val="TableContents"/>
              <w:bidi w:val="0"/>
              <w:spacing w:before="0" w:after="283"/>
              <w:jc w:val="left"/>
              <w:rPr>
                <w:sz w:val="4"/>
                <w:szCs w:val="4"/>
              </w:rPr>
            </w:pPr>
            <w:r>
              <w:rPr>
                <w:sz w:val="4"/>
                <w:szCs w:val="4"/>
              </w:rPr>
            </w:r>
          </w:p>
        </w:tc>
        <w:tc>
          <w:tcPr>
            <w:tcW w:w="3767" w:type="dxa"/>
            <w:gridSpan w:val="2"/>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705" w:type="dxa"/>
            <w:tcBorders>
              <w:bottom w:val="single" w:sz="2" w:space="0" w:color="000000"/>
            </w:tcBorders>
            <w:tcMar>
              <w:bottom w:w="28" w:type="dxa"/>
            </w:tcMar>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15" w:type="dxa"/>
            <w:tcBorders/>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for Notices:</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Patents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0"/>
        <w:gridCol w:w="120"/>
        <w:gridCol w:w="1512"/>
        <w:gridCol w:w="120"/>
        <w:gridCol w:w="1379"/>
        <w:gridCol w:w="120"/>
        <w:gridCol w:w="1616"/>
        <w:gridCol w:w="120"/>
        <w:gridCol w:w="1635"/>
        <w:gridCol w:w="119"/>
        <w:gridCol w:w="1474"/>
      </w:tblGrid>
      <w:tr>
        <w:trPr/>
        <w:tc>
          <w:tcPr>
            <w:tcW w:w="19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1990" w:type="dxa"/>
            <w:tcBorders/>
          </w:tcPr>
          <w:p>
            <w:pPr>
              <w:pStyle w:val="TableContents"/>
              <w:bidi w:val="0"/>
              <w:spacing w:before="0" w:after="283"/>
              <w:jc w:val="center"/>
              <w:rPr>
                <w:b/>
                <w:u w:val="single"/>
              </w:rPr>
            </w:pPr>
            <w:r>
              <w:rPr>
                <w:b/>
                <w:u w:val="single"/>
              </w:rPr>
              <w:t>Grantor</w:t>
            </w:r>
          </w:p>
        </w:tc>
        <w:tc>
          <w:tcPr>
            <w:tcW w:w="120" w:type="dxa"/>
            <w:tcBorders/>
            <w:vAlign w:val="bottom"/>
          </w:tcPr>
          <w:p>
            <w:pPr>
              <w:pStyle w:val="TableContents"/>
              <w:bidi w:val="0"/>
              <w:spacing w:before="0" w:after="283"/>
              <w:jc w:val="left"/>
              <w:rPr/>
            </w:pPr>
            <w:r>
              <w:rPr/>
              <w:t>  </w:t>
            </w:r>
          </w:p>
        </w:tc>
        <w:tc>
          <w:tcPr>
            <w:tcW w:w="1512" w:type="dxa"/>
            <w:tcBorders/>
          </w:tcPr>
          <w:p>
            <w:pPr>
              <w:pStyle w:val="TableContents"/>
              <w:bidi w:val="0"/>
              <w:spacing w:before="0" w:after="283"/>
              <w:jc w:val="center"/>
              <w:rPr>
                <w:b/>
                <w:u w:val="single"/>
              </w:rPr>
            </w:pPr>
            <w:r>
              <w:rPr>
                <w:b/>
                <w:u w:val="single"/>
              </w:rPr>
              <w:t>Country</w:t>
            </w:r>
          </w:p>
        </w:tc>
        <w:tc>
          <w:tcPr>
            <w:tcW w:w="120" w:type="dxa"/>
            <w:tcBorders/>
            <w:vAlign w:val="bottom"/>
          </w:tcPr>
          <w:p>
            <w:pPr>
              <w:pStyle w:val="TableContents"/>
              <w:bidi w:val="0"/>
              <w:spacing w:before="0" w:after="283"/>
              <w:jc w:val="left"/>
              <w:rPr/>
            </w:pPr>
            <w:r>
              <w:rPr/>
              <w:t>  </w:t>
            </w:r>
          </w:p>
        </w:tc>
        <w:tc>
          <w:tcPr>
            <w:tcW w:w="1379" w:type="dxa"/>
            <w:tcBorders/>
          </w:tcPr>
          <w:p>
            <w:pPr>
              <w:pStyle w:val="TableContents"/>
              <w:bidi w:val="0"/>
              <w:spacing w:before="0" w:after="283"/>
              <w:jc w:val="center"/>
              <w:rPr>
                <w:b/>
                <w:u w:val="single"/>
              </w:rPr>
            </w:pPr>
            <w:r>
              <w:rPr>
                <w:b/>
                <w:u w:val="single"/>
              </w:rPr>
              <w:t>Title</w:t>
            </w:r>
          </w:p>
        </w:tc>
        <w:tc>
          <w:tcPr>
            <w:tcW w:w="120" w:type="dxa"/>
            <w:tcBorders/>
            <w:vAlign w:val="bottom"/>
          </w:tcPr>
          <w:p>
            <w:pPr>
              <w:pStyle w:val="TableContents"/>
              <w:bidi w:val="0"/>
              <w:spacing w:before="0" w:after="283"/>
              <w:jc w:val="left"/>
              <w:rPr/>
            </w:pPr>
            <w:r>
              <w:rPr/>
              <w:t>  </w:t>
            </w:r>
          </w:p>
        </w:tc>
        <w:tc>
          <w:tcPr>
            <w:tcW w:w="1616" w:type="dxa"/>
            <w:tcBorders/>
          </w:tcPr>
          <w:p>
            <w:pPr>
              <w:pStyle w:val="TableContents"/>
              <w:bidi w:val="0"/>
              <w:spacing w:before="0" w:after="283"/>
              <w:jc w:val="center"/>
              <w:rPr>
                <w:b/>
                <w:u w:val="single"/>
              </w:rPr>
            </w:pPr>
            <w:r>
              <w:rPr>
                <w:b/>
                <w:u w:val="single"/>
              </w:rPr>
              <w:t>Application or</w:t>
              <w:br/>
              <w:t>Patent No.</w:t>
            </w:r>
          </w:p>
        </w:tc>
        <w:tc>
          <w:tcPr>
            <w:tcW w:w="120" w:type="dxa"/>
            <w:tcBorders/>
            <w:vAlign w:val="bottom"/>
          </w:tcPr>
          <w:p>
            <w:pPr>
              <w:pStyle w:val="TableContents"/>
              <w:bidi w:val="0"/>
              <w:spacing w:before="0" w:after="283"/>
              <w:jc w:val="left"/>
              <w:rPr/>
            </w:pPr>
            <w:r>
              <w:rPr/>
              <w:t>  </w:t>
            </w:r>
          </w:p>
        </w:tc>
        <w:tc>
          <w:tcPr>
            <w:tcW w:w="1635" w:type="dxa"/>
            <w:tcBorders/>
          </w:tcPr>
          <w:p>
            <w:pPr>
              <w:pStyle w:val="TableContents"/>
              <w:bidi w:val="0"/>
              <w:spacing w:before="0" w:after="283"/>
              <w:jc w:val="center"/>
              <w:rPr>
                <w:b/>
                <w:u w:val="single"/>
              </w:rPr>
            </w:pPr>
            <w:r>
              <w:rPr>
                <w:b/>
                <w:u w:val="single"/>
              </w:rPr>
              <w:t>Application or Registration</w:t>
              <w:br/>
              <w:t>Date</w:t>
            </w:r>
          </w:p>
        </w:tc>
        <w:tc>
          <w:tcPr>
            <w:tcW w:w="119" w:type="dxa"/>
            <w:tcBorders/>
            <w:vAlign w:val="bottom"/>
          </w:tcPr>
          <w:p>
            <w:pPr>
              <w:pStyle w:val="TableContents"/>
              <w:bidi w:val="0"/>
              <w:spacing w:before="0" w:after="283"/>
              <w:jc w:val="left"/>
              <w:rPr/>
            </w:pPr>
            <w:r>
              <w:rPr/>
              <w:t>  </w:t>
            </w:r>
          </w:p>
        </w:tc>
        <w:tc>
          <w:tcPr>
            <w:tcW w:w="1474" w:type="dxa"/>
            <w:tcBorders/>
          </w:tcPr>
          <w:p>
            <w:pPr>
              <w:pStyle w:val="TableContents"/>
              <w:bidi w:val="0"/>
              <w:spacing w:before="0" w:after="283"/>
              <w:jc w:val="center"/>
              <w:rPr>
                <w:b/>
                <w:u w:val="single"/>
              </w:rPr>
            </w:pPr>
            <w:r>
              <w:rPr>
                <w:b/>
                <w:u w:val="single"/>
              </w:rPr>
              <w:t>Assignees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Trademarks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3"/>
        <w:gridCol w:w="120"/>
        <w:gridCol w:w="1467"/>
        <w:gridCol w:w="120"/>
        <w:gridCol w:w="1582"/>
        <w:gridCol w:w="120"/>
        <w:gridCol w:w="1604"/>
        <w:gridCol w:w="120"/>
        <w:gridCol w:w="1604"/>
        <w:gridCol w:w="120"/>
        <w:gridCol w:w="1435"/>
      </w:tblGrid>
      <w:tr>
        <w:trPr/>
        <w:tc>
          <w:tcPr>
            <w:tcW w:w="19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913" w:type="dxa"/>
            <w:tcBorders/>
          </w:tcPr>
          <w:p>
            <w:pPr>
              <w:pStyle w:val="TableContents"/>
              <w:bidi w:val="0"/>
              <w:spacing w:before="0" w:after="283"/>
              <w:jc w:val="center"/>
              <w:rPr>
                <w:b/>
                <w:u w:val="single"/>
              </w:rPr>
            </w:pPr>
            <w:r>
              <w:rPr>
                <w:b/>
                <w:u w:val="single"/>
              </w:rPr>
              <w:t>Grantor</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center"/>
              <w:rPr>
                <w:b/>
                <w:u w:val="single"/>
              </w:rPr>
            </w:pPr>
            <w:r>
              <w:rPr>
                <w:b/>
                <w:u w:val="single"/>
              </w:rPr>
              <w:t>Country</w:t>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center"/>
              <w:rPr>
                <w:b/>
                <w:u w:val="single"/>
              </w:rPr>
            </w:pPr>
            <w:r>
              <w:rPr>
                <w:b/>
                <w:u w:val="single"/>
              </w:rPr>
              <w:t>Trademark</w:t>
            </w:r>
          </w:p>
        </w:tc>
        <w:tc>
          <w:tcPr>
            <w:tcW w:w="120"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center"/>
              <w:rPr>
                <w:b/>
                <w:u w:val="single"/>
              </w:rPr>
            </w:pPr>
            <w:r>
              <w:rPr>
                <w:b/>
                <w:u w:val="single"/>
              </w:rPr>
              <w:t>Application or Registration No.</w:t>
            </w:r>
          </w:p>
        </w:tc>
        <w:tc>
          <w:tcPr>
            <w:tcW w:w="120"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center"/>
              <w:rPr>
                <w:b/>
                <w:u w:val="single"/>
              </w:rPr>
            </w:pPr>
            <w:r>
              <w:rPr>
                <w:b/>
                <w:u w:val="single"/>
              </w:rPr>
              <w:t>Application or Registration</w:t>
              <w:br/>
              <w:t>Date</w:t>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center"/>
              <w:rPr>
                <w:b/>
                <w:u w:val="single"/>
              </w:rPr>
            </w:pPr>
            <w:r>
              <w:rPr>
                <w:b/>
                <w:u w:val="single"/>
              </w:rPr>
              <w:t>Assignees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C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Copyrights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2"/>
        <w:gridCol w:w="120"/>
        <w:gridCol w:w="1346"/>
        <w:gridCol w:w="120"/>
        <w:gridCol w:w="1217"/>
        <w:gridCol w:w="120"/>
        <w:gridCol w:w="1260"/>
        <w:gridCol w:w="120"/>
        <w:gridCol w:w="1466"/>
        <w:gridCol w:w="120"/>
        <w:gridCol w:w="1231"/>
        <w:gridCol w:w="119"/>
        <w:gridCol w:w="1304"/>
      </w:tblGrid>
      <w:tr>
        <w:trPr/>
        <w:tc>
          <w:tcPr>
            <w:tcW w:w="16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662" w:type="dxa"/>
            <w:tcBorders/>
          </w:tcPr>
          <w:p>
            <w:pPr>
              <w:pStyle w:val="TableContents"/>
              <w:bidi w:val="0"/>
              <w:spacing w:before="0" w:after="283"/>
              <w:jc w:val="center"/>
              <w:rPr>
                <w:b/>
                <w:u w:val="single"/>
              </w:rPr>
            </w:pPr>
            <w:r>
              <w:rPr>
                <w:b/>
                <w:u w:val="single"/>
              </w:rPr>
              <w:t>Grantor</w:t>
            </w:r>
          </w:p>
        </w:tc>
        <w:tc>
          <w:tcPr>
            <w:tcW w:w="120" w:type="dxa"/>
            <w:tcBorders/>
            <w:vAlign w:val="bottom"/>
          </w:tcPr>
          <w:p>
            <w:pPr>
              <w:pStyle w:val="TableContents"/>
              <w:bidi w:val="0"/>
              <w:spacing w:before="0" w:after="283"/>
              <w:jc w:val="left"/>
              <w:rPr/>
            </w:pPr>
            <w:r>
              <w:rPr/>
              <w:t>  </w:t>
            </w:r>
          </w:p>
        </w:tc>
        <w:tc>
          <w:tcPr>
            <w:tcW w:w="1346" w:type="dxa"/>
            <w:tcBorders/>
          </w:tcPr>
          <w:p>
            <w:pPr>
              <w:pStyle w:val="TableContents"/>
              <w:bidi w:val="0"/>
              <w:spacing w:before="0" w:after="283"/>
              <w:jc w:val="center"/>
              <w:rPr>
                <w:b/>
                <w:u w:val="single"/>
              </w:rPr>
            </w:pPr>
            <w:r>
              <w:rPr>
                <w:b/>
                <w:u w:val="single"/>
              </w:rPr>
              <w:t>Country</w:t>
            </w:r>
          </w:p>
        </w:tc>
        <w:tc>
          <w:tcPr>
            <w:tcW w:w="120" w:type="dxa"/>
            <w:tcBorders/>
            <w:vAlign w:val="bottom"/>
          </w:tcPr>
          <w:p>
            <w:pPr>
              <w:pStyle w:val="TableContents"/>
              <w:bidi w:val="0"/>
              <w:spacing w:before="0" w:after="283"/>
              <w:jc w:val="left"/>
              <w:rPr/>
            </w:pPr>
            <w:r>
              <w:rPr/>
              <w:t>  </w:t>
            </w:r>
          </w:p>
        </w:tc>
        <w:tc>
          <w:tcPr>
            <w:tcW w:w="1217" w:type="dxa"/>
            <w:tcBorders/>
          </w:tcPr>
          <w:p>
            <w:pPr>
              <w:pStyle w:val="TableContents"/>
              <w:bidi w:val="0"/>
              <w:spacing w:before="0" w:after="283"/>
              <w:jc w:val="center"/>
              <w:rPr>
                <w:b/>
                <w:u w:val="single"/>
              </w:rPr>
            </w:pPr>
            <w:r>
              <w:rPr>
                <w:b/>
                <w:u w:val="single"/>
              </w:rPr>
              <w:t>Title</w:t>
            </w:r>
          </w:p>
        </w:tc>
        <w:tc>
          <w:tcPr>
            <w:tcW w:w="120"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b/>
                <w:u w:val="single"/>
              </w:rPr>
            </w:pPr>
            <w:r>
              <w:rPr>
                <w:b/>
                <w:u w:val="single"/>
              </w:rPr>
              <w:t>Type of Work</w:t>
            </w:r>
          </w:p>
        </w:tc>
        <w:tc>
          <w:tcPr>
            <w:tcW w:w="120" w:type="dxa"/>
            <w:tcBorders/>
            <w:vAlign w:val="bottom"/>
          </w:tcPr>
          <w:p>
            <w:pPr>
              <w:pStyle w:val="TableContents"/>
              <w:bidi w:val="0"/>
              <w:spacing w:before="0" w:after="283"/>
              <w:jc w:val="left"/>
              <w:rPr/>
            </w:pPr>
            <w:r>
              <w:rPr/>
              <w:t>  </w:t>
            </w:r>
          </w:p>
        </w:tc>
        <w:tc>
          <w:tcPr>
            <w:tcW w:w="1466" w:type="dxa"/>
            <w:tcBorders/>
          </w:tcPr>
          <w:p>
            <w:pPr>
              <w:pStyle w:val="TableContents"/>
              <w:bidi w:val="0"/>
              <w:spacing w:before="0" w:after="283"/>
              <w:jc w:val="center"/>
              <w:rPr>
                <w:b/>
                <w:u w:val="single"/>
              </w:rPr>
            </w:pPr>
            <w:r>
              <w:rPr>
                <w:b/>
                <w:u w:val="single"/>
              </w:rPr>
              <w:t>Application or Registration No.</w:t>
            </w:r>
          </w:p>
        </w:tc>
        <w:tc>
          <w:tcPr>
            <w:tcW w:w="120" w:type="dxa"/>
            <w:tcBorders/>
            <w:vAlign w:val="bottom"/>
          </w:tcPr>
          <w:p>
            <w:pPr>
              <w:pStyle w:val="TableContents"/>
              <w:bidi w:val="0"/>
              <w:spacing w:before="0" w:after="283"/>
              <w:jc w:val="left"/>
              <w:rPr/>
            </w:pPr>
            <w:r>
              <w:rPr/>
              <w:t>  </w:t>
            </w:r>
          </w:p>
        </w:tc>
        <w:tc>
          <w:tcPr>
            <w:tcW w:w="1231" w:type="dxa"/>
            <w:tcBorders/>
          </w:tcPr>
          <w:p>
            <w:pPr>
              <w:pStyle w:val="TableContents"/>
              <w:bidi w:val="0"/>
              <w:spacing w:before="0" w:after="283"/>
              <w:jc w:val="center"/>
              <w:rPr>
                <w:b/>
                <w:u w:val="single"/>
              </w:rPr>
            </w:pPr>
            <w:r>
              <w:rPr>
                <w:b/>
                <w:u w:val="single"/>
              </w:rPr>
              <w:t>Issue Date</w:t>
            </w:r>
          </w:p>
        </w:tc>
        <w:tc>
          <w:tcPr>
            <w:tcW w:w="119"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center"/>
              <w:rPr>
                <w:b/>
                <w:u w:val="single"/>
              </w:rPr>
            </w:pPr>
            <w:r>
              <w:rPr>
                <w:b/>
                <w:u w:val="single"/>
              </w:rPr>
              <w:t>Assignees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Legal Names; Organizational Identification Numbers;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States or Jurisdiction of Organization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0"/>
        <w:gridCol w:w="210"/>
        <w:gridCol w:w="75"/>
        <w:gridCol w:w="1228"/>
        <w:gridCol w:w="60"/>
        <w:gridCol w:w="210"/>
        <w:gridCol w:w="67"/>
        <w:gridCol w:w="1332"/>
        <w:gridCol w:w="60"/>
        <w:gridCol w:w="210"/>
        <w:gridCol w:w="92"/>
        <w:gridCol w:w="1336"/>
        <w:gridCol w:w="65"/>
      </w:tblGrid>
      <w:tr>
        <w:trPr/>
        <w:tc>
          <w:tcPr>
            <w:tcW w:w="52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Grantor’s Name</w:t>
            </w:r>
          </w:p>
        </w:tc>
        <w:tc>
          <w:tcPr>
            <w:tcW w:w="210"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pPr>
            <w:r>
              <w:rPr/>
              <w:t>State of</w:t>
              <w:br/>
              <w:t>Organization</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pPr>
            <w:r>
              <w:rPr/>
              <w:t>Federal</w:t>
              <w:br/>
              <w:t>Employer I.D.</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pPr>
            <w:r>
              <w:rPr/>
              <w:t>Organizational</w:t>
              <w:br/>
              <w:t>I.D.</w:t>
            </w:r>
          </w:p>
        </w:tc>
        <w:tc>
          <w:tcPr>
            <w:tcW w:w="65" w:type="dxa"/>
            <w:tcBorders/>
            <w:vAlign w:val="bottom"/>
          </w:tcPr>
          <w:p>
            <w:pPr>
              <w:pStyle w:val="TableContents"/>
              <w:bidi w:val="0"/>
              <w:spacing w:before="0" w:after="283"/>
              <w:jc w:val="left"/>
              <w:rPr/>
            </w:pPr>
            <w:r>
              <w:rPr/>
              <w:t> </w:t>
            </w:r>
          </w:p>
        </w:tc>
      </w:tr>
      <w:tr>
        <w:trPr/>
        <w:tc>
          <w:tcPr>
            <w:tcW w:w="5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Cerenome, Inc.</w:t>
            </w:r>
          </w:p>
        </w:tc>
        <w:tc>
          <w:tcPr>
            <w:tcW w:w="21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Delaware</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33-0827593</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2752020</w:t>
            </w:r>
          </w:p>
        </w:tc>
        <w:tc>
          <w:tcPr>
            <w:tcW w:w="65" w:type="dxa"/>
            <w:tcBorders/>
            <w:shd w:fill="CCEEFF" w:val="clear"/>
            <w:vAlign w:val="bottom"/>
          </w:tcPr>
          <w:p>
            <w:pPr>
              <w:pStyle w:val="TableContents"/>
              <w:bidi w:val="0"/>
              <w:spacing w:before="0" w:after="283"/>
              <w:jc w:val="left"/>
              <w:rPr/>
            </w:pPr>
            <w:r>
              <w:rPr/>
              <w:t> </w:t>
            </w:r>
          </w:p>
        </w:tc>
      </w:tr>
      <w:tr>
        <w:trPr/>
        <w:tc>
          <w:tcPr>
            <w:tcW w:w="5260" w:type="dxa"/>
            <w:tcBorders/>
          </w:tcPr>
          <w:p>
            <w:pPr>
              <w:pStyle w:val="TableContents"/>
              <w:bidi w:val="0"/>
              <w:spacing w:before="0" w:after="0"/>
              <w:jc w:val="left"/>
              <w:rPr>
                <w:rFonts w:ascii="Times New Roman" w:hAnsi="Times New Roman"/>
                <w:sz w:val="20"/>
              </w:rPr>
            </w:pPr>
            <w:r>
              <w:rPr>
                <w:rFonts w:ascii="Times New Roman" w:hAnsi="Times New Roman"/>
                <w:sz w:val="20"/>
              </w:rPr>
              <w:t>CNSide Diagnostics, LLC</w:t>
            </w:r>
          </w:p>
        </w:tc>
        <w:tc>
          <w:tcPr>
            <w:tcW w:w="21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Delaware</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99-3108953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3699552</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120" w:after="0"/>
        <w:jc w:val="center"/>
        <w:rPr>
          <w:rFonts w:ascii="Times New Roman" w:hAnsi="Times New Roman"/>
          <w:b/>
          <w:sz w:val="20"/>
        </w:rPr>
      </w:pPr>
      <w:r>
        <w:rPr>
          <w:rFonts w:ascii="Times New Roman" w:hAnsi="Times New Roman"/>
          <w:b/>
          <w:sz w:val="20"/>
        </w:rPr>
        <w:t xml:space="preserve">Intellectual Property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Patents </w:t>
      </w:r>
    </w:p>
    <w:p>
      <w:pPr>
        <w:pStyle w:val="TextBody"/>
        <w:bidi w:val="0"/>
        <w:spacing w:before="120" w:after="0"/>
        <w:jc w:val="center"/>
        <w:rPr>
          <w:rFonts w:ascii="Times New Roman" w:hAnsi="Times New Roman"/>
          <w:b/>
          <w:sz w:val="20"/>
        </w:rPr>
      </w:pPr>
      <w:r>
        <w:rPr>
          <w:rFonts w:ascii="Times New Roman" w:hAnsi="Times New Roman"/>
          <w:b/>
          <w:sz w:val="20"/>
        </w:rPr>
        <w:t xml:space="preserve">FBT Gibbons G118973-G114725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(PLUS-2702) </w:t>
      </w:r>
    </w:p>
    <w:p>
      <w:pPr>
        <w:pStyle w:val="TextBody"/>
        <w:bidi w:val="0"/>
        <w:spacing w:before="120" w:after="0"/>
        <w:jc w:val="center"/>
        <w:rPr>
          <w:rFonts w:ascii="Times New Roman" w:hAnsi="Times New Roman"/>
          <w:b/>
          <w:sz w:val="20"/>
        </w:rPr>
      </w:pPr>
      <w:r>
        <w:rPr>
          <w:rFonts w:ascii="Times New Roman" w:hAnsi="Times New Roman"/>
          <w:b/>
          <w:sz w:val="20"/>
        </w:rPr>
        <w:t xml:space="preserve">PATHOGEN INACTIVATING AND NUCLEIC ACID STABILIZATION MEDIA FOR MICROORGANISM COLLECTION AND TRANSPORT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9"/>
        <w:gridCol w:w="120"/>
        <w:gridCol w:w="1633"/>
        <w:gridCol w:w="120"/>
        <w:gridCol w:w="1448"/>
        <w:gridCol w:w="120"/>
        <w:gridCol w:w="1491"/>
        <w:gridCol w:w="120"/>
        <w:gridCol w:w="1439"/>
        <w:gridCol w:w="119"/>
        <w:gridCol w:w="1546"/>
      </w:tblGrid>
      <w:tr>
        <w:trPr/>
        <w:tc>
          <w:tcPr>
            <w:tcW w:w="20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bottom"/>
          </w:tcPr>
          <w:p>
            <w:pPr>
              <w:pStyle w:val="TableContents"/>
              <w:bidi w:val="0"/>
              <w:spacing w:before="0" w:after="283"/>
              <w:jc w:val="left"/>
              <w:rPr>
                <w:sz w:val="4"/>
                <w:szCs w:val="4"/>
              </w:rPr>
            </w:pPr>
            <w:r>
              <w:rPr>
                <w:sz w:val="4"/>
                <w:szCs w:val="4"/>
              </w:rPr>
            </w:r>
          </w:p>
        </w:tc>
      </w:tr>
      <w:tr>
        <w:trPr/>
        <w:tc>
          <w:tcPr>
            <w:tcW w:w="2049"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63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44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4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43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19" w:type="dxa"/>
            <w:tcBorders/>
            <w:vAlign w:val="bottom"/>
          </w:tcPr>
          <w:p>
            <w:pPr>
              <w:pStyle w:val="TableContents"/>
              <w:bidi w:val="0"/>
              <w:spacing w:before="0" w:after="283"/>
              <w:jc w:val="left"/>
              <w:rPr/>
            </w:pPr>
            <w:r>
              <w:rPr/>
              <w:t>  </w:t>
            </w:r>
          </w:p>
        </w:tc>
        <w:tc>
          <w:tcPr>
            <w:tcW w:w="15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2049"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63/112,384</w:t>
            </w:r>
          </w:p>
        </w:tc>
        <w:tc>
          <w:tcPr>
            <w:tcW w:w="120" w:type="dxa"/>
            <w:tcBorders/>
            <w:vAlign w:val="bottom"/>
          </w:tcPr>
          <w:p>
            <w:pPr>
              <w:pStyle w:val="TableContents"/>
              <w:bidi w:val="0"/>
              <w:spacing w:before="0" w:after="283"/>
              <w:jc w:val="left"/>
              <w:rPr/>
            </w:pPr>
            <w:r>
              <w:rPr/>
              <w:t>  </w:t>
            </w:r>
          </w:p>
        </w:tc>
        <w:tc>
          <w:tcPr>
            <w:tcW w:w="1448" w:type="dxa"/>
            <w:tcBorders/>
          </w:tcPr>
          <w:p>
            <w:pPr>
              <w:pStyle w:val="TableContents"/>
              <w:bidi w:val="0"/>
              <w:spacing w:before="0" w:after="283"/>
              <w:jc w:val="left"/>
              <w:rPr/>
            </w:pPr>
            <w:r>
              <w:rPr/>
              <w:t>11/11/2020</w:t>
            </w:r>
          </w:p>
        </w:tc>
        <w:tc>
          <w:tcPr>
            <w:tcW w:w="120" w:type="dxa"/>
            <w:tcBorders/>
            <w:vAlign w:val="bottom"/>
          </w:tcPr>
          <w:p>
            <w:pPr>
              <w:pStyle w:val="TableContents"/>
              <w:bidi w:val="0"/>
              <w:spacing w:before="0" w:after="283"/>
              <w:jc w:val="left"/>
              <w:rPr/>
            </w:pPr>
            <w:r>
              <w:rPr/>
              <w:t>  </w:t>
            </w:r>
          </w:p>
        </w:tc>
        <w:tc>
          <w:tcPr>
            <w:tcW w:w="14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283"/>
              <w:jc w:val="left"/>
              <w:rPr/>
            </w:pPr>
            <w:r>
              <w:rPr/>
              <w:t>Expired</w:t>
            </w:r>
          </w:p>
        </w:tc>
      </w:tr>
      <w:tr>
        <w:trPr/>
        <w:tc>
          <w:tcPr>
            <w:tcW w:w="2049"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18/252,684</w:t>
            </w:r>
          </w:p>
        </w:tc>
        <w:tc>
          <w:tcPr>
            <w:tcW w:w="120" w:type="dxa"/>
            <w:tcBorders/>
            <w:vAlign w:val="bottom"/>
          </w:tcPr>
          <w:p>
            <w:pPr>
              <w:pStyle w:val="TableContents"/>
              <w:bidi w:val="0"/>
              <w:spacing w:before="0" w:after="283"/>
              <w:jc w:val="left"/>
              <w:rPr/>
            </w:pPr>
            <w:r>
              <w:rPr/>
              <w:t>  </w:t>
            </w:r>
          </w:p>
        </w:tc>
        <w:tc>
          <w:tcPr>
            <w:tcW w:w="1448" w:type="dxa"/>
            <w:tcBorders/>
          </w:tcPr>
          <w:p>
            <w:pPr>
              <w:pStyle w:val="TableContents"/>
              <w:bidi w:val="0"/>
              <w:spacing w:before="0" w:after="283"/>
              <w:jc w:val="left"/>
              <w:rPr/>
            </w:pPr>
            <w:r>
              <w:rPr/>
              <w:t>05/11/2023</w:t>
            </w:r>
          </w:p>
        </w:tc>
        <w:tc>
          <w:tcPr>
            <w:tcW w:w="120" w:type="dxa"/>
            <w:tcBorders/>
            <w:vAlign w:val="bottom"/>
          </w:tcPr>
          <w:p>
            <w:pPr>
              <w:pStyle w:val="TableContents"/>
              <w:bidi w:val="0"/>
              <w:spacing w:before="0" w:after="283"/>
              <w:jc w:val="left"/>
              <w:rPr/>
            </w:pPr>
            <w:r>
              <w:rPr/>
              <w:t>  </w:t>
            </w:r>
          </w:p>
        </w:tc>
        <w:tc>
          <w:tcPr>
            <w:tcW w:w="14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283"/>
              <w:jc w:val="left"/>
              <w:rPr/>
            </w:pPr>
            <w:r>
              <w:rPr/>
              <w:t>Abandoned</w:t>
            </w:r>
          </w:p>
        </w:tc>
      </w:tr>
      <w:tr>
        <w:trPr/>
        <w:tc>
          <w:tcPr>
            <w:tcW w:w="2049"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19/665,209</w:t>
            </w:r>
          </w:p>
        </w:tc>
        <w:tc>
          <w:tcPr>
            <w:tcW w:w="120" w:type="dxa"/>
            <w:tcBorders/>
            <w:vAlign w:val="bottom"/>
          </w:tcPr>
          <w:p>
            <w:pPr>
              <w:pStyle w:val="TableContents"/>
              <w:bidi w:val="0"/>
              <w:spacing w:before="0" w:after="283"/>
              <w:jc w:val="left"/>
              <w:rPr/>
            </w:pPr>
            <w:r>
              <w:rPr/>
              <w:t>  </w:t>
            </w:r>
          </w:p>
        </w:tc>
        <w:tc>
          <w:tcPr>
            <w:tcW w:w="1448" w:type="dxa"/>
            <w:tcBorders/>
          </w:tcPr>
          <w:p>
            <w:pPr>
              <w:pStyle w:val="TableContents"/>
              <w:bidi w:val="0"/>
              <w:spacing w:before="0" w:after="283"/>
              <w:jc w:val="left"/>
              <w:rPr/>
            </w:pPr>
            <w:r>
              <w:rPr/>
              <w:t>05/01/2026</w:t>
            </w:r>
          </w:p>
        </w:tc>
        <w:tc>
          <w:tcPr>
            <w:tcW w:w="120" w:type="dxa"/>
            <w:tcBorders/>
            <w:vAlign w:val="bottom"/>
          </w:tcPr>
          <w:p>
            <w:pPr>
              <w:pStyle w:val="TableContents"/>
              <w:bidi w:val="0"/>
              <w:spacing w:before="0" w:after="283"/>
              <w:jc w:val="left"/>
              <w:rPr/>
            </w:pPr>
            <w:r>
              <w:rPr/>
              <w:t>  </w:t>
            </w:r>
          </w:p>
        </w:tc>
        <w:tc>
          <w:tcPr>
            <w:tcW w:w="14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283"/>
              <w:jc w:val="left"/>
              <w:rPr/>
            </w:pPr>
            <w:r>
              <w:rPr/>
              <w:t>Pending</w:t>
            </w:r>
          </w:p>
        </w:tc>
      </w:tr>
      <w:tr>
        <w:trPr/>
        <w:tc>
          <w:tcPr>
            <w:tcW w:w="2049" w:type="dxa"/>
            <w:tcBorders/>
          </w:tcPr>
          <w:p>
            <w:pPr>
              <w:pStyle w:val="TableContents"/>
              <w:bidi w:val="0"/>
              <w:spacing w:before="0" w:after="283"/>
              <w:jc w:val="left"/>
              <w:rPr/>
            </w:pPr>
            <w:r>
              <w:rPr/>
              <w:t>PCT</w:t>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PCT/US2021/059004  </w:t>
            </w:r>
          </w:p>
        </w:tc>
        <w:tc>
          <w:tcPr>
            <w:tcW w:w="120" w:type="dxa"/>
            <w:tcBorders/>
            <w:vAlign w:val="bottom"/>
          </w:tcPr>
          <w:p>
            <w:pPr>
              <w:pStyle w:val="TableContents"/>
              <w:bidi w:val="0"/>
              <w:spacing w:before="0" w:after="283"/>
              <w:jc w:val="left"/>
              <w:rPr/>
            </w:pPr>
            <w:r>
              <w:rPr/>
              <w:t>  </w:t>
            </w:r>
          </w:p>
        </w:tc>
        <w:tc>
          <w:tcPr>
            <w:tcW w:w="1448" w:type="dxa"/>
            <w:tcBorders/>
          </w:tcPr>
          <w:p>
            <w:pPr>
              <w:pStyle w:val="TableContents"/>
              <w:bidi w:val="0"/>
              <w:spacing w:before="0" w:after="283"/>
              <w:jc w:val="left"/>
              <w:rPr/>
            </w:pPr>
            <w:r>
              <w:rPr/>
              <w:t>11/11/2021</w:t>
            </w:r>
          </w:p>
        </w:tc>
        <w:tc>
          <w:tcPr>
            <w:tcW w:w="120" w:type="dxa"/>
            <w:tcBorders/>
            <w:vAlign w:val="bottom"/>
          </w:tcPr>
          <w:p>
            <w:pPr>
              <w:pStyle w:val="TableContents"/>
              <w:bidi w:val="0"/>
              <w:spacing w:before="0" w:after="283"/>
              <w:jc w:val="left"/>
              <w:rPr/>
            </w:pPr>
            <w:r>
              <w:rPr/>
              <w:t>  </w:t>
            </w:r>
          </w:p>
        </w:tc>
        <w:tc>
          <w:tcPr>
            <w:tcW w:w="14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283"/>
              <w:jc w:val="left"/>
              <w:rPr/>
            </w:pPr>
            <w:r>
              <w:rPr/>
              <w:t>Expired</w:t>
            </w:r>
          </w:p>
        </w:tc>
      </w:tr>
      <w:tr>
        <w:trPr/>
        <w:tc>
          <w:tcPr>
            <w:tcW w:w="2049" w:type="dxa"/>
            <w:tcBorders/>
          </w:tcPr>
          <w:p>
            <w:pPr>
              <w:pStyle w:val="TableContents"/>
              <w:bidi w:val="0"/>
              <w:spacing w:before="0" w:after="283"/>
              <w:jc w:val="left"/>
              <w:rPr/>
            </w:pPr>
            <w:r>
              <w:rPr/>
              <w:t>Europe</w:t>
            </w:r>
          </w:p>
        </w:tc>
        <w:tc>
          <w:tcPr>
            <w:tcW w:w="12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21892820.8</w:t>
            </w:r>
          </w:p>
        </w:tc>
        <w:tc>
          <w:tcPr>
            <w:tcW w:w="120" w:type="dxa"/>
            <w:tcBorders/>
            <w:vAlign w:val="bottom"/>
          </w:tcPr>
          <w:p>
            <w:pPr>
              <w:pStyle w:val="TableContents"/>
              <w:bidi w:val="0"/>
              <w:spacing w:before="0" w:after="283"/>
              <w:jc w:val="left"/>
              <w:rPr/>
            </w:pPr>
            <w:r>
              <w:rPr/>
              <w:t>  </w:t>
            </w:r>
          </w:p>
        </w:tc>
        <w:tc>
          <w:tcPr>
            <w:tcW w:w="1448" w:type="dxa"/>
            <w:tcBorders/>
          </w:tcPr>
          <w:p>
            <w:pPr>
              <w:pStyle w:val="TableContents"/>
              <w:bidi w:val="0"/>
              <w:spacing w:before="0" w:after="283"/>
              <w:jc w:val="left"/>
              <w:rPr/>
            </w:pPr>
            <w:r>
              <w:rPr/>
              <w:t>11/11/2021</w:t>
            </w:r>
          </w:p>
        </w:tc>
        <w:tc>
          <w:tcPr>
            <w:tcW w:w="120" w:type="dxa"/>
            <w:tcBorders/>
            <w:vAlign w:val="bottom"/>
          </w:tcPr>
          <w:p>
            <w:pPr>
              <w:pStyle w:val="TableContents"/>
              <w:bidi w:val="0"/>
              <w:spacing w:before="0" w:after="283"/>
              <w:jc w:val="left"/>
              <w:rPr/>
            </w:pPr>
            <w:r>
              <w:rPr/>
              <w:t>  </w:t>
            </w:r>
          </w:p>
        </w:tc>
        <w:tc>
          <w:tcPr>
            <w:tcW w:w="149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283"/>
              <w:jc w:val="left"/>
              <w:rPr/>
            </w:pPr>
            <w:r>
              <w:rPr/>
              <w:t>Pending</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G118973-G114726 </w:t>
      </w:r>
    </w:p>
    <w:p>
      <w:pPr>
        <w:pStyle w:val="TextBody"/>
        <w:bidi w:val="0"/>
        <w:spacing w:before="120" w:after="0"/>
        <w:jc w:val="center"/>
        <w:rPr>
          <w:rFonts w:ascii="Times New Roman" w:hAnsi="Times New Roman"/>
          <w:b/>
          <w:sz w:val="20"/>
        </w:rPr>
      </w:pPr>
      <w:r>
        <w:rPr>
          <w:rFonts w:ascii="Times New Roman" w:hAnsi="Times New Roman"/>
          <w:b/>
          <w:sz w:val="20"/>
        </w:rPr>
        <w:t xml:space="preserve">LM (PLUS-0005) </w:t>
      </w:r>
    </w:p>
    <w:p>
      <w:pPr>
        <w:pStyle w:val="TextBody"/>
        <w:bidi w:val="0"/>
        <w:spacing w:before="120" w:after="0"/>
        <w:jc w:val="center"/>
        <w:rPr>
          <w:rFonts w:ascii="Times New Roman" w:hAnsi="Times New Roman"/>
          <w:b/>
          <w:sz w:val="20"/>
        </w:rPr>
      </w:pPr>
      <w:r>
        <w:rPr>
          <w:rFonts w:ascii="Times New Roman" w:hAnsi="Times New Roman"/>
          <w:b/>
          <w:sz w:val="20"/>
        </w:rPr>
        <w:t xml:space="preserve">RADIOLABELED LIPOSOMES AND METHODS OF USE FOR TREATING LEPTOMENINGEAL METASTASES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2"/>
        <w:gridCol w:w="122"/>
        <w:gridCol w:w="1866"/>
        <w:gridCol w:w="122"/>
        <w:gridCol w:w="1408"/>
        <w:gridCol w:w="122"/>
        <w:gridCol w:w="1458"/>
        <w:gridCol w:w="122"/>
        <w:gridCol w:w="1397"/>
        <w:gridCol w:w="122"/>
        <w:gridCol w:w="1444"/>
      </w:tblGrid>
      <w:tr>
        <w:trPr/>
        <w:tc>
          <w:tcPr>
            <w:tcW w:w="202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2022"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2" w:type="dxa"/>
            <w:tcBorders/>
            <w:vAlign w:val="bottom"/>
          </w:tcPr>
          <w:p>
            <w:pPr>
              <w:pStyle w:val="TableContents"/>
              <w:bidi w:val="0"/>
              <w:spacing w:before="0" w:after="283"/>
              <w:jc w:val="left"/>
              <w:rPr/>
            </w:pPr>
            <w:r>
              <w:rPr/>
              <w:t>  </w:t>
            </w:r>
          </w:p>
        </w:tc>
        <w:tc>
          <w:tcPr>
            <w:tcW w:w="186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2" w:type="dxa"/>
            <w:tcBorders/>
            <w:vAlign w:val="bottom"/>
          </w:tcPr>
          <w:p>
            <w:pPr>
              <w:pStyle w:val="TableContents"/>
              <w:bidi w:val="0"/>
              <w:spacing w:before="0" w:after="283"/>
              <w:jc w:val="left"/>
              <w:rPr/>
            </w:pPr>
            <w:r>
              <w:rPr/>
              <w:t>  </w:t>
            </w:r>
          </w:p>
        </w:tc>
        <w:tc>
          <w:tcPr>
            <w:tcW w:w="140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2" w:type="dxa"/>
            <w:tcBorders/>
            <w:vAlign w:val="bottom"/>
          </w:tcPr>
          <w:p>
            <w:pPr>
              <w:pStyle w:val="TableContents"/>
              <w:bidi w:val="0"/>
              <w:spacing w:before="0" w:after="283"/>
              <w:jc w:val="left"/>
              <w:rPr/>
            </w:pPr>
            <w:r>
              <w:rPr/>
              <w:t>  </w:t>
            </w:r>
          </w:p>
        </w:tc>
        <w:tc>
          <w:tcPr>
            <w:tcW w:w="14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2"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2" w:type="dxa"/>
            <w:tcBorders/>
            <w:vAlign w:val="bottom"/>
          </w:tcPr>
          <w:p>
            <w:pPr>
              <w:pStyle w:val="TableContents"/>
              <w:bidi w:val="0"/>
              <w:spacing w:before="0" w:after="283"/>
              <w:jc w:val="left"/>
              <w:rPr/>
            </w:pPr>
            <w:r>
              <w:rPr/>
              <w:t>  </w:t>
            </w:r>
          </w:p>
        </w:tc>
        <w:tc>
          <w:tcPr>
            <w:tcW w:w="14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2022" w:type="dxa"/>
            <w:tcBorders/>
          </w:tcPr>
          <w:p>
            <w:pPr>
              <w:pStyle w:val="TableContents"/>
              <w:bidi w:val="0"/>
              <w:spacing w:before="0" w:after="283"/>
              <w:jc w:val="left"/>
              <w:rPr/>
            </w:pPr>
            <w:r>
              <w:rPr/>
              <w:t>U.S.A.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63/302,953</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01/25/2022</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Expired</w:t>
            </w:r>
          </w:p>
        </w:tc>
      </w:tr>
      <w:tr>
        <w:trPr/>
        <w:tc>
          <w:tcPr>
            <w:tcW w:w="2022" w:type="dxa"/>
            <w:tcBorders/>
          </w:tcPr>
          <w:p>
            <w:pPr>
              <w:pStyle w:val="TableContents"/>
              <w:bidi w:val="0"/>
              <w:spacing w:before="0" w:after="283"/>
              <w:jc w:val="left"/>
              <w:rPr/>
            </w:pPr>
            <w:r>
              <w:rPr/>
              <w:t>U.S.A.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63/333,050</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04/20/2022</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Expired</w:t>
            </w:r>
          </w:p>
        </w:tc>
      </w:tr>
      <w:tr>
        <w:trPr/>
        <w:tc>
          <w:tcPr>
            <w:tcW w:w="2022" w:type="dxa"/>
            <w:tcBorders/>
          </w:tcPr>
          <w:p>
            <w:pPr>
              <w:pStyle w:val="TableContents"/>
              <w:bidi w:val="0"/>
              <w:spacing w:before="0" w:after="283"/>
              <w:jc w:val="left"/>
              <w:rPr/>
            </w:pPr>
            <w:r>
              <w:rPr/>
              <w:t>U.S.A.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63/343,034</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05/17/2022</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Expired</w:t>
            </w:r>
          </w:p>
        </w:tc>
      </w:tr>
      <w:tr>
        <w:trPr/>
        <w:tc>
          <w:tcPr>
            <w:tcW w:w="2022" w:type="dxa"/>
            <w:tcBorders/>
          </w:tcPr>
          <w:p>
            <w:pPr>
              <w:pStyle w:val="TableContents"/>
              <w:bidi w:val="0"/>
              <w:spacing w:before="0" w:after="283"/>
              <w:jc w:val="left"/>
              <w:rPr/>
            </w:pPr>
            <w:r>
              <w:rPr/>
              <w:t>U.S.A.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18/784,347</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07/25/2024</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Pending</w:t>
            </w:r>
          </w:p>
        </w:tc>
      </w:tr>
      <w:tr>
        <w:trPr/>
        <w:tc>
          <w:tcPr>
            <w:tcW w:w="2022" w:type="dxa"/>
            <w:tcBorders/>
          </w:tcPr>
          <w:p>
            <w:pPr>
              <w:pStyle w:val="TableContents"/>
              <w:bidi w:val="0"/>
              <w:spacing w:before="0" w:after="283"/>
              <w:jc w:val="left"/>
              <w:rPr/>
            </w:pPr>
            <w:r>
              <w:rPr/>
              <w:t>PCT</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PCT/US2023/011564</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Expired</w:t>
            </w:r>
          </w:p>
        </w:tc>
      </w:tr>
      <w:tr>
        <w:trPr/>
        <w:tc>
          <w:tcPr>
            <w:tcW w:w="2022" w:type="dxa"/>
            <w:tcBorders/>
          </w:tcPr>
          <w:p>
            <w:pPr>
              <w:pStyle w:val="TableContents"/>
              <w:bidi w:val="0"/>
              <w:spacing w:before="0" w:after="283"/>
              <w:jc w:val="left"/>
              <w:rPr/>
            </w:pPr>
            <w:r>
              <w:rPr/>
              <w:t>Australia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2023212044</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Allowed</w:t>
            </w:r>
          </w:p>
        </w:tc>
      </w:tr>
      <w:tr>
        <w:trPr/>
        <w:tc>
          <w:tcPr>
            <w:tcW w:w="2022" w:type="dxa"/>
            <w:tcBorders/>
          </w:tcPr>
          <w:p>
            <w:pPr>
              <w:pStyle w:val="TableContents"/>
              <w:bidi w:val="0"/>
              <w:spacing w:before="0" w:after="283"/>
              <w:jc w:val="left"/>
              <w:rPr/>
            </w:pPr>
            <w:r>
              <w:rPr/>
              <w:t>Australia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2026205150</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Pending</w:t>
            </w:r>
          </w:p>
        </w:tc>
      </w:tr>
      <w:tr>
        <w:trPr/>
        <w:tc>
          <w:tcPr>
            <w:tcW w:w="2022" w:type="dxa"/>
            <w:tcBorders/>
          </w:tcPr>
          <w:p>
            <w:pPr>
              <w:pStyle w:val="TableContents"/>
              <w:bidi w:val="0"/>
              <w:spacing w:before="0" w:after="283"/>
              <w:jc w:val="left"/>
              <w:rPr/>
            </w:pPr>
            <w:r>
              <w:rPr/>
              <w:t>Brazil</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BR112024015200-6  </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Pending</w:t>
            </w:r>
          </w:p>
        </w:tc>
      </w:tr>
      <w:tr>
        <w:trPr/>
        <w:tc>
          <w:tcPr>
            <w:tcW w:w="2022" w:type="dxa"/>
            <w:tcBorders/>
          </w:tcPr>
          <w:p>
            <w:pPr>
              <w:pStyle w:val="TableContents"/>
              <w:bidi w:val="0"/>
              <w:spacing w:before="0" w:after="283"/>
              <w:jc w:val="left"/>
              <w:rPr/>
            </w:pPr>
            <w:r>
              <w:rPr/>
              <w:t>Canada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3243234</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Allowed</w:t>
            </w:r>
          </w:p>
        </w:tc>
      </w:tr>
      <w:tr>
        <w:trPr/>
        <w:tc>
          <w:tcPr>
            <w:tcW w:w="2022" w:type="dxa"/>
            <w:tcBorders/>
          </w:tcPr>
          <w:p>
            <w:pPr>
              <w:pStyle w:val="TableContents"/>
              <w:bidi w:val="0"/>
              <w:spacing w:before="0" w:after="283"/>
              <w:jc w:val="left"/>
              <w:rPr/>
            </w:pPr>
            <w:r>
              <w:rPr/>
              <w:t>China</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202380027947.9</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Pending</w:t>
            </w:r>
          </w:p>
        </w:tc>
      </w:tr>
      <w:tr>
        <w:trPr/>
        <w:tc>
          <w:tcPr>
            <w:tcW w:w="2022" w:type="dxa"/>
            <w:tcBorders/>
          </w:tcPr>
          <w:p>
            <w:pPr>
              <w:pStyle w:val="TableContents"/>
              <w:bidi w:val="0"/>
              <w:spacing w:before="0" w:after="283"/>
              <w:jc w:val="left"/>
              <w:rPr/>
            </w:pPr>
            <w:r>
              <w:rPr/>
              <w:t>Europe</w:t>
            </w:r>
          </w:p>
        </w:tc>
        <w:tc>
          <w:tcPr>
            <w:tcW w:w="122" w:type="dxa"/>
            <w:tcBorders/>
            <w:vAlign w:val="bottom"/>
          </w:tcPr>
          <w:p>
            <w:pPr>
              <w:pStyle w:val="TableContents"/>
              <w:bidi w:val="0"/>
              <w:spacing w:before="0" w:after="283"/>
              <w:jc w:val="left"/>
              <w:rPr/>
            </w:pPr>
            <w:r>
              <w:rPr/>
              <w:t>  </w:t>
            </w:r>
          </w:p>
        </w:tc>
        <w:tc>
          <w:tcPr>
            <w:tcW w:w="1866" w:type="dxa"/>
            <w:tcBorders/>
          </w:tcPr>
          <w:p>
            <w:pPr>
              <w:pStyle w:val="TableContents"/>
              <w:bidi w:val="0"/>
              <w:spacing w:before="0" w:after="283"/>
              <w:jc w:val="left"/>
              <w:rPr/>
            </w:pPr>
            <w:r>
              <w:rPr/>
              <w:t>23747577.7</w:t>
            </w:r>
          </w:p>
        </w:tc>
        <w:tc>
          <w:tcPr>
            <w:tcW w:w="122" w:type="dxa"/>
            <w:tcBorders/>
            <w:vAlign w:val="bottom"/>
          </w:tcPr>
          <w:p>
            <w:pPr>
              <w:pStyle w:val="TableContents"/>
              <w:bidi w:val="0"/>
              <w:spacing w:before="0" w:after="283"/>
              <w:jc w:val="left"/>
              <w:rPr/>
            </w:pPr>
            <w:r>
              <w:rPr/>
              <w:t>  </w:t>
            </w:r>
          </w:p>
        </w:tc>
        <w:tc>
          <w:tcPr>
            <w:tcW w:w="1408" w:type="dxa"/>
            <w:tcBorders/>
          </w:tcPr>
          <w:p>
            <w:pPr>
              <w:pStyle w:val="TableContents"/>
              <w:bidi w:val="0"/>
              <w:spacing w:before="0" w:after="283"/>
              <w:jc w:val="left"/>
              <w:rPr/>
            </w:pPr>
            <w:r>
              <w:rPr/>
              <w:t>01/25/2023</w:t>
            </w:r>
          </w:p>
        </w:tc>
        <w:tc>
          <w:tcPr>
            <w:tcW w:w="122" w:type="dxa"/>
            <w:tcBorders/>
            <w:vAlign w:val="bottom"/>
          </w:tcPr>
          <w:p>
            <w:pPr>
              <w:pStyle w:val="TableContents"/>
              <w:bidi w:val="0"/>
              <w:spacing w:before="0" w:after="283"/>
              <w:jc w:val="left"/>
              <w:rPr/>
            </w:pPr>
            <w:r>
              <w:rPr/>
              <w:t>  </w:t>
            </w:r>
          </w:p>
        </w:tc>
        <w:tc>
          <w:tcPr>
            <w:tcW w:w="145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Pending</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079"/>
        <w:gridCol w:w="120"/>
        <w:gridCol w:w="1722"/>
        <w:gridCol w:w="120"/>
        <w:gridCol w:w="1444"/>
        <w:gridCol w:w="120"/>
        <w:gridCol w:w="1485"/>
        <w:gridCol w:w="120"/>
        <w:gridCol w:w="1435"/>
        <w:gridCol w:w="120"/>
        <w:gridCol w:w="1440"/>
      </w:tblGrid>
      <w:tr>
        <w:trPr/>
        <w:tc>
          <w:tcPr>
            <w:tcW w:w="20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2079"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7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4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48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4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44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2079"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62025109733.8</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Indonesia</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P00202408220</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Israel</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314471</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Japan</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2024-566187</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Korea</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10-2024-7028450</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MX/a/2024/009199</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Malaysia</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PI 2024004338</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r>
        <w:trPr/>
        <w:tc>
          <w:tcPr>
            <w:tcW w:w="2079" w:type="dxa"/>
            <w:tcBorders/>
          </w:tcPr>
          <w:p>
            <w:pPr>
              <w:pStyle w:val="TableContents"/>
              <w:bidi w:val="0"/>
              <w:spacing w:before="0" w:after="283"/>
              <w:jc w:val="left"/>
              <w:rPr/>
            </w:pPr>
            <w:r>
              <w:rPr/>
              <w:t>South Africa</w:t>
            </w:r>
          </w:p>
        </w:tc>
        <w:tc>
          <w:tcPr>
            <w:tcW w:w="12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2024/06074</w:t>
            </w:r>
          </w:p>
        </w:tc>
        <w:tc>
          <w:tcPr>
            <w:tcW w:w="120" w:type="dxa"/>
            <w:tcBorders/>
            <w:vAlign w:val="bottom"/>
          </w:tcPr>
          <w:p>
            <w:pPr>
              <w:pStyle w:val="TableContents"/>
              <w:bidi w:val="0"/>
              <w:spacing w:before="0" w:after="283"/>
              <w:jc w:val="left"/>
              <w:rPr/>
            </w:pPr>
            <w:r>
              <w:rPr/>
              <w:t>  </w:t>
            </w:r>
          </w:p>
        </w:tc>
        <w:tc>
          <w:tcPr>
            <w:tcW w:w="1444" w:type="dxa"/>
            <w:tcBorders/>
          </w:tcPr>
          <w:p>
            <w:pPr>
              <w:pStyle w:val="TableContents"/>
              <w:bidi w:val="0"/>
              <w:spacing w:before="0" w:after="283"/>
              <w:jc w:val="left"/>
              <w:rPr/>
            </w:pPr>
            <w:r>
              <w:rPr/>
              <w:t>01/25/2023</w:t>
            </w:r>
          </w:p>
        </w:tc>
        <w:tc>
          <w:tcPr>
            <w:tcW w:w="120"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3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0" w:type="dxa"/>
            <w:tcBorders/>
          </w:tcPr>
          <w:p>
            <w:pPr>
              <w:pStyle w:val="TableContents"/>
              <w:bidi w:val="0"/>
              <w:spacing w:before="0" w:after="283"/>
              <w:jc w:val="left"/>
              <w:rPr/>
            </w:pPr>
            <w:r>
              <w:rPr/>
              <w:t>Pending</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FBT Gibbons G118973-G114727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(PLUS-1900) </w:t>
      </w:r>
    </w:p>
    <w:p>
      <w:pPr>
        <w:pStyle w:val="TextBody"/>
        <w:bidi w:val="0"/>
        <w:spacing w:before="120" w:after="0"/>
        <w:jc w:val="center"/>
        <w:rPr>
          <w:rFonts w:ascii="Times New Roman" w:hAnsi="Times New Roman"/>
          <w:b/>
          <w:sz w:val="20"/>
        </w:rPr>
      </w:pPr>
      <w:r>
        <w:rPr>
          <w:rFonts w:ascii="Times New Roman" w:hAnsi="Times New Roman"/>
          <w:b/>
          <w:sz w:val="20"/>
        </w:rPr>
        <w:t xml:space="preserve">CELL SEPARATION USING MICROCHANNEL HAVING PATTERNED POSTS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3"/>
        <w:gridCol w:w="120"/>
        <w:gridCol w:w="1531"/>
        <w:gridCol w:w="120"/>
        <w:gridCol w:w="1451"/>
        <w:gridCol w:w="120"/>
        <w:gridCol w:w="1581"/>
        <w:gridCol w:w="120"/>
        <w:gridCol w:w="1447"/>
        <w:gridCol w:w="120"/>
        <w:gridCol w:w="1542"/>
      </w:tblGrid>
      <w:tr>
        <w:trPr/>
        <w:tc>
          <w:tcPr>
            <w:tcW w:w="20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05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53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45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5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44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54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60/678,004</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05/04/2005</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Expired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11/038,920</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01/18/2005</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pPr>
            <w:r>
              <w:rPr/>
              <w:t>8,158,410</w:t>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pPr>
            <w:r>
              <w:rPr/>
              <w:t>04/17/2012</w:t>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Granted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11/458,668</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07/19/2006</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Abandoned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828"/>
        <w:gridCol w:w="125"/>
        <w:gridCol w:w="1813"/>
        <w:gridCol w:w="125"/>
        <w:gridCol w:w="1280"/>
        <w:gridCol w:w="125"/>
        <w:gridCol w:w="1955"/>
        <w:gridCol w:w="125"/>
        <w:gridCol w:w="1273"/>
        <w:gridCol w:w="124"/>
        <w:gridCol w:w="1432"/>
      </w:tblGrid>
      <w:tr>
        <w:trPr/>
        <w:tc>
          <w:tcPr>
            <w:tcW w:w="18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11/814,276</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11/25/2008</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13/525,225</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06/15/2012</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9,212,977</w:t>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pPr>
            <w:r>
              <w:rPr/>
              <w:t>12/15/2015</w:t>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14/937,481</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11/10/2015</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15/193,712</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06/27/2016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10,369,568</w:t>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pPr>
            <w:r>
              <w:rPr/>
              <w:t>08/06/2019</w:t>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16/507,363</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07/10/2019</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18/413,881</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01/16/2024</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PCT</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PCT/US06/00383</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200680002401.4</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ZL200680002401.4</w:t>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pPr>
            <w:r>
              <w:rPr/>
              <w:t>07/17/2013</w:t>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rHeight w:val="240" w:hRule="atLeast"/>
        </w:trPr>
        <w:tc>
          <w:tcPr>
            <w:tcW w:w="1828" w:type="dxa"/>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c>
          <w:tcPr>
            <w:tcW w:w="1405" w:type="dxa"/>
            <w:gridSpan w:val="2"/>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c>
          <w:tcPr>
            <w:tcW w:w="1398" w:type="dxa"/>
            <w:gridSpan w:val="2"/>
            <w:tcBorders/>
            <w:vAlign w:val="center"/>
          </w:tcPr>
          <w:p>
            <w:pPr>
              <w:pStyle w:val="TableContents"/>
              <w:bidi w:val="0"/>
              <w:spacing w:before="0" w:after="283"/>
              <w:jc w:val="left"/>
              <w:rPr>
                <w:sz w:val="4"/>
                <w:szCs w:val="4"/>
              </w:rPr>
            </w:pPr>
            <w:r>
              <w:rPr>
                <w:sz w:val="4"/>
                <w:szCs w:val="4"/>
              </w:rPr>
            </w:r>
          </w:p>
        </w:tc>
        <w:tc>
          <w:tcPr>
            <w:tcW w:w="1556" w:type="dxa"/>
            <w:gridSpan w:val="2"/>
            <w:tcBorders/>
            <w:vAlign w:val="center"/>
          </w:tcPr>
          <w:p>
            <w:pPr>
              <w:pStyle w:val="TableContents"/>
              <w:bidi w:val="0"/>
              <w:spacing w:before="0" w:after="283"/>
              <w:jc w:val="left"/>
              <w:rPr>
                <w:sz w:val="4"/>
                <w:szCs w:val="4"/>
              </w:rPr>
            </w:pPr>
            <w:r>
              <w:rPr>
                <w:sz w:val="4"/>
                <w:szCs w:val="4"/>
              </w:rPr>
            </w:r>
          </w:p>
        </w:tc>
      </w:tr>
      <w:tr>
        <w:trPr/>
        <w:tc>
          <w:tcPr>
            <w:tcW w:w="1828"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5" w:type="dxa"/>
            <w:tcBorders/>
            <w:vAlign w:val="bottom"/>
          </w:tcPr>
          <w:p>
            <w:pPr>
              <w:pStyle w:val="TableContents"/>
              <w:bidi w:val="0"/>
              <w:spacing w:before="0" w:after="283"/>
              <w:jc w:val="left"/>
              <w:rPr/>
            </w:pPr>
            <w:r>
              <w:rPr/>
              <w:t>  </w:t>
            </w:r>
          </w:p>
        </w:tc>
        <w:tc>
          <w:tcPr>
            <w:tcW w:w="181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5"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5" w:type="dxa"/>
            <w:tcBorders/>
            <w:vAlign w:val="bottom"/>
          </w:tcPr>
          <w:p>
            <w:pPr>
              <w:pStyle w:val="TableContents"/>
              <w:bidi w:val="0"/>
              <w:spacing w:before="0" w:after="283"/>
              <w:jc w:val="left"/>
              <w:rPr/>
            </w:pPr>
            <w:r>
              <w:rPr/>
              <w:t>  </w:t>
            </w:r>
          </w:p>
        </w:tc>
        <w:tc>
          <w:tcPr>
            <w:tcW w:w="19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5"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4" w:type="dxa"/>
            <w:tcBorders/>
            <w:vAlign w:val="bottom"/>
          </w:tcPr>
          <w:p>
            <w:pPr>
              <w:pStyle w:val="TableContents"/>
              <w:bidi w:val="0"/>
              <w:spacing w:before="0" w:after="283"/>
              <w:jc w:val="left"/>
              <w:rPr/>
            </w:pPr>
            <w:r>
              <w:rPr/>
              <w:t>  </w:t>
            </w:r>
          </w:p>
        </w:tc>
        <w:tc>
          <w:tcPr>
            <w:tcW w:w="143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201310240119.1</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ZL201310240119.1</w:t>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pPr>
            <w:r>
              <w:rPr/>
              <w:t>05/25/2016</w:t>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06717562.0</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1838442</w:t>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pPr>
            <w:r>
              <w:rPr/>
              <w:t>09/11/2013</w:t>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12195814.4</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08107280.6</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1116720</w:t>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pPr>
            <w:r>
              <w:rPr/>
              <w:t>03/28/2014</w:t>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14104295.8</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2991/KOLNP/2007  </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28" w:type="dxa"/>
            <w:tcBorders/>
          </w:tcPr>
          <w:p>
            <w:pPr>
              <w:pStyle w:val="TableContents"/>
              <w:bidi w:val="0"/>
              <w:spacing w:before="0" w:after="0"/>
              <w:jc w:val="left"/>
              <w:rPr>
                <w:rFonts w:ascii="Times New Roman" w:hAnsi="Times New Roman"/>
                <w:sz w:val="20"/>
              </w:rPr>
            </w:pPr>
            <w:r>
              <w:rPr>
                <w:rFonts w:ascii="Times New Roman" w:hAnsi="Times New Roman"/>
                <w:sz w:val="20"/>
              </w:rPr>
              <w:t>Israel</w:t>
            </w:r>
          </w:p>
        </w:tc>
        <w:tc>
          <w:tcPr>
            <w:tcW w:w="125" w:type="dxa"/>
            <w:tcBorders/>
            <w:vAlign w:val="bottom"/>
          </w:tcPr>
          <w:p>
            <w:pPr>
              <w:pStyle w:val="TableContents"/>
              <w:bidi w:val="0"/>
              <w:spacing w:before="0" w:after="283"/>
              <w:jc w:val="left"/>
              <w:rPr/>
            </w:pPr>
            <w:r>
              <w:rPr/>
              <w:t>  </w:t>
            </w:r>
          </w:p>
        </w:tc>
        <w:tc>
          <w:tcPr>
            <w:tcW w:w="1813" w:type="dxa"/>
            <w:tcBorders/>
            <w:vAlign w:val="bottom"/>
          </w:tcPr>
          <w:p>
            <w:pPr>
              <w:pStyle w:val="TableContents"/>
              <w:bidi w:val="0"/>
              <w:spacing w:before="0" w:after="283"/>
              <w:jc w:val="left"/>
              <w:rPr/>
            </w:pPr>
            <w:r>
              <w:rPr/>
              <w:t>184345</w:t>
            </w:r>
          </w:p>
        </w:tc>
        <w:tc>
          <w:tcPr>
            <w:tcW w:w="12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pPr>
            <w:r>
              <w:rPr/>
              <w:t>01/05/2006</w:t>
            </w:r>
          </w:p>
        </w:tc>
        <w:tc>
          <w:tcPr>
            <w:tcW w:w="125"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70"/>
        <w:gridCol w:w="121"/>
        <w:gridCol w:w="1756"/>
        <w:gridCol w:w="121"/>
        <w:gridCol w:w="1425"/>
        <w:gridCol w:w="121"/>
        <w:gridCol w:w="1535"/>
        <w:gridCol w:w="121"/>
        <w:gridCol w:w="1425"/>
        <w:gridCol w:w="121"/>
        <w:gridCol w:w="1489"/>
      </w:tblGrid>
      <w:tr>
        <w:trPr/>
        <w:tc>
          <w:tcPr>
            <w:tcW w:w="19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1"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left"/>
              <w:rPr/>
            </w:pPr>
            <w:r>
              <w:rPr/>
              <w:t>2007-551296</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01/05/2006</w:t>
            </w:r>
          </w:p>
        </w:tc>
        <w:tc>
          <w:tcPr>
            <w:tcW w:w="12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1"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left"/>
              <w:rPr/>
            </w:pPr>
            <w:r>
              <w:rPr/>
              <w:t>2015-015222</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01/05/2006</w:t>
            </w:r>
          </w:p>
        </w:tc>
        <w:tc>
          <w:tcPr>
            <w:tcW w:w="12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1"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left"/>
              <w:rPr/>
            </w:pPr>
            <w:r>
              <w:rPr/>
              <w:t>2016-255895</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01/05/2006</w:t>
            </w:r>
          </w:p>
        </w:tc>
        <w:tc>
          <w:tcPr>
            <w:tcW w:w="12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1"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left"/>
              <w:rPr/>
            </w:pPr>
            <w:r>
              <w:rPr/>
              <w:t>2012-048659</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01/05/2006</w:t>
            </w:r>
          </w:p>
        </w:tc>
        <w:tc>
          <w:tcPr>
            <w:tcW w:w="12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pPr>
            <w:r>
              <w:rPr/>
              <w:t>5824387</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10/16/2015</w:t>
            </w:r>
          </w:p>
        </w:tc>
        <w:tc>
          <w:tcPr>
            <w:tcW w:w="121"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1"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left"/>
              <w:rPr/>
            </w:pPr>
            <w:r>
              <w:rPr/>
              <w:t>1020077018895</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01/05/2006</w:t>
            </w:r>
          </w:p>
        </w:tc>
        <w:tc>
          <w:tcPr>
            <w:tcW w:w="12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21"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left"/>
              <w:rPr/>
            </w:pPr>
            <w:r>
              <w:rPr/>
              <w:t>095115566</w:t>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pPr>
            <w:r>
              <w:rPr/>
              <w:t>05/02/2006</w:t>
            </w:r>
          </w:p>
        </w:tc>
        <w:tc>
          <w:tcPr>
            <w:tcW w:w="121"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FBT Gibbons G118973-G114730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(PLUS-2203) </w:t>
      </w:r>
    </w:p>
    <w:p>
      <w:pPr>
        <w:pStyle w:val="TextBody"/>
        <w:bidi w:val="0"/>
        <w:spacing w:before="120" w:after="0"/>
        <w:jc w:val="center"/>
        <w:rPr>
          <w:rFonts w:ascii="Times New Roman" w:hAnsi="Times New Roman"/>
          <w:b/>
          <w:sz w:val="20"/>
        </w:rPr>
      </w:pPr>
      <w:r>
        <w:rPr>
          <w:rFonts w:ascii="Times New Roman" w:hAnsi="Times New Roman"/>
          <w:b/>
          <w:sz w:val="20"/>
        </w:rPr>
        <w:t xml:space="preserve">DEVICES AND METHODS OF CELL CAPTURE AND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3"/>
        <w:gridCol w:w="120"/>
        <w:gridCol w:w="1531"/>
        <w:gridCol w:w="120"/>
        <w:gridCol w:w="1451"/>
        <w:gridCol w:w="120"/>
        <w:gridCol w:w="1581"/>
        <w:gridCol w:w="120"/>
        <w:gridCol w:w="1447"/>
        <w:gridCol w:w="120"/>
        <w:gridCol w:w="1542"/>
      </w:tblGrid>
      <w:tr>
        <w:trPr/>
        <w:tc>
          <w:tcPr>
            <w:tcW w:w="20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05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53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45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5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44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54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61/163,009</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03/24/2009</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Expired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61/235,615</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08/20/2009</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Expired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61/298,871</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01/27/2010</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Expired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12/730,738</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03/24/2010</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pPr>
            <w:r>
              <w:rPr/>
              <w:t>9,128,082</w:t>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pPr>
            <w:r>
              <w:rPr/>
              <w:t>09/08/2015</w:t>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Granted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13/269,532</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10/07/2011</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Abandoned</w:t>
            </w:r>
          </w:p>
        </w:tc>
      </w:tr>
      <w:tr>
        <w:trPr/>
        <w:tc>
          <w:tcPr>
            <w:tcW w:w="205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pPr>
            <w:r>
              <w:rPr/>
              <w:t>14/223,980</w:t>
            </w:r>
          </w:p>
        </w:tc>
        <w:tc>
          <w:tcPr>
            <w:tcW w:w="120"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03/24/2014</w:t>
            </w:r>
          </w:p>
        </w:tc>
        <w:tc>
          <w:tcPr>
            <w:tcW w:w="120" w:type="dxa"/>
            <w:tcBorders/>
            <w:vAlign w:val="bottom"/>
          </w:tcPr>
          <w:p>
            <w:pPr>
              <w:pStyle w:val="TableContents"/>
              <w:bidi w:val="0"/>
              <w:spacing w:before="0" w:after="283"/>
              <w:jc w:val="left"/>
              <w:rPr/>
            </w:pPr>
            <w:r>
              <w:rPr/>
              <w:t>  </w:t>
            </w:r>
          </w:p>
        </w:tc>
        <w:tc>
          <w:tcPr>
            <w:tcW w:w="1581" w:type="dxa"/>
            <w:tcBorders/>
          </w:tcPr>
          <w:p>
            <w:pPr>
              <w:pStyle w:val="TableContents"/>
              <w:bidi w:val="0"/>
              <w:spacing w:before="0" w:after="283"/>
              <w:jc w:val="left"/>
              <w:rPr/>
            </w:pPr>
            <w:r>
              <w:rPr/>
              <w:t>9,671,407</w:t>
            </w:r>
          </w:p>
        </w:tc>
        <w:tc>
          <w:tcPr>
            <w:tcW w:w="12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pPr>
            <w:r>
              <w:rPr/>
              <w:t>06/06/2017</w:t>
            </w:r>
          </w:p>
        </w:tc>
        <w:tc>
          <w:tcPr>
            <w:tcW w:w="120" w:type="dxa"/>
            <w:tcBorders/>
            <w:vAlign w:val="bottom"/>
          </w:tcPr>
          <w:p>
            <w:pPr>
              <w:pStyle w:val="TableContents"/>
              <w:bidi w:val="0"/>
              <w:spacing w:before="0" w:after="283"/>
              <w:jc w:val="left"/>
              <w:rPr/>
            </w:pPr>
            <w:r>
              <w:rPr/>
              <w:t>  </w:t>
            </w:r>
          </w:p>
        </w:tc>
        <w:tc>
          <w:tcPr>
            <w:tcW w:w="1542" w:type="dxa"/>
            <w:tcBorders/>
          </w:tcPr>
          <w:p>
            <w:pPr>
              <w:pStyle w:val="TableContents"/>
              <w:bidi w:val="0"/>
              <w:spacing w:before="0" w:after="283"/>
              <w:jc w:val="left"/>
              <w:rPr/>
            </w:pPr>
            <w:r>
              <w:rPr/>
              <w:t>Granted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501"/>
        <w:gridCol w:w="128"/>
        <w:gridCol w:w="1807"/>
        <w:gridCol w:w="128"/>
        <w:gridCol w:w="993"/>
        <w:gridCol w:w="128"/>
        <w:gridCol w:w="2024"/>
        <w:gridCol w:w="127"/>
        <w:gridCol w:w="1156"/>
        <w:gridCol w:w="128"/>
        <w:gridCol w:w="2085"/>
      </w:tblGrid>
      <w:tr>
        <w:trPr/>
        <w:tc>
          <w:tcPr>
            <w:tcW w:w="150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8"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left"/>
              <w:rPr/>
            </w:pPr>
            <w:r>
              <w:rPr/>
              <w:t>14/812,498</w:t>
            </w:r>
          </w:p>
        </w:tc>
        <w:tc>
          <w:tcPr>
            <w:tcW w:w="12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07/29/2015</w:t>
            </w:r>
          </w:p>
        </w:tc>
        <w:tc>
          <w:tcPr>
            <w:tcW w:w="128"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left"/>
              <w:rPr/>
            </w:pPr>
            <w:r>
              <w:rPr/>
              <w:t>10,527,611</w:t>
            </w:r>
          </w:p>
        </w:tc>
        <w:tc>
          <w:tcPr>
            <w:tcW w:w="12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01/07/2020</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8"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left"/>
              <w:rPr/>
            </w:pPr>
            <w:r>
              <w:rPr/>
              <w:t>16/695,976</w:t>
            </w:r>
          </w:p>
        </w:tc>
        <w:tc>
          <w:tcPr>
            <w:tcW w:w="12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11/26/2019</w:t>
            </w:r>
          </w:p>
        </w:tc>
        <w:tc>
          <w:tcPr>
            <w:tcW w:w="128"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left"/>
              <w:rPr/>
            </w:pPr>
            <w:r>
              <w:rPr/>
              <w:t>11,719,692</w:t>
            </w:r>
          </w:p>
        </w:tc>
        <w:tc>
          <w:tcPr>
            <w:tcW w:w="12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08/08/2023</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8"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left"/>
              <w:rPr/>
            </w:pPr>
            <w:r>
              <w:rPr/>
              <w:t>18/334,185</w:t>
            </w:r>
          </w:p>
        </w:tc>
        <w:tc>
          <w:tcPr>
            <w:tcW w:w="12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06/13/2023</w:t>
            </w:r>
          </w:p>
        </w:tc>
        <w:tc>
          <w:tcPr>
            <w:tcW w:w="128"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8"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left"/>
              <w:rPr/>
            </w:pPr>
            <w:r>
              <w:rPr/>
              <w:t>19/546,605</w:t>
            </w:r>
          </w:p>
        </w:tc>
        <w:tc>
          <w:tcPr>
            <w:tcW w:w="12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02/23/2026</w:t>
            </w:r>
          </w:p>
        </w:tc>
        <w:tc>
          <w:tcPr>
            <w:tcW w:w="128"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0"/>
              <w:jc w:val="left"/>
              <w:rPr>
                <w:rFonts w:ascii="Times New Roman" w:hAnsi="Times New Roman"/>
                <w:sz w:val="20"/>
              </w:rPr>
            </w:pPr>
            <w:r>
              <w:rPr>
                <w:rFonts w:ascii="Times New Roman" w:hAnsi="Times New Roman"/>
                <w:sz w:val="20"/>
              </w:rPr>
              <w:t>Pending</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PCT</w:t>
            </w:r>
          </w:p>
        </w:tc>
        <w:tc>
          <w:tcPr>
            <w:tcW w:w="128"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left"/>
              <w:rPr/>
            </w:pPr>
            <w:r>
              <w:rPr/>
              <w:t>PCT/US10/28499</w:t>
            </w:r>
          </w:p>
        </w:tc>
        <w:tc>
          <w:tcPr>
            <w:tcW w:w="12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Australia</w:t>
            </w:r>
          </w:p>
        </w:tc>
        <w:tc>
          <w:tcPr>
            <w:tcW w:w="128" w:type="dxa"/>
            <w:tcBorders/>
            <w:vAlign w:val="bottom"/>
          </w:tcPr>
          <w:p>
            <w:pPr>
              <w:pStyle w:val="TableContents"/>
              <w:bidi w:val="0"/>
              <w:spacing w:before="0" w:after="283"/>
              <w:jc w:val="left"/>
              <w:rPr/>
            </w:pPr>
            <w:r>
              <w:rPr/>
              <w:t>  </w:t>
            </w:r>
          </w:p>
        </w:tc>
        <w:tc>
          <w:tcPr>
            <w:tcW w:w="1807" w:type="dxa"/>
            <w:tcBorders/>
            <w:vAlign w:val="bottom"/>
          </w:tcPr>
          <w:p>
            <w:pPr>
              <w:pStyle w:val="TableContents"/>
              <w:bidi w:val="0"/>
              <w:spacing w:before="0" w:after="283"/>
              <w:jc w:val="left"/>
              <w:rPr/>
            </w:pPr>
            <w:r>
              <w:rPr/>
              <w:t>2010229924</w:t>
            </w:r>
          </w:p>
        </w:tc>
        <w:tc>
          <w:tcPr>
            <w:tcW w:w="128"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left"/>
              <w:rPr/>
            </w:pPr>
            <w:r>
              <w:rPr/>
              <w:t>2010229924</w:t>
            </w:r>
          </w:p>
        </w:tc>
        <w:tc>
          <w:tcPr>
            <w:tcW w:w="127"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07/21/2016</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r>
      <w:tr>
        <w:trPr>
          <w:trHeight w:val="240" w:hRule="atLeast"/>
        </w:trPr>
        <w:tc>
          <w:tcPr>
            <w:tcW w:w="1501" w:type="dxa"/>
            <w:tcBorders/>
            <w:vAlign w:val="center"/>
          </w:tcPr>
          <w:p>
            <w:pPr>
              <w:pStyle w:val="TableContents"/>
              <w:bidi w:val="0"/>
              <w:spacing w:before="0" w:after="283"/>
              <w:jc w:val="left"/>
              <w:rPr>
                <w:sz w:val="4"/>
                <w:szCs w:val="4"/>
              </w:rPr>
            </w:pPr>
            <w:r>
              <w:rPr>
                <w:sz w:val="4"/>
                <w:szCs w:val="4"/>
              </w:rPr>
            </w:r>
          </w:p>
        </w:tc>
        <w:tc>
          <w:tcPr>
            <w:tcW w:w="1935" w:type="dxa"/>
            <w:gridSpan w:val="2"/>
            <w:tcBorders/>
            <w:vAlign w:val="center"/>
          </w:tcPr>
          <w:p>
            <w:pPr>
              <w:pStyle w:val="TableContents"/>
              <w:bidi w:val="0"/>
              <w:spacing w:before="0" w:after="283"/>
              <w:jc w:val="left"/>
              <w:rPr>
                <w:sz w:val="4"/>
                <w:szCs w:val="4"/>
              </w:rPr>
            </w:pPr>
            <w:r>
              <w:rPr>
                <w:sz w:val="4"/>
                <w:szCs w:val="4"/>
              </w:rPr>
            </w:r>
          </w:p>
        </w:tc>
        <w:tc>
          <w:tcPr>
            <w:tcW w:w="1121"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c>
          <w:tcPr>
            <w:tcW w:w="1283" w:type="dxa"/>
            <w:gridSpan w:val="2"/>
            <w:tcBorders/>
            <w:vAlign w:val="center"/>
          </w:tcPr>
          <w:p>
            <w:pPr>
              <w:pStyle w:val="TableContents"/>
              <w:bidi w:val="0"/>
              <w:spacing w:before="0" w:after="283"/>
              <w:jc w:val="left"/>
              <w:rPr>
                <w:sz w:val="4"/>
                <w:szCs w:val="4"/>
              </w:rPr>
            </w:pPr>
            <w:r>
              <w:rPr>
                <w:sz w:val="4"/>
                <w:szCs w:val="4"/>
              </w:rPr>
            </w:r>
          </w:p>
        </w:tc>
        <w:tc>
          <w:tcPr>
            <w:tcW w:w="2213" w:type="dxa"/>
            <w:gridSpan w:val="2"/>
            <w:tcBorders/>
            <w:vAlign w:val="center"/>
          </w:tcPr>
          <w:p>
            <w:pPr>
              <w:pStyle w:val="TableContents"/>
              <w:bidi w:val="0"/>
              <w:spacing w:before="0" w:after="283"/>
              <w:jc w:val="left"/>
              <w:rPr>
                <w:sz w:val="4"/>
                <w:szCs w:val="4"/>
              </w:rPr>
            </w:pPr>
            <w:r>
              <w:rPr>
                <w:sz w:val="4"/>
                <w:szCs w:val="4"/>
              </w:rPr>
            </w:r>
          </w:p>
        </w:tc>
      </w:tr>
      <w:tr>
        <w:trPr/>
        <w:tc>
          <w:tcPr>
            <w:tcW w:w="1501"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8" w:type="dxa"/>
            <w:tcBorders/>
            <w:vAlign w:val="bottom"/>
          </w:tcPr>
          <w:p>
            <w:pPr>
              <w:pStyle w:val="TableContents"/>
              <w:bidi w:val="0"/>
              <w:spacing w:before="0" w:after="283"/>
              <w:jc w:val="left"/>
              <w:rPr/>
            </w:pPr>
            <w:r>
              <w:rPr/>
              <w:t>  </w:t>
            </w:r>
          </w:p>
        </w:tc>
        <w:tc>
          <w:tcPr>
            <w:tcW w:w="180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8" w:type="dxa"/>
            <w:tcBorders/>
            <w:vAlign w:val="bottom"/>
          </w:tcPr>
          <w:p>
            <w:pPr>
              <w:pStyle w:val="TableContents"/>
              <w:bidi w:val="0"/>
              <w:spacing w:before="0" w:after="283"/>
              <w:jc w:val="left"/>
              <w:rPr/>
            </w:pPr>
            <w:r>
              <w:rPr/>
              <w:t>  </w:t>
            </w:r>
          </w:p>
        </w:tc>
        <w:tc>
          <w:tcPr>
            <w:tcW w:w="9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8" w:type="dxa"/>
            <w:tcBorders/>
            <w:vAlign w:val="bottom"/>
          </w:tcPr>
          <w:p>
            <w:pPr>
              <w:pStyle w:val="TableContents"/>
              <w:bidi w:val="0"/>
              <w:spacing w:before="0" w:after="283"/>
              <w:jc w:val="left"/>
              <w:rPr/>
            </w:pPr>
            <w:r>
              <w:rPr/>
              <w:t>  </w:t>
            </w:r>
          </w:p>
        </w:tc>
        <w:tc>
          <w:tcPr>
            <w:tcW w:w="202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7" w:type="dxa"/>
            <w:tcBorders/>
            <w:vAlign w:val="bottom"/>
          </w:tcPr>
          <w:p>
            <w:pPr>
              <w:pStyle w:val="TableContents"/>
              <w:bidi w:val="0"/>
              <w:spacing w:before="0" w:after="283"/>
              <w:jc w:val="left"/>
              <w:rPr/>
            </w:pPr>
            <w:r>
              <w:rPr/>
              <w:t>  </w:t>
            </w:r>
          </w:p>
        </w:tc>
        <w:tc>
          <w:tcPr>
            <w:tcW w:w="11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8" w:type="dxa"/>
            <w:tcBorders/>
            <w:vAlign w:val="bottom"/>
          </w:tcPr>
          <w:p>
            <w:pPr>
              <w:pStyle w:val="TableContents"/>
              <w:bidi w:val="0"/>
              <w:spacing w:before="0" w:after="283"/>
              <w:jc w:val="left"/>
              <w:rPr/>
            </w:pPr>
            <w:r>
              <w:rPr/>
              <w:t>  </w:t>
            </w:r>
          </w:p>
        </w:tc>
        <w:tc>
          <w:tcPr>
            <w:tcW w:w="208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501" w:type="dxa"/>
            <w:tcBorders/>
          </w:tcPr>
          <w:p>
            <w:pPr>
              <w:pStyle w:val="TableContents"/>
              <w:bidi w:val="0"/>
              <w:spacing w:before="0" w:after="283"/>
              <w:jc w:val="left"/>
              <w:rPr/>
            </w:pPr>
            <w:r>
              <w:rPr/>
              <w:t>Australia</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2016222325</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2016222325</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09/14/2017</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Canada</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2756493</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2756493</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07/02/2019</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China</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201080019566.9</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ZL201080019566.9 </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05/07/2019</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China</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201910312087.9</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Abandoned</w:t>
            </w:r>
          </w:p>
        </w:tc>
      </w:tr>
      <w:tr>
        <w:trPr/>
        <w:tc>
          <w:tcPr>
            <w:tcW w:w="1501" w:type="dxa"/>
            <w:tcBorders/>
          </w:tcPr>
          <w:p>
            <w:pPr>
              <w:pStyle w:val="TableContents"/>
              <w:bidi w:val="0"/>
              <w:spacing w:before="0" w:after="283"/>
              <w:jc w:val="left"/>
              <w:rPr/>
            </w:pPr>
            <w:r>
              <w:rPr/>
              <w:t>Europe</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10756790.1</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2411808</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11/11/2015</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 (valid in DE, ES, FR, GB, IT)</w:t>
            </w:r>
          </w:p>
        </w:tc>
      </w:tr>
      <w:tr>
        <w:trPr/>
        <w:tc>
          <w:tcPr>
            <w:tcW w:w="1501" w:type="dxa"/>
            <w:tcBorders/>
          </w:tcPr>
          <w:p>
            <w:pPr>
              <w:pStyle w:val="TableContents"/>
              <w:bidi w:val="0"/>
              <w:spacing w:before="0" w:after="283"/>
              <w:jc w:val="left"/>
              <w:rPr/>
            </w:pPr>
            <w:r>
              <w:rPr/>
              <w:t>Europe</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15188374.1</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2995953</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11/292017</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 (valid in DE, FR, GB, IT)</w:t>
            </w:r>
          </w:p>
        </w:tc>
      </w:tr>
      <w:tr>
        <w:trPr/>
        <w:tc>
          <w:tcPr>
            <w:tcW w:w="1501" w:type="dxa"/>
            <w:tcBorders/>
          </w:tcPr>
          <w:p>
            <w:pPr>
              <w:pStyle w:val="TableContents"/>
              <w:bidi w:val="0"/>
              <w:spacing w:before="0" w:after="283"/>
              <w:jc w:val="left"/>
              <w:rPr/>
            </w:pPr>
            <w:r>
              <w:rPr/>
              <w:t>Hong Kong</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16110945.7</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1222901</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07/14/2017</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Japan</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2012-502208</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5923035</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04/22/2016</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Japan</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2014-237778</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6081434</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01/27/2017</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Japan</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2015-251296</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6463668</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01/11/2019</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Granted</w:t>
            </w:r>
          </w:p>
        </w:tc>
      </w:tr>
      <w:tr>
        <w:trPr/>
        <w:tc>
          <w:tcPr>
            <w:tcW w:w="1501" w:type="dxa"/>
            <w:tcBorders/>
          </w:tcPr>
          <w:p>
            <w:pPr>
              <w:pStyle w:val="TableContents"/>
              <w:bidi w:val="0"/>
              <w:spacing w:before="0" w:after="283"/>
              <w:jc w:val="left"/>
              <w:rPr/>
            </w:pPr>
            <w:r>
              <w:rPr/>
              <w:t>Japan</w:t>
            </w:r>
          </w:p>
        </w:tc>
        <w:tc>
          <w:tcPr>
            <w:tcW w:w="128" w:type="dxa"/>
            <w:tcBorders/>
            <w:vAlign w:val="bottom"/>
          </w:tcPr>
          <w:p>
            <w:pPr>
              <w:pStyle w:val="TableContents"/>
              <w:bidi w:val="0"/>
              <w:spacing w:before="0" w:after="283"/>
              <w:jc w:val="left"/>
              <w:rPr/>
            </w:pPr>
            <w:r>
              <w:rPr/>
              <w:t>  </w:t>
            </w:r>
          </w:p>
        </w:tc>
        <w:tc>
          <w:tcPr>
            <w:tcW w:w="1807" w:type="dxa"/>
            <w:tcBorders/>
          </w:tcPr>
          <w:p>
            <w:pPr>
              <w:pStyle w:val="TableContents"/>
              <w:bidi w:val="0"/>
              <w:spacing w:before="0" w:after="283"/>
              <w:jc w:val="left"/>
              <w:rPr/>
            </w:pPr>
            <w:r>
              <w:rPr/>
              <w:t>2018-204145</w:t>
            </w:r>
          </w:p>
        </w:tc>
        <w:tc>
          <w:tcPr>
            <w:tcW w:w="128" w:type="dxa"/>
            <w:tcBorders/>
            <w:vAlign w:val="bottom"/>
          </w:tcPr>
          <w:p>
            <w:pPr>
              <w:pStyle w:val="TableContents"/>
              <w:bidi w:val="0"/>
              <w:spacing w:before="0" w:after="283"/>
              <w:jc w:val="left"/>
              <w:rPr/>
            </w:pPr>
            <w:r>
              <w:rPr/>
              <w:t>  </w:t>
            </w:r>
          </w:p>
        </w:tc>
        <w:tc>
          <w:tcPr>
            <w:tcW w:w="993" w:type="dxa"/>
            <w:tcBorders/>
          </w:tcPr>
          <w:p>
            <w:pPr>
              <w:pStyle w:val="TableContents"/>
              <w:bidi w:val="0"/>
              <w:spacing w:before="0" w:after="283"/>
              <w:jc w:val="left"/>
              <w:rPr/>
            </w:pPr>
            <w:r>
              <w:rPr/>
              <w:t>03/24/2010</w:t>
            </w:r>
          </w:p>
        </w:tc>
        <w:tc>
          <w:tcPr>
            <w:tcW w:w="128"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6771010</w:t>
            </w:r>
          </w:p>
        </w:tc>
        <w:tc>
          <w:tcPr>
            <w:tcW w:w="127"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09/30/2020</w:t>
            </w:r>
          </w:p>
        </w:tc>
        <w:tc>
          <w:tcPr>
            <w:tcW w:w="128" w:type="dxa"/>
            <w:tcBorders/>
            <w:vAlign w:val="bottom"/>
          </w:tcPr>
          <w:p>
            <w:pPr>
              <w:pStyle w:val="TableContents"/>
              <w:bidi w:val="0"/>
              <w:spacing w:before="0" w:after="283"/>
              <w:jc w:val="left"/>
              <w:rPr/>
            </w:pPr>
            <w:r>
              <w:rPr/>
              <w:t>  </w:t>
            </w:r>
          </w:p>
        </w:tc>
        <w:tc>
          <w:tcPr>
            <w:tcW w:w="2085" w:type="dxa"/>
            <w:tcBorders/>
          </w:tcPr>
          <w:p>
            <w:pPr>
              <w:pStyle w:val="TableContents"/>
              <w:bidi w:val="0"/>
              <w:spacing w:before="0" w:after="283"/>
              <w:jc w:val="left"/>
              <w:rPr/>
            </w:pPr>
            <w:r>
              <w:rPr/>
              <w:t>Annuity Due 30-Sep-2026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G118973-G114732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(PLUS-2409) </w:t>
      </w:r>
    </w:p>
    <w:p>
      <w:pPr>
        <w:pStyle w:val="TextBody"/>
        <w:bidi w:val="0"/>
        <w:spacing w:before="120" w:after="0"/>
        <w:jc w:val="center"/>
        <w:rPr>
          <w:rFonts w:ascii="Times New Roman" w:hAnsi="Times New Roman"/>
          <w:b/>
          <w:sz w:val="20"/>
        </w:rPr>
      </w:pPr>
      <w:r>
        <w:rPr>
          <w:rFonts w:ascii="Times New Roman" w:hAnsi="Times New Roman"/>
          <w:b/>
          <w:sz w:val="20"/>
        </w:rPr>
        <w:t xml:space="preserve">METHODS AND REAGENTS FOR SIGNAL AMPLIFICATION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4"/>
        <w:gridCol w:w="124"/>
        <w:gridCol w:w="1800"/>
        <w:gridCol w:w="124"/>
        <w:gridCol w:w="1270"/>
        <w:gridCol w:w="124"/>
        <w:gridCol w:w="1941"/>
        <w:gridCol w:w="124"/>
        <w:gridCol w:w="1262"/>
        <w:gridCol w:w="124"/>
        <w:gridCol w:w="1498"/>
      </w:tblGrid>
      <w:tr>
        <w:trPr/>
        <w:tc>
          <w:tcPr>
            <w:tcW w:w="181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1814"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4" w:type="dxa"/>
            <w:tcBorders/>
            <w:vAlign w:val="bottom"/>
          </w:tcPr>
          <w:p>
            <w:pPr>
              <w:pStyle w:val="TableContents"/>
              <w:bidi w:val="0"/>
              <w:spacing w:before="0" w:after="283"/>
              <w:jc w:val="left"/>
              <w:rPr/>
            </w:pPr>
            <w:r>
              <w:rPr/>
              <w:t>  </w:t>
            </w:r>
          </w:p>
        </w:tc>
        <w:tc>
          <w:tcPr>
            <w:tcW w:w="18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4" w:type="dxa"/>
            <w:tcBorders/>
            <w:vAlign w:val="bottom"/>
          </w:tcPr>
          <w:p>
            <w:pPr>
              <w:pStyle w:val="TableContents"/>
              <w:bidi w:val="0"/>
              <w:spacing w:before="0" w:after="283"/>
              <w:jc w:val="left"/>
              <w:rPr/>
            </w:pPr>
            <w:r>
              <w:rPr/>
              <w:t>  </w:t>
            </w:r>
          </w:p>
        </w:tc>
        <w:tc>
          <w:tcPr>
            <w:tcW w:w="12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4" w:type="dxa"/>
            <w:tcBorders/>
            <w:vAlign w:val="bottom"/>
          </w:tcPr>
          <w:p>
            <w:pPr>
              <w:pStyle w:val="TableContents"/>
              <w:bidi w:val="0"/>
              <w:spacing w:before="0" w:after="283"/>
              <w:jc w:val="left"/>
              <w:rPr/>
            </w:pPr>
            <w:r>
              <w:rPr/>
              <w:t>  </w:t>
            </w:r>
          </w:p>
        </w:tc>
        <w:tc>
          <w:tcPr>
            <w:tcW w:w="19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4" w:type="dxa"/>
            <w:tcBorders/>
            <w:vAlign w:val="bottom"/>
          </w:tcPr>
          <w:p>
            <w:pPr>
              <w:pStyle w:val="TableContents"/>
              <w:bidi w:val="0"/>
              <w:spacing w:before="0" w:after="283"/>
              <w:jc w:val="left"/>
              <w:rPr/>
            </w:pPr>
            <w:r>
              <w:rPr/>
              <w:t>  </w:t>
            </w:r>
          </w:p>
        </w:tc>
        <w:tc>
          <w:tcPr>
            <w:tcW w:w="126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4" w:type="dxa"/>
            <w:tcBorders/>
            <w:vAlign w:val="bottom"/>
          </w:tcPr>
          <w:p>
            <w:pPr>
              <w:pStyle w:val="TableContents"/>
              <w:bidi w:val="0"/>
              <w:spacing w:before="0" w:after="283"/>
              <w:jc w:val="left"/>
              <w:rPr/>
            </w:pPr>
            <w:r>
              <w:rPr/>
              <w:t>  </w:t>
            </w:r>
          </w:p>
        </w:tc>
        <w:tc>
          <w:tcPr>
            <w:tcW w:w="14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814" w:type="dxa"/>
            <w:tcBorders/>
          </w:tcPr>
          <w:p>
            <w:pPr>
              <w:pStyle w:val="TableContents"/>
              <w:bidi w:val="0"/>
              <w:spacing w:before="0" w:after="283"/>
              <w:jc w:val="left"/>
              <w:rPr/>
            </w:pPr>
            <w:r>
              <w:rPr/>
              <w:t>U.S.A.</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61/385,937</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09/23/2010</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Expired</w:t>
            </w:r>
          </w:p>
        </w:tc>
      </w:tr>
      <w:tr>
        <w:trPr/>
        <w:tc>
          <w:tcPr>
            <w:tcW w:w="1814" w:type="dxa"/>
            <w:tcBorders/>
          </w:tcPr>
          <w:p>
            <w:pPr>
              <w:pStyle w:val="TableContents"/>
              <w:bidi w:val="0"/>
              <w:spacing w:before="0" w:after="283"/>
              <w:jc w:val="left"/>
              <w:rPr/>
            </w:pPr>
            <w:r>
              <w:rPr/>
              <w:t>U.S.A.</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13/241,083</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pPr>
            <w:r>
              <w:rPr/>
              <w:t>9,347,946</w:t>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pPr>
            <w:r>
              <w:rPr/>
              <w:t>05/24/2016</w:t>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Granted</w:t>
            </w:r>
          </w:p>
        </w:tc>
      </w:tr>
      <w:tr>
        <w:trPr/>
        <w:tc>
          <w:tcPr>
            <w:tcW w:w="1814" w:type="dxa"/>
            <w:tcBorders/>
          </w:tcPr>
          <w:p>
            <w:pPr>
              <w:pStyle w:val="TableContents"/>
              <w:bidi w:val="0"/>
              <w:spacing w:before="0" w:after="283"/>
              <w:jc w:val="left"/>
              <w:rPr/>
            </w:pPr>
            <w:r>
              <w:rPr/>
              <w:t>U.S.A.</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15/137,699</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04/25/2016</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Abandoned</w:t>
            </w:r>
          </w:p>
        </w:tc>
      </w:tr>
      <w:tr>
        <w:trPr/>
        <w:tc>
          <w:tcPr>
            <w:tcW w:w="1814" w:type="dxa"/>
            <w:tcBorders/>
          </w:tcPr>
          <w:p>
            <w:pPr>
              <w:pStyle w:val="TableContents"/>
              <w:bidi w:val="0"/>
              <w:spacing w:before="0" w:after="283"/>
              <w:jc w:val="left"/>
              <w:rPr/>
            </w:pPr>
            <w:r>
              <w:rPr/>
              <w:t>PCT</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PCT/US11/52837</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Expired</w:t>
            </w:r>
          </w:p>
        </w:tc>
      </w:tr>
      <w:tr>
        <w:trPr/>
        <w:tc>
          <w:tcPr>
            <w:tcW w:w="1814" w:type="dxa"/>
            <w:tcBorders/>
          </w:tcPr>
          <w:p>
            <w:pPr>
              <w:pStyle w:val="TableContents"/>
              <w:bidi w:val="0"/>
              <w:spacing w:before="0" w:after="283"/>
              <w:jc w:val="left"/>
              <w:rPr/>
            </w:pPr>
            <w:r>
              <w:rPr/>
              <w:t>Canada</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2812291</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pPr>
            <w:r>
              <w:rPr/>
              <w:t>2812291</w:t>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pPr>
            <w:r>
              <w:rPr/>
              <w:t>06/16/2020</w:t>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Granted</w:t>
            </w:r>
          </w:p>
        </w:tc>
      </w:tr>
      <w:tr>
        <w:trPr/>
        <w:tc>
          <w:tcPr>
            <w:tcW w:w="1814" w:type="dxa"/>
            <w:tcBorders/>
          </w:tcPr>
          <w:p>
            <w:pPr>
              <w:pStyle w:val="TableContents"/>
              <w:bidi w:val="0"/>
              <w:spacing w:before="0" w:after="283"/>
              <w:jc w:val="left"/>
              <w:rPr/>
            </w:pPr>
            <w:r>
              <w:rPr/>
              <w:t>China</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201180056340.0</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pPr>
            <w:r>
              <w:rPr/>
              <w:t>ZL201180056340.0</w:t>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pPr>
            <w:r>
              <w:rPr/>
              <w:t>08/10/2016</w:t>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Granted</w:t>
            </w:r>
          </w:p>
        </w:tc>
      </w:tr>
      <w:tr>
        <w:trPr/>
        <w:tc>
          <w:tcPr>
            <w:tcW w:w="1814" w:type="dxa"/>
            <w:tcBorders/>
          </w:tcPr>
          <w:p>
            <w:pPr>
              <w:pStyle w:val="TableContents"/>
              <w:bidi w:val="0"/>
              <w:spacing w:before="0" w:after="283"/>
              <w:jc w:val="left"/>
              <w:rPr/>
            </w:pPr>
            <w:r>
              <w:rPr/>
              <w:t>Europe</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11827572.6</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pPr>
            <w:r>
              <w:rPr/>
              <w:t>2619588</w:t>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pPr>
            <w:r>
              <w:rPr/>
              <w:t>08/17/2019</w:t>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Granted (valid in CH, DE, FR, GB, IT) Annuity Due 22-Sep-2026</w:t>
            </w:r>
          </w:p>
        </w:tc>
      </w:tr>
      <w:tr>
        <w:trPr/>
        <w:tc>
          <w:tcPr>
            <w:tcW w:w="1814" w:type="dxa"/>
            <w:tcBorders/>
          </w:tcPr>
          <w:p>
            <w:pPr>
              <w:pStyle w:val="TableContents"/>
              <w:bidi w:val="0"/>
              <w:spacing w:before="0" w:after="283"/>
              <w:jc w:val="left"/>
              <w:rPr/>
            </w:pPr>
            <w:r>
              <w:rPr/>
              <w:t>Hong Kong</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14101003.7</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pPr>
            <w:r>
              <w:rPr/>
              <w:t>1188285</w:t>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pPr>
            <w:r>
              <w:rPr/>
              <w:t>09/11/2020</w:t>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Granted</w:t>
            </w:r>
          </w:p>
        </w:tc>
      </w:tr>
      <w:tr>
        <w:trPr/>
        <w:tc>
          <w:tcPr>
            <w:tcW w:w="1814" w:type="dxa"/>
            <w:tcBorders/>
          </w:tcPr>
          <w:p>
            <w:pPr>
              <w:pStyle w:val="TableContents"/>
              <w:bidi w:val="0"/>
              <w:spacing w:before="0" w:after="283"/>
              <w:jc w:val="left"/>
              <w:rPr/>
            </w:pPr>
            <w:r>
              <w:rPr/>
              <w:t>Japan</w:t>
            </w:r>
          </w:p>
        </w:tc>
        <w:tc>
          <w:tcPr>
            <w:tcW w:w="124" w:type="dxa"/>
            <w:tcBorders/>
            <w:vAlign w:val="bottom"/>
          </w:tcPr>
          <w:p>
            <w:pPr>
              <w:pStyle w:val="TableContents"/>
              <w:bidi w:val="0"/>
              <w:spacing w:before="0" w:after="283"/>
              <w:jc w:val="left"/>
              <w:rPr/>
            </w:pPr>
            <w:r>
              <w:rPr/>
              <w:t>  </w:t>
            </w:r>
          </w:p>
        </w:tc>
        <w:tc>
          <w:tcPr>
            <w:tcW w:w="1800" w:type="dxa"/>
            <w:tcBorders/>
          </w:tcPr>
          <w:p>
            <w:pPr>
              <w:pStyle w:val="TableContents"/>
              <w:bidi w:val="0"/>
              <w:spacing w:before="0" w:after="283"/>
              <w:jc w:val="left"/>
              <w:rPr/>
            </w:pPr>
            <w:r>
              <w:rPr/>
              <w:t>2013-530331</w:t>
            </w:r>
          </w:p>
        </w:tc>
        <w:tc>
          <w:tcPr>
            <w:tcW w:w="124" w:type="dxa"/>
            <w:tcBorders/>
            <w:vAlign w:val="bottom"/>
          </w:tcPr>
          <w:p>
            <w:pPr>
              <w:pStyle w:val="TableContents"/>
              <w:bidi w:val="0"/>
              <w:spacing w:before="0" w:after="283"/>
              <w:jc w:val="left"/>
              <w:rPr/>
            </w:pPr>
            <w:r>
              <w:rPr/>
              <w:t>  </w:t>
            </w:r>
          </w:p>
        </w:tc>
        <w:tc>
          <w:tcPr>
            <w:tcW w:w="1270" w:type="dxa"/>
            <w:tcBorders/>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left"/>
              <w:rPr/>
            </w:pPr>
            <w:r>
              <w:rPr/>
              <w:t>6234817</w:t>
            </w:r>
          </w:p>
        </w:tc>
        <w:tc>
          <w:tcPr>
            <w:tcW w:w="124" w:type="dxa"/>
            <w:tcBorders/>
            <w:vAlign w:val="bottom"/>
          </w:tcPr>
          <w:p>
            <w:pPr>
              <w:pStyle w:val="TableContents"/>
              <w:bidi w:val="0"/>
              <w:spacing w:before="0" w:after="283"/>
              <w:jc w:val="left"/>
              <w:rPr/>
            </w:pPr>
            <w:r>
              <w:rPr/>
              <w:t>  </w:t>
            </w:r>
          </w:p>
        </w:tc>
        <w:tc>
          <w:tcPr>
            <w:tcW w:w="1262" w:type="dxa"/>
            <w:tcBorders/>
          </w:tcPr>
          <w:p>
            <w:pPr>
              <w:pStyle w:val="TableContents"/>
              <w:bidi w:val="0"/>
              <w:spacing w:before="0" w:after="283"/>
              <w:jc w:val="left"/>
              <w:rPr/>
            </w:pPr>
            <w:r>
              <w:rPr/>
              <w:t>11/02/2017</w:t>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283"/>
              <w:jc w:val="left"/>
              <w:rPr/>
            </w:pPr>
            <w:r>
              <w:rPr/>
              <w:t>Granted</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4"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left"/>
              <w:rPr/>
            </w:pPr>
            <w:r>
              <w:rPr/>
              <w:t>2015-183025</w:t>
            </w:r>
          </w:p>
        </w:tc>
        <w:tc>
          <w:tcPr>
            <w:tcW w:w="12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r>
        <w:trPr/>
        <w:tc>
          <w:tcPr>
            <w:tcW w:w="1814"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124"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left"/>
              <w:rPr/>
            </w:pPr>
            <w:r>
              <w:rPr/>
              <w:t>2017-169450</w:t>
            </w:r>
          </w:p>
        </w:tc>
        <w:tc>
          <w:tcPr>
            <w:tcW w:w="124"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left"/>
              <w:rPr/>
            </w:pPr>
            <w:r>
              <w:rPr/>
              <w:t>09/22/2011</w:t>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98" w:type="dxa"/>
            <w:tcBorders/>
          </w:tcPr>
          <w:p>
            <w:pPr>
              <w:pStyle w:val="TableContents"/>
              <w:bidi w:val="0"/>
              <w:spacing w:before="0" w:after="0"/>
              <w:jc w:val="left"/>
              <w:rPr>
                <w:rFonts w:ascii="Times New Roman" w:hAnsi="Times New Roman"/>
                <w:sz w:val="20"/>
              </w:rPr>
            </w:pPr>
            <w:r>
              <w:rPr>
                <w:rFonts w:ascii="Times New Roman" w:hAnsi="Times New Roman"/>
                <w:sz w:val="20"/>
              </w:rPr>
              <w:t>Abandoned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G118973-G114733 </w:t>
      </w:r>
    </w:p>
    <w:p>
      <w:pPr>
        <w:pStyle w:val="TextBody"/>
        <w:bidi w:val="0"/>
        <w:spacing w:before="120" w:after="0"/>
        <w:jc w:val="center"/>
        <w:rPr>
          <w:rFonts w:ascii="Times New Roman" w:hAnsi="Times New Roman"/>
          <w:b/>
          <w:sz w:val="20"/>
        </w:rPr>
      </w:pPr>
      <w:r>
        <w:rPr>
          <w:rFonts w:ascii="Times New Roman" w:hAnsi="Times New Roman"/>
          <w:b/>
          <w:sz w:val="20"/>
        </w:rPr>
        <w:t xml:space="preserve">GBM/LM (PLUS-0007) </w:t>
      </w:r>
    </w:p>
    <w:p>
      <w:pPr>
        <w:pStyle w:val="TextBody"/>
        <w:bidi w:val="0"/>
        <w:spacing w:before="120" w:after="0"/>
        <w:jc w:val="center"/>
        <w:rPr>
          <w:rFonts w:ascii="Times New Roman" w:hAnsi="Times New Roman"/>
          <w:b/>
          <w:sz w:val="20"/>
        </w:rPr>
      </w:pPr>
      <w:r>
        <w:rPr>
          <w:rFonts w:ascii="Times New Roman" w:hAnsi="Times New Roman"/>
          <w:b/>
          <w:sz w:val="20"/>
        </w:rPr>
        <w:t xml:space="preserve">RADIOLABELED LIPOSOMES AND METHODS OF USE THEREOF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6"/>
        <w:gridCol w:w="123"/>
        <w:gridCol w:w="1874"/>
        <w:gridCol w:w="123"/>
        <w:gridCol w:w="1340"/>
        <w:gridCol w:w="123"/>
        <w:gridCol w:w="1399"/>
        <w:gridCol w:w="123"/>
        <w:gridCol w:w="1328"/>
        <w:gridCol w:w="123"/>
        <w:gridCol w:w="1713"/>
      </w:tblGrid>
      <w:tr>
        <w:trPr/>
        <w:tc>
          <w:tcPr>
            <w:tcW w:w="193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3" w:type="dxa"/>
            <w:tcBorders/>
            <w:vAlign w:val="bottom"/>
          </w:tcPr>
          <w:p>
            <w:pPr>
              <w:pStyle w:val="TableContents"/>
              <w:bidi w:val="0"/>
              <w:spacing w:before="0" w:after="283"/>
              <w:jc w:val="left"/>
              <w:rPr/>
            </w:pPr>
            <w:r>
              <w:rPr/>
              <w:t>  </w:t>
            </w:r>
          </w:p>
        </w:tc>
        <w:tc>
          <w:tcPr>
            <w:tcW w:w="187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3" w:type="dxa"/>
            <w:tcBorders/>
            <w:vAlign w:val="bottom"/>
          </w:tcPr>
          <w:p>
            <w:pPr>
              <w:pStyle w:val="TableContents"/>
              <w:bidi w:val="0"/>
              <w:spacing w:before="0" w:after="283"/>
              <w:jc w:val="left"/>
              <w:rPr/>
            </w:pPr>
            <w:r>
              <w:rPr/>
              <w:t>  </w:t>
            </w:r>
          </w:p>
        </w:tc>
        <w:tc>
          <w:tcPr>
            <w:tcW w:w="134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3" w:type="dxa"/>
            <w:tcBorders/>
            <w:vAlign w:val="bottom"/>
          </w:tcPr>
          <w:p>
            <w:pPr>
              <w:pStyle w:val="TableContents"/>
              <w:bidi w:val="0"/>
              <w:spacing w:before="0" w:after="283"/>
              <w:jc w:val="left"/>
              <w:rPr/>
            </w:pPr>
            <w:r>
              <w:rPr/>
              <w:t>  </w:t>
            </w:r>
          </w:p>
        </w:tc>
        <w:tc>
          <w:tcPr>
            <w:tcW w:w="139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3"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3" w:type="dxa"/>
            <w:tcBorders/>
            <w:vAlign w:val="bottom"/>
          </w:tcPr>
          <w:p>
            <w:pPr>
              <w:pStyle w:val="TableContents"/>
              <w:bidi w:val="0"/>
              <w:spacing w:before="0" w:after="283"/>
              <w:jc w:val="left"/>
              <w:rPr/>
            </w:pPr>
            <w:r>
              <w:rPr/>
              <w:t>  </w:t>
            </w:r>
          </w:p>
        </w:tc>
        <w:tc>
          <w:tcPr>
            <w:tcW w:w="171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936" w:type="dxa"/>
            <w:tcBorders/>
          </w:tcPr>
          <w:p>
            <w:pPr>
              <w:pStyle w:val="TableContents"/>
              <w:bidi w:val="0"/>
              <w:spacing w:before="0" w:after="283"/>
              <w:jc w:val="left"/>
              <w:rPr/>
            </w:pPr>
            <w:r>
              <w:rPr/>
              <w:t>U.S.A.</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63/115,519</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11/18/2020</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Expired</w:t>
            </w:r>
          </w:p>
        </w:tc>
      </w:tr>
      <w:tr>
        <w:trPr/>
        <w:tc>
          <w:tcPr>
            <w:tcW w:w="1936" w:type="dxa"/>
            <w:tcBorders/>
          </w:tcPr>
          <w:p>
            <w:pPr>
              <w:pStyle w:val="TableContents"/>
              <w:bidi w:val="0"/>
              <w:spacing w:before="0" w:after="283"/>
              <w:jc w:val="left"/>
              <w:rPr/>
            </w:pPr>
            <w:r>
              <w:rPr/>
              <w:t>U.S.A.</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17/746,853</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05/17/2022</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Pending</w:t>
            </w:r>
          </w:p>
        </w:tc>
      </w:tr>
      <w:tr>
        <w:trPr/>
        <w:tc>
          <w:tcPr>
            <w:tcW w:w="1936" w:type="dxa"/>
            <w:tcBorders/>
          </w:tcPr>
          <w:p>
            <w:pPr>
              <w:pStyle w:val="TableContents"/>
              <w:bidi w:val="0"/>
              <w:spacing w:before="0" w:after="283"/>
              <w:jc w:val="left"/>
              <w:rPr/>
            </w:pPr>
            <w:r>
              <w:rPr/>
              <w:t>PCT</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PCT/US21/59969</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Expired</w:t>
            </w:r>
          </w:p>
        </w:tc>
      </w:tr>
      <w:tr>
        <w:trPr/>
        <w:tc>
          <w:tcPr>
            <w:tcW w:w="1936" w:type="dxa"/>
            <w:tcBorders/>
          </w:tcPr>
          <w:p>
            <w:pPr>
              <w:pStyle w:val="TableContents"/>
              <w:bidi w:val="0"/>
              <w:spacing w:before="0" w:after="283"/>
              <w:jc w:val="left"/>
              <w:rPr/>
            </w:pPr>
            <w:r>
              <w:rPr/>
              <w:t>Australia</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2021381376</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Pending</w:t>
            </w:r>
          </w:p>
        </w:tc>
      </w:tr>
      <w:tr>
        <w:trPr/>
        <w:tc>
          <w:tcPr>
            <w:tcW w:w="1936" w:type="dxa"/>
            <w:tcBorders/>
          </w:tcPr>
          <w:p>
            <w:pPr>
              <w:pStyle w:val="TableContents"/>
              <w:bidi w:val="0"/>
              <w:spacing w:before="0" w:after="283"/>
              <w:jc w:val="left"/>
              <w:rPr/>
            </w:pPr>
            <w:r>
              <w:rPr/>
              <w:t>Brazil</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BR112023009541-7</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Pending</w:t>
            </w:r>
          </w:p>
        </w:tc>
      </w:tr>
      <w:tr>
        <w:trPr/>
        <w:tc>
          <w:tcPr>
            <w:tcW w:w="1936" w:type="dxa"/>
            <w:tcBorders/>
          </w:tcPr>
          <w:p>
            <w:pPr>
              <w:pStyle w:val="TableContents"/>
              <w:bidi w:val="0"/>
              <w:spacing w:before="0" w:after="283"/>
              <w:jc w:val="left"/>
              <w:rPr/>
            </w:pPr>
            <w:r>
              <w:rPr/>
              <w:t>Canada</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3198991</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Annuity Due 18-Nov-2026</w:t>
            </w:r>
          </w:p>
        </w:tc>
      </w:tr>
      <w:tr>
        <w:trPr/>
        <w:tc>
          <w:tcPr>
            <w:tcW w:w="1936" w:type="dxa"/>
            <w:tcBorders/>
          </w:tcPr>
          <w:p>
            <w:pPr>
              <w:pStyle w:val="TableContents"/>
              <w:bidi w:val="0"/>
              <w:spacing w:before="0" w:after="283"/>
              <w:jc w:val="left"/>
              <w:rPr/>
            </w:pPr>
            <w:r>
              <w:rPr/>
              <w:t>China</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202180090926.2</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Pending</w:t>
            </w:r>
          </w:p>
        </w:tc>
      </w:tr>
      <w:tr>
        <w:trPr/>
        <w:tc>
          <w:tcPr>
            <w:tcW w:w="1936" w:type="dxa"/>
            <w:tcBorders/>
          </w:tcPr>
          <w:p>
            <w:pPr>
              <w:pStyle w:val="TableContents"/>
              <w:bidi w:val="0"/>
              <w:spacing w:before="0" w:after="283"/>
              <w:jc w:val="left"/>
              <w:rPr/>
            </w:pPr>
            <w:r>
              <w:rPr/>
              <w:t>Europe</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21895620.9</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Pending</w:t>
            </w:r>
          </w:p>
        </w:tc>
      </w:tr>
      <w:tr>
        <w:trPr/>
        <w:tc>
          <w:tcPr>
            <w:tcW w:w="1936" w:type="dxa"/>
            <w:tcBorders/>
          </w:tcPr>
          <w:p>
            <w:pPr>
              <w:pStyle w:val="TableContents"/>
              <w:bidi w:val="0"/>
              <w:spacing w:before="0" w:after="283"/>
              <w:jc w:val="left"/>
              <w:rPr/>
            </w:pPr>
            <w:r>
              <w:rPr/>
              <w:t>Hong Kong</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62024089306.0</w:t>
            </w:r>
          </w:p>
        </w:tc>
        <w:tc>
          <w:tcPr>
            <w:tcW w:w="123" w:type="dxa"/>
            <w:tcBorders/>
            <w:vAlign w:val="bottom"/>
          </w:tcPr>
          <w:p>
            <w:pPr>
              <w:pStyle w:val="TableContents"/>
              <w:bidi w:val="0"/>
              <w:spacing w:before="0" w:after="283"/>
              <w:jc w:val="left"/>
              <w:rPr/>
            </w:pPr>
            <w:r>
              <w:rPr/>
              <w:t>  </w:t>
            </w:r>
          </w:p>
        </w:tc>
        <w:tc>
          <w:tcPr>
            <w:tcW w:w="1340" w:type="dxa"/>
            <w:tcBorders/>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Pending</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62024093102.7</w:t>
            </w:r>
          </w:p>
        </w:tc>
        <w:tc>
          <w:tcPr>
            <w:tcW w:w="123"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Pending</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Indonesia</w:t>
            </w:r>
          </w:p>
        </w:tc>
        <w:tc>
          <w:tcPr>
            <w:tcW w:w="123" w:type="dxa"/>
            <w:tcBorders/>
            <w:vAlign w:val="bottom"/>
          </w:tcPr>
          <w:p>
            <w:pPr>
              <w:pStyle w:val="TableContents"/>
              <w:bidi w:val="0"/>
              <w:spacing w:before="0" w:after="283"/>
              <w:jc w:val="left"/>
              <w:rPr/>
            </w:pPr>
            <w:r>
              <w:rPr/>
              <w:t>  </w:t>
            </w:r>
          </w:p>
        </w:tc>
        <w:tc>
          <w:tcPr>
            <w:tcW w:w="1874" w:type="dxa"/>
            <w:tcBorders/>
          </w:tcPr>
          <w:p>
            <w:pPr>
              <w:pStyle w:val="TableContents"/>
              <w:bidi w:val="0"/>
              <w:spacing w:before="0" w:after="283"/>
              <w:jc w:val="left"/>
              <w:rPr/>
            </w:pPr>
            <w:r>
              <w:rPr/>
              <w:t>P00202305319</w:t>
            </w:r>
          </w:p>
        </w:tc>
        <w:tc>
          <w:tcPr>
            <w:tcW w:w="123"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pPr>
            <w:r>
              <w:rPr/>
              <w:t>11/18/2021</w:t>
            </w:r>
          </w:p>
        </w:tc>
        <w:tc>
          <w:tcPr>
            <w:tcW w:w="123"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0"/>
              <w:jc w:val="left"/>
              <w:rPr>
                <w:rFonts w:ascii="Times New Roman" w:hAnsi="Times New Roman"/>
                <w:sz w:val="20"/>
              </w:rPr>
            </w:pPr>
            <w:r>
              <w:rPr>
                <w:rFonts w:ascii="Times New Roman" w:hAnsi="Times New Roman"/>
                <w:sz w:val="20"/>
              </w:rPr>
              <w:t>Pending</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368"/>
        <w:gridCol w:w="133"/>
        <w:gridCol w:w="1499"/>
        <w:gridCol w:w="133"/>
        <w:gridCol w:w="881"/>
        <w:gridCol w:w="133"/>
        <w:gridCol w:w="1302"/>
        <w:gridCol w:w="133"/>
        <w:gridCol w:w="1276"/>
        <w:gridCol w:w="133"/>
        <w:gridCol w:w="3214"/>
      </w:tblGrid>
      <w:tr>
        <w:trPr/>
        <w:tc>
          <w:tcPr>
            <w:tcW w:w="136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1368"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33" w:type="dxa"/>
            <w:tcBorders/>
            <w:vAlign w:val="bottom"/>
          </w:tcPr>
          <w:p>
            <w:pPr>
              <w:pStyle w:val="TableContents"/>
              <w:bidi w:val="0"/>
              <w:spacing w:before="0" w:after="283"/>
              <w:jc w:val="left"/>
              <w:rPr/>
            </w:pPr>
            <w:r>
              <w:rPr/>
              <w:t>  </w:t>
            </w:r>
          </w:p>
        </w:tc>
        <w:tc>
          <w:tcPr>
            <w:tcW w:w="149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33" w:type="dxa"/>
            <w:tcBorders/>
            <w:vAlign w:val="bottom"/>
          </w:tcPr>
          <w:p>
            <w:pPr>
              <w:pStyle w:val="TableContents"/>
              <w:bidi w:val="0"/>
              <w:spacing w:before="0" w:after="283"/>
              <w:jc w:val="left"/>
              <w:rPr/>
            </w:pPr>
            <w:r>
              <w:rPr/>
              <w:t>  </w:t>
            </w:r>
          </w:p>
        </w:tc>
        <w:tc>
          <w:tcPr>
            <w:tcW w:w="8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33" w:type="dxa"/>
            <w:tcBorders/>
            <w:vAlign w:val="bottom"/>
          </w:tcPr>
          <w:p>
            <w:pPr>
              <w:pStyle w:val="TableContents"/>
              <w:bidi w:val="0"/>
              <w:spacing w:before="0" w:after="283"/>
              <w:jc w:val="left"/>
              <w:rPr/>
            </w:pPr>
            <w:r>
              <w:rPr/>
              <w:t>  </w:t>
            </w:r>
          </w:p>
        </w:tc>
        <w:tc>
          <w:tcPr>
            <w:tcW w:w="130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33"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33" w:type="dxa"/>
            <w:tcBorders/>
            <w:vAlign w:val="bottom"/>
          </w:tcPr>
          <w:p>
            <w:pPr>
              <w:pStyle w:val="TableContents"/>
              <w:bidi w:val="0"/>
              <w:spacing w:before="0" w:after="283"/>
              <w:jc w:val="left"/>
              <w:rPr/>
            </w:pPr>
            <w:r>
              <w:rPr/>
              <w:t>  </w:t>
            </w:r>
          </w:p>
        </w:tc>
        <w:tc>
          <w:tcPr>
            <w:tcW w:w="321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368" w:type="dxa"/>
            <w:tcBorders/>
          </w:tcPr>
          <w:p>
            <w:pPr>
              <w:pStyle w:val="TableContents"/>
              <w:bidi w:val="0"/>
              <w:spacing w:before="0" w:after="283"/>
              <w:jc w:val="left"/>
              <w:rPr/>
            </w:pPr>
            <w:r>
              <w:rPr/>
              <w:t>Israel</w:t>
            </w:r>
          </w:p>
        </w:tc>
        <w:tc>
          <w:tcPr>
            <w:tcW w:w="133"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283"/>
              <w:jc w:val="left"/>
              <w:rPr/>
            </w:pPr>
            <w:r>
              <w:rPr/>
              <w:t>302964</w:t>
            </w:r>
          </w:p>
        </w:tc>
        <w:tc>
          <w:tcPr>
            <w:tcW w:w="133" w:type="dxa"/>
            <w:tcBorders/>
            <w:vAlign w:val="bottom"/>
          </w:tcPr>
          <w:p>
            <w:pPr>
              <w:pStyle w:val="TableContents"/>
              <w:bidi w:val="0"/>
              <w:spacing w:before="0" w:after="283"/>
              <w:jc w:val="left"/>
              <w:rPr/>
            </w:pPr>
            <w:r>
              <w:rPr/>
              <w:t>  </w:t>
            </w:r>
          </w:p>
        </w:tc>
        <w:tc>
          <w:tcPr>
            <w:tcW w:w="881" w:type="dxa"/>
            <w:tcBorders/>
          </w:tcPr>
          <w:p>
            <w:pPr>
              <w:pStyle w:val="TableContents"/>
              <w:bidi w:val="0"/>
              <w:spacing w:before="0" w:after="283"/>
              <w:jc w:val="left"/>
              <w:rPr/>
            </w:pPr>
            <w:r>
              <w:rPr/>
              <w:t>11/18/2021</w:t>
            </w:r>
          </w:p>
        </w:tc>
        <w:tc>
          <w:tcPr>
            <w:tcW w:w="133"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Pending</w:t>
            </w:r>
          </w:p>
        </w:tc>
      </w:tr>
      <w:tr>
        <w:trPr/>
        <w:tc>
          <w:tcPr>
            <w:tcW w:w="1368" w:type="dxa"/>
            <w:tcBorders/>
          </w:tcPr>
          <w:p>
            <w:pPr>
              <w:pStyle w:val="TableContents"/>
              <w:bidi w:val="0"/>
              <w:spacing w:before="0" w:after="283"/>
              <w:jc w:val="left"/>
              <w:rPr/>
            </w:pPr>
            <w:r>
              <w:rPr/>
              <w:t>Japan</w:t>
            </w:r>
          </w:p>
        </w:tc>
        <w:tc>
          <w:tcPr>
            <w:tcW w:w="133"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283"/>
              <w:jc w:val="left"/>
              <w:rPr/>
            </w:pPr>
            <w:r>
              <w:rPr/>
              <w:t>2023-553170</w:t>
            </w:r>
          </w:p>
        </w:tc>
        <w:tc>
          <w:tcPr>
            <w:tcW w:w="133" w:type="dxa"/>
            <w:tcBorders/>
            <w:vAlign w:val="bottom"/>
          </w:tcPr>
          <w:p>
            <w:pPr>
              <w:pStyle w:val="TableContents"/>
              <w:bidi w:val="0"/>
              <w:spacing w:before="0" w:after="283"/>
              <w:jc w:val="left"/>
              <w:rPr/>
            </w:pPr>
            <w:r>
              <w:rPr/>
              <w:t>  </w:t>
            </w:r>
          </w:p>
        </w:tc>
        <w:tc>
          <w:tcPr>
            <w:tcW w:w="881" w:type="dxa"/>
            <w:tcBorders/>
          </w:tcPr>
          <w:p>
            <w:pPr>
              <w:pStyle w:val="TableContents"/>
              <w:bidi w:val="0"/>
              <w:spacing w:before="0" w:after="283"/>
              <w:jc w:val="left"/>
              <w:rPr/>
            </w:pPr>
            <w:r>
              <w:rPr/>
              <w:t>11/18/2021</w:t>
            </w:r>
          </w:p>
        </w:tc>
        <w:tc>
          <w:tcPr>
            <w:tcW w:w="133"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Pending</w:t>
            </w:r>
          </w:p>
        </w:tc>
      </w:tr>
      <w:tr>
        <w:trPr/>
        <w:tc>
          <w:tcPr>
            <w:tcW w:w="1368" w:type="dxa"/>
            <w:tcBorders/>
          </w:tcPr>
          <w:p>
            <w:pPr>
              <w:pStyle w:val="TableContents"/>
              <w:bidi w:val="0"/>
              <w:spacing w:before="0" w:after="283"/>
              <w:jc w:val="left"/>
              <w:rPr/>
            </w:pPr>
            <w:r>
              <w:rPr/>
              <w:t>Korea</w:t>
            </w:r>
          </w:p>
        </w:tc>
        <w:tc>
          <w:tcPr>
            <w:tcW w:w="133"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283"/>
              <w:jc w:val="left"/>
              <w:rPr/>
            </w:pPr>
            <w:r>
              <w:rPr/>
              <w:t>10-2023-7020403</w:t>
            </w:r>
          </w:p>
        </w:tc>
        <w:tc>
          <w:tcPr>
            <w:tcW w:w="133" w:type="dxa"/>
            <w:tcBorders/>
            <w:vAlign w:val="bottom"/>
          </w:tcPr>
          <w:p>
            <w:pPr>
              <w:pStyle w:val="TableContents"/>
              <w:bidi w:val="0"/>
              <w:spacing w:before="0" w:after="283"/>
              <w:jc w:val="left"/>
              <w:rPr/>
            </w:pPr>
            <w:r>
              <w:rPr/>
              <w:t>  </w:t>
            </w:r>
          </w:p>
        </w:tc>
        <w:tc>
          <w:tcPr>
            <w:tcW w:w="881" w:type="dxa"/>
            <w:tcBorders/>
          </w:tcPr>
          <w:p>
            <w:pPr>
              <w:pStyle w:val="TableContents"/>
              <w:bidi w:val="0"/>
              <w:spacing w:before="0" w:after="283"/>
              <w:jc w:val="left"/>
              <w:rPr/>
            </w:pPr>
            <w:r>
              <w:rPr/>
              <w:t>11/18/2021</w:t>
            </w:r>
          </w:p>
        </w:tc>
        <w:tc>
          <w:tcPr>
            <w:tcW w:w="133"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Pending</w:t>
            </w:r>
          </w:p>
        </w:tc>
      </w:tr>
      <w:tr>
        <w:trPr/>
        <w:tc>
          <w:tcPr>
            <w:tcW w:w="1368" w:type="dxa"/>
            <w:tcBorders/>
          </w:tcPr>
          <w:p>
            <w:pPr>
              <w:pStyle w:val="TableContents"/>
              <w:bidi w:val="0"/>
              <w:spacing w:before="0" w:after="283"/>
              <w:jc w:val="left"/>
              <w:rPr/>
            </w:pPr>
            <w:r>
              <w:rPr/>
              <w:t>Mexico</w:t>
            </w:r>
          </w:p>
        </w:tc>
        <w:tc>
          <w:tcPr>
            <w:tcW w:w="133"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283"/>
              <w:jc w:val="left"/>
              <w:rPr/>
            </w:pPr>
            <w:r>
              <w:rPr/>
              <w:t>MX/a/2023/005857</w:t>
            </w:r>
          </w:p>
        </w:tc>
        <w:tc>
          <w:tcPr>
            <w:tcW w:w="133" w:type="dxa"/>
            <w:tcBorders/>
            <w:vAlign w:val="bottom"/>
          </w:tcPr>
          <w:p>
            <w:pPr>
              <w:pStyle w:val="TableContents"/>
              <w:bidi w:val="0"/>
              <w:spacing w:before="0" w:after="283"/>
              <w:jc w:val="left"/>
              <w:rPr/>
            </w:pPr>
            <w:r>
              <w:rPr/>
              <w:t>  </w:t>
            </w:r>
          </w:p>
        </w:tc>
        <w:tc>
          <w:tcPr>
            <w:tcW w:w="881" w:type="dxa"/>
            <w:tcBorders/>
          </w:tcPr>
          <w:p>
            <w:pPr>
              <w:pStyle w:val="TableContents"/>
              <w:bidi w:val="0"/>
              <w:spacing w:before="0" w:after="283"/>
              <w:jc w:val="left"/>
              <w:rPr/>
            </w:pPr>
            <w:r>
              <w:rPr/>
              <w:t>11/18/2021</w:t>
            </w:r>
          </w:p>
        </w:tc>
        <w:tc>
          <w:tcPr>
            <w:tcW w:w="133"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Pending</w:t>
            </w:r>
          </w:p>
        </w:tc>
      </w:tr>
      <w:tr>
        <w:trPr/>
        <w:tc>
          <w:tcPr>
            <w:tcW w:w="1368" w:type="dxa"/>
            <w:tcBorders/>
          </w:tcPr>
          <w:p>
            <w:pPr>
              <w:pStyle w:val="TableContents"/>
              <w:bidi w:val="0"/>
              <w:spacing w:before="0" w:after="283"/>
              <w:jc w:val="left"/>
              <w:rPr/>
            </w:pPr>
            <w:r>
              <w:rPr/>
              <w:t>Malaysia</w:t>
            </w:r>
          </w:p>
        </w:tc>
        <w:tc>
          <w:tcPr>
            <w:tcW w:w="133" w:type="dxa"/>
            <w:tcBorders/>
            <w:vAlign w:val="bottom"/>
          </w:tcPr>
          <w:p>
            <w:pPr>
              <w:pStyle w:val="TableContents"/>
              <w:bidi w:val="0"/>
              <w:spacing w:before="0" w:after="283"/>
              <w:jc w:val="left"/>
              <w:rPr/>
            </w:pPr>
            <w:r>
              <w:rPr/>
              <w:t>  </w:t>
            </w:r>
          </w:p>
        </w:tc>
        <w:tc>
          <w:tcPr>
            <w:tcW w:w="1499" w:type="dxa"/>
            <w:tcBorders/>
          </w:tcPr>
          <w:p>
            <w:pPr>
              <w:pStyle w:val="TableContents"/>
              <w:bidi w:val="0"/>
              <w:spacing w:before="0" w:after="283"/>
              <w:jc w:val="left"/>
              <w:rPr/>
            </w:pPr>
            <w:r>
              <w:rPr/>
              <w:t>PI 2023002944</w:t>
            </w:r>
          </w:p>
        </w:tc>
        <w:tc>
          <w:tcPr>
            <w:tcW w:w="133" w:type="dxa"/>
            <w:tcBorders/>
            <w:vAlign w:val="bottom"/>
          </w:tcPr>
          <w:p>
            <w:pPr>
              <w:pStyle w:val="TableContents"/>
              <w:bidi w:val="0"/>
              <w:spacing w:before="0" w:after="283"/>
              <w:jc w:val="left"/>
              <w:rPr/>
            </w:pPr>
            <w:r>
              <w:rPr/>
              <w:t>  </w:t>
            </w:r>
          </w:p>
        </w:tc>
        <w:tc>
          <w:tcPr>
            <w:tcW w:w="881" w:type="dxa"/>
            <w:tcBorders/>
          </w:tcPr>
          <w:p>
            <w:pPr>
              <w:pStyle w:val="TableContents"/>
              <w:bidi w:val="0"/>
              <w:spacing w:before="0" w:after="283"/>
              <w:jc w:val="left"/>
              <w:rPr/>
            </w:pPr>
            <w:r>
              <w:rPr/>
              <w:t>11/18/2021</w:t>
            </w:r>
          </w:p>
        </w:tc>
        <w:tc>
          <w:tcPr>
            <w:tcW w:w="133"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276"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3214" w:type="dxa"/>
            <w:tcBorders/>
          </w:tcPr>
          <w:p>
            <w:pPr>
              <w:pStyle w:val="TableContents"/>
              <w:bidi w:val="0"/>
              <w:spacing w:before="0" w:after="283"/>
              <w:jc w:val="left"/>
              <w:rPr/>
            </w:pPr>
            <w:r>
              <w:rPr/>
              <w:t>Request for Modified Substantive Examination Due 18-Nov-2026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G118973-G114734 </w:t>
      </w:r>
    </w:p>
    <w:p>
      <w:pPr>
        <w:pStyle w:val="TextBody"/>
        <w:bidi w:val="0"/>
        <w:spacing w:before="120" w:after="0"/>
        <w:jc w:val="center"/>
        <w:rPr>
          <w:rFonts w:ascii="Times New Roman" w:hAnsi="Times New Roman"/>
          <w:b/>
          <w:sz w:val="20"/>
        </w:rPr>
      </w:pPr>
      <w:r>
        <w:rPr>
          <w:rFonts w:ascii="Times New Roman" w:hAnsi="Times New Roman"/>
          <w:b/>
          <w:sz w:val="20"/>
        </w:rPr>
        <w:t xml:space="preserve">BAM (PLUS-0014) </w:t>
      </w:r>
    </w:p>
    <w:p>
      <w:pPr>
        <w:pStyle w:val="TextBody"/>
        <w:bidi w:val="0"/>
        <w:spacing w:before="120" w:after="0"/>
        <w:jc w:val="center"/>
        <w:rPr>
          <w:rFonts w:ascii="Times New Roman" w:hAnsi="Times New Roman"/>
          <w:b/>
          <w:sz w:val="20"/>
        </w:rPr>
      </w:pPr>
      <w:r>
        <w:rPr>
          <w:rFonts w:ascii="Times New Roman" w:hAnsi="Times New Roman"/>
          <w:b/>
          <w:sz w:val="20"/>
        </w:rPr>
        <w:t xml:space="preserve">BIODEGRADABLE ALGINATE MICROSPHERES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1"/>
        <w:gridCol w:w="120"/>
        <w:gridCol w:w="1828"/>
        <w:gridCol w:w="120"/>
        <w:gridCol w:w="1418"/>
        <w:gridCol w:w="120"/>
        <w:gridCol w:w="1593"/>
        <w:gridCol w:w="120"/>
        <w:gridCol w:w="1582"/>
        <w:gridCol w:w="120"/>
        <w:gridCol w:w="1603"/>
      </w:tblGrid>
      <w:tr>
        <w:trPr/>
        <w:tc>
          <w:tcPr>
            <w:tcW w:w="15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581"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8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41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5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5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6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581"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63/433,889</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12/20/2022</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Expired</w:t>
            </w:r>
          </w:p>
        </w:tc>
      </w:tr>
      <w:tr>
        <w:trPr/>
        <w:tc>
          <w:tcPr>
            <w:tcW w:w="1581"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18/390,264</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Pending</w:t>
            </w:r>
          </w:p>
        </w:tc>
      </w:tr>
      <w:tr>
        <w:trPr/>
        <w:tc>
          <w:tcPr>
            <w:tcW w:w="1581" w:type="dxa"/>
            <w:tcBorders/>
          </w:tcPr>
          <w:p>
            <w:pPr>
              <w:pStyle w:val="TableContents"/>
              <w:bidi w:val="0"/>
              <w:spacing w:before="0" w:after="283"/>
              <w:jc w:val="left"/>
              <w:rPr/>
            </w:pPr>
            <w:r>
              <w:rPr/>
              <w:t>PCT</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PCT/US23/85031</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Expired</w:t>
            </w:r>
          </w:p>
        </w:tc>
      </w:tr>
      <w:tr>
        <w:trPr/>
        <w:tc>
          <w:tcPr>
            <w:tcW w:w="1581" w:type="dxa"/>
            <w:tcBorders/>
          </w:tcPr>
          <w:p>
            <w:pPr>
              <w:pStyle w:val="TableContents"/>
              <w:bidi w:val="0"/>
              <w:spacing w:before="0" w:after="283"/>
              <w:jc w:val="left"/>
              <w:rPr/>
            </w:pPr>
            <w:r>
              <w:rPr/>
              <w:t>Argentina</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230103471</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Abandoned</w:t>
            </w:r>
          </w:p>
        </w:tc>
      </w:tr>
      <w:tr>
        <w:trPr/>
        <w:tc>
          <w:tcPr>
            <w:tcW w:w="1581" w:type="dxa"/>
            <w:tcBorders/>
          </w:tcPr>
          <w:p>
            <w:pPr>
              <w:pStyle w:val="TableContents"/>
              <w:bidi w:val="0"/>
              <w:spacing w:before="0" w:after="283"/>
              <w:jc w:val="left"/>
              <w:rPr/>
            </w:pPr>
            <w:r>
              <w:rPr/>
              <w:t>Canada</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3277661</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Pending</w:t>
            </w:r>
          </w:p>
        </w:tc>
      </w:tr>
      <w:tr>
        <w:trPr/>
        <w:tc>
          <w:tcPr>
            <w:tcW w:w="1581" w:type="dxa"/>
            <w:tcBorders/>
          </w:tcPr>
          <w:p>
            <w:pPr>
              <w:pStyle w:val="TableContents"/>
              <w:bidi w:val="0"/>
              <w:spacing w:before="0" w:after="283"/>
              <w:jc w:val="left"/>
              <w:rPr/>
            </w:pPr>
            <w:r>
              <w:rPr/>
              <w:t>China</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202380093881.3</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Pending</w:t>
            </w:r>
          </w:p>
        </w:tc>
      </w:tr>
      <w:tr>
        <w:trPr/>
        <w:tc>
          <w:tcPr>
            <w:tcW w:w="1581" w:type="dxa"/>
            <w:tcBorders/>
          </w:tcPr>
          <w:p>
            <w:pPr>
              <w:pStyle w:val="TableContents"/>
              <w:bidi w:val="0"/>
              <w:spacing w:before="0" w:after="283"/>
              <w:jc w:val="left"/>
              <w:rPr/>
            </w:pPr>
            <w:r>
              <w:rPr/>
              <w:t>Europe</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23908404.9</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Pending</w:t>
            </w:r>
          </w:p>
        </w:tc>
      </w:tr>
      <w:tr>
        <w:trPr/>
        <w:tc>
          <w:tcPr>
            <w:tcW w:w="1581"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62025116591.1</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Pending</w:t>
            </w:r>
          </w:p>
        </w:tc>
      </w:tr>
      <w:tr>
        <w:trPr/>
        <w:tc>
          <w:tcPr>
            <w:tcW w:w="1581" w:type="dxa"/>
            <w:tcBorders/>
          </w:tcPr>
          <w:p>
            <w:pPr>
              <w:pStyle w:val="TableContents"/>
              <w:bidi w:val="0"/>
              <w:spacing w:before="0" w:after="283"/>
              <w:jc w:val="left"/>
              <w:rPr/>
            </w:pPr>
            <w:r>
              <w:rPr/>
              <w:t>Japan</w:t>
            </w:r>
          </w:p>
        </w:tc>
        <w:tc>
          <w:tcPr>
            <w:tcW w:w="120" w:type="dxa"/>
            <w:tcBorders/>
            <w:vAlign w:val="bottom"/>
          </w:tcPr>
          <w:p>
            <w:pPr>
              <w:pStyle w:val="TableContents"/>
              <w:bidi w:val="0"/>
              <w:spacing w:before="0" w:after="283"/>
              <w:jc w:val="left"/>
              <w:rPr/>
            </w:pPr>
            <w:r>
              <w:rPr/>
              <w:t>  </w:t>
            </w:r>
          </w:p>
        </w:tc>
        <w:tc>
          <w:tcPr>
            <w:tcW w:w="1828" w:type="dxa"/>
            <w:tcBorders/>
          </w:tcPr>
          <w:p>
            <w:pPr>
              <w:pStyle w:val="TableContents"/>
              <w:bidi w:val="0"/>
              <w:spacing w:before="0" w:after="283"/>
              <w:jc w:val="left"/>
              <w:rPr/>
            </w:pPr>
            <w:r>
              <w:rPr/>
              <w:t>2025-536287</w:t>
            </w:r>
          </w:p>
        </w:tc>
        <w:tc>
          <w:tcPr>
            <w:tcW w:w="120"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12/20/2023</w:t>
            </w:r>
          </w:p>
        </w:tc>
        <w:tc>
          <w:tcPr>
            <w:tcW w:w="120" w:type="dxa"/>
            <w:tcBorders/>
            <w:vAlign w:val="bottom"/>
          </w:tcPr>
          <w:p>
            <w:pPr>
              <w:pStyle w:val="TableContents"/>
              <w:bidi w:val="0"/>
              <w:spacing w:before="0" w:after="283"/>
              <w:jc w:val="left"/>
              <w:rPr/>
            </w:pPr>
            <w:r>
              <w:rPr/>
              <w:t>  </w:t>
            </w:r>
          </w:p>
        </w:tc>
        <w:tc>
          <w:tcPr>
            <w:tcW w:w="15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Request Examination due 20-Dec-2026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G118973-G114735 </w:t>
      </w:r>
    </w:p>
    <w:p>
      <w:pPr>
        <w:pStyle w:val="TextBody"/>
        <w:bidi w:val="0"/>
        <w:spacing w:before="120" w:after="0"/>
        <w:jc w:val="center"/>
        <w:rPr>
          <w:rFonts w:ascii="Times New Roman" w:hAnsi="Times New Roman"/>
          <w:b/>
          <w:sz w:val="20"/>
        </w:rPr>
      </w:pPr>
      <w:r>
        <w:rPr>
          <w:rFonts w:ascii="Times New Roman" w:hAnsi="Times New Roman"/>
          <w:b/>
          <w:sz w:val="20"/>
        </w:rPr>
        <w:t xml:space="preserve">LM Cerebrospinal Fluid (PLUS-5001) </w:t>
      </w:r>
    </w:p>
    <w:p>
      <w:pPr>
        <w:pStyle w:val="TextBody"/>
        <w:bidi w:val="0"/>
        <w:spacing w:before="120" w:after="0"/>
        <w:jc w:val="center"/>
        <w:rPr>
          <w:rFonts w:ascii="Times New Roman" w:hAnsi="Times New Roman"/>
          <w:b/>
          <w:sz w:val="20"/>
        </w:rPr>
      </w:pPr>
      <w:r>
        <w:rPr>
          <w:rFonts w:ascii="Times New Roman" w:hAnsi="Times New Roman"/>
          <w:b/>
          <w:sz w:val="20"/>
        </w:rPr>
        <w:t xml:space="preserve">MONITORING AND TREATMENT OF CENTRAL NERVOUS SYSTEM METASTASES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6"/>
        <w:gridCol w:w="121"/>
        <w:gridCol w:w="1647"/>
        <w:gridCol w:w="121"/>
        <w:gridCol w:w="1570"/>
        <w:gridCol w:w="121"/>
        <w:gridCol w:w="1611"/>
        <w:gridCol w:w="121"/>
        <w:gridCol w:w="1562"/>
        <w:gridCol w:w="121"/>
        <w:gridCol w:w="1564"/>
      </w:tblGrid>
      <w:tr>
        <w:trPr/>
        <w:tc>
          <w:tcPr>
            <w:tcW w:w="16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646"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1" w:type="dxa"/>
            <w:tcBorders/>
            <w:vAlign w:val="bottom"/>
          </w:tcPr>
          <w:p>
            <w:pPr>
              <w:pStyle w:val="TableContents"/>
              <w:bidi w:val="0"/>
              <w:spacing w:before="0" w:after="283"/>
              <w:jc w:val="left"/>
              <w:rPr/>
            </w:pPr>
            <w:r>
              <w:rPr/>
              <w:t>  </w:t>
            </w:r>
          </w:p>
        </w:tc>
        <w:tc>
          <w:tcPr>
            <w:tcW w:w="164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1" w:type="dxa"/>
            <w:tcBorders/>
            <w:vAlign w:val="bottom"/>
          </w:tcPr>
          <w:p>
            <w:pPr>
              <w:pStyle w:val="TableContents"/>
              <w:bidi w:val="0"/>
              <w:spacing w:before="0" w:after="283"/>
              <w:jc w:val="left"/>
              <w:rPr/>
            </w:pPr>
            <w:r>
              <w:rPr/>
              <w:t>  </w:t>
            </w:r>
          </w:p>
        </w:tc>
        <w:tc>
          <w:tcPr>
            <w:tcW w:w="15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1" w:type="dxa"/>
            <w:tcBorders/>
            <w:vAlign w:val="bottom"/>
          </w:tcPr>
          <w:p>
            <w:pPr>
              <w:pStyle w:val="TableContents"/>
              <w:bidi w:val="0"/>
              <w:spacing w:before="0" w:after="283"/>
              <w:jc w:val="left"/>
              <w:rPr/>
            </w:pPr>
            <w:r>
              <w:rPr/>
              <w:t>  </w:t>
            </w:r>
          </w:p>
        </w:tc>
        <w:tc>
          <w:tcPr>
            <w:tcW w:w="16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1" w:type="dxa"/>
            <w:tcBorders/>
            <w:vAlign w:val="bottom"/>
          </w:tcPr>
          <w:p>
            <w:pPr>
              <w:pStyle w:val="TableContents"/>
              <w:bidi w:val="0"/>
              <w:spacing w:before="0" w:after="283"/>
              <w:jc w:val="left"/>
              <w:rPr/>
            </w:pPr>
            <w:r>
              <w:rPr/>
              <w:t>  </w:t>
            </w:r>
          </w:p>
        </w:tc>
        <w:tc>
          <w:tcPr>
            <w:tcW w:w="156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1" w:type="dxa"/>
            <w:tcBorders/>
            <w:vAlign w:val="bottom"/>
          </w:tcPr>
          <w:p>
            <w:pPr>
              <w:pStyle w:val="TableContents"/>
              <w:bidi w:val="0"/>
              <w:spacing w:before="0" w:after="283"/>
              <w:jc w:val="left"/>
              <w:rPr/>
            </w:pPr>
            <w:r>
              <w:rPr/>
              <w:t>  </w:t>
            </w:r>
          </w:p>
        </w:tc>
        <w:tc>
          <w:tcPr>
            <w:tcW w:w="15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646" w:type="dxa"/>
            <w:tcBorders/>
          </w:tcPr>
          <w:p>
            <w:pPr>
              <w:pStyle w:val="TableContents"/>
              <w:bidi w:val="0"/>
              <w:spacing w:before="0" w:after="283"/>
              <w:jc w:val="left"/>
              <w:rPr/>
            </w:pPr>
            <w:r>
              <w:rPr/>
              <w:t>U.S.A.</w:t>
            </w:r>
          </w:p>
        </w:tc>
        <w:tc>
          <w:tcPr>
            <w:tcW w:w="121" w:type="dxa"/>
            <w:tcBorders/>
            <w:vAlign w:val="bottom"/>
          </w:tcPr>
          <w:p>
            <w:pPr>
              <w:pStyle w:val="TableContents"/>
              <w:bidi w:val="0"/>
              <w:spacing w:before="0" w:after="283"/>
              <w:jc w:val="left"/>
              <w:rPr/>
            </w:pPr>
            <w:r>
              <w:rPr/>
              <w:t>  </w:t>
            </w:r>
          </w:p>
        </w:tc>
        <w:tc>
          <w:tcPr>
            <w:tcW w:w="1647" w:type="dxa"/>
            <w:tcBorders/>
          </w:tcPr>
          <w:p>
            <w:pPr>
              <w:pStyle w:val="TableContents"/>
              <w:bidi w:val="0"/>
              <w:spacing w:before="0" w:after="283"/>
              <w:jc w:val="left"/>
              <w:rPr/>
            </w:pPr>
            <w:r>
              <w:rPr/>
              <w:t>63/870,673</w:t>
            </w:r>
          </w:p>
        </w:tc>
        <w:tc>
          <w:tcPr>
            <w:tcW w:w="121" w:type="dxa"/>
            <w:tcBorders/>
            <w:vAlign w:val="bottom"/>
          </w:tcPr>
          <w:p>
            <w:pPr>
              <w:pStyle w:val="TableContents"/>
              <w:bidi w:val="0"/>
              <w:spacing w:before="0" w:after="283"/>
              <w:jc w:val="left"/>
              <w:rPr/>
            </w:pPr>
            <w:r>
              <w:rPr/>
              <w:t>  </w:t>
            </w:r>
          </w:p>
        </w:tc>
        <w:tc>
          <w:tcPr>
            <w:tcW w:w="1570" w:type="dxa"/>
            <w:tcBorders/>
          </w:tcPr>
          <w:p>
            <w:pPr>
              <w:pStyle w:val="TableContents"/>
              <w:bidi w:val="0"/>
              <w:spacing w:before="0" w:after="283"/>
              <w:jc w:val="left"/>
              <w:rPr/>
            </w:pPr>
            <w:r>
              <w:rPr/>
              <w:t>08/26/2025</w:t>
            </w:r>
          </w:p>
        </w:tc>
        <w:tc>
          <w:tcPr>
            <w:tcW w:w="121"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Pending</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FBT Gibbons G118973-G114736 </w:t>
      </w:r>
    </w:p>
    <w:p>
      <w:pPr>
        <w:pStyle w:val="TextBody"/>
        <w:bidi w:val="0"/>
        <w:spacing w:before="120" w:after="0"/>
        <w:jc w:val="center"/>
        <w:rPr>
          <w:rFonts w:ascii="Times New Roman" w:hAnsi="Times New Roman"/>
          <w:b/>
          <w:sz w:val="20"/>
        </w:rPr>
      </w:pPr>
      <w:r>
        <w:rPr>
          <w:rFonts w:ascii="Times New Roman" w:hAnsi="Times New Roman"/>
          <w:b/>
          <w:sz w:val="20"/>
        </w:rPr>
        <w:t xml:space="preserve">LM Monitoring (PLUS-5000) </w:t>
      </w:r>
    </w:p>
    <w:p>
      <w:pPr>
        <w:pStyle w:val="TextBody"/>
        <w:bidi w:val="0"/>
        <w:spacing w:before="120" w:after="0"/>
        <w:jc w:val="center"/>
        <w:rPr>
          <w:rFonts w:ascii="Times New Roman" w:hAnsi="Times New Roman"/>
          <w:b/>
          <w:sz w:val="20"/>
        </w:rPr>
      </w:pPr>
      <w:r>
        <w:rPr>
          <w:rFonts w:ascii="Times New Roman" w:hAnsi="Times New Roman"/>
          <w:b/>
          <w:sz w:val="20"/>
        </w:rPr>
        <w:t xml:space="preserve">MONITORING AND TREATMENT OF LEPTOMENINGEAL METASTASES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6"/>
        <w:gridCol w:w="121"/>
        <w:gridCol w:w="1647"/>
        <w:gridCol w:w="121"/>
        <w:gridCol w:w="1570"/>
        <w:gridCol w:w="121"/>
        <w:gridCol w:w="1611"/>
        <w:gridCol w:w="121"/>
        <w:gridCol w:w="1562"/>
        <w:gridCol w:w="121"/>
        <w:gridCol w:w="1564"/>
      </w:tblGrid>
      <w:tr>
        <w:trPr/>
        <w:tc>
          <w:tcPr>
            <w:tcW w:w="16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646"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1" w:type="dxa"/>
            <w:tcBorders/>
            <w:vAlign w:val="bottom"/>
          </w:tcPr>
          <w:p>
            <w:pPr>
              <w:pStyle w:val="TableContents"/>
              <w:bidi w:val="0"/>
              <w:spacing w:before="0" w:after="283"/>
              <w:jc w:val="left"/>
              <w:rPr/>
            </w:pPr>
            <w:r>
              <w:rPr/>
              <w:t>  </w:t>
            </w:r>
          </w:p>
        </w:tc>
        <w:tc>
          <w:tcPr>
            <w:tcW w:w="164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1" w:type="dxa"/>
            <w:tcBorders/>
            <w:vAlign w:val="bottom"/>
          </w:tcPr>
          <w:p>
            <w:pPr>
              <w:pStyle w:val="TableContents"/>
              <w:bidi w:val="0"/>
              <w:spacing w:before="0" w:after="283"/>
              <w:jc w:val="left"/>
              <w:rPr/>
            </w:pPr>
            <w:r>
              <w:rPr/>
              <w:t>  </w:t>
            </w:r>
          </w:p>
        </w:tc>
        <w:tc>
          <w:tcPr>
            <w:tcW w:w="15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1" w:type="dxa"/>
            <w:tcBorders/>
            <w:vAlign w:val="bottom"/>
          </w:tcPr>
          <w:p>
            <w:pPr>
              <w:pStyle w:val="TableContents"/>
              <w:bidi w:val="0"/>
              <w:spacing w:before="0" w:after="283"/>
              <w:jc w:val="left"/>
              <w:rPr/>
            </w:pPr>
            <w:r>
              <w:rPr/>
              <w:t>  </w:t>
            </w:r>
          </w:p>
        </w:tc>
        <w:tc>
          <w:tcPr>
            <w:tcW w:w="16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1" w:type="dxa"/>
            <w:tcBorders/>
            <w:vAlign w:val="bottom"/>
          </w:tcPr>
          <w:p>
            <w:pPr>
              <w:pStyle w:val="TableContents"/>
              <w:bidi w:val="0"/>
              <w:spacing w:before="0" w:after="283"/>
              <w:jc w:val="left"/>
              <w:rPr/>
            </w:pPr>
            <w:r>
              <w:rPr/>
              <w:t>  </w:t>
            </w:r>
          </w:p>
        </w:tc>
        <w:tc>
          <w:tcPr>
            <w:tcW w:w="156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1" w:type="dxa"/>
            <w:tcBorders/>
            <w:vAlign w:val="bottom"/>
          </w:tcPr>
          <w:p>
            <w:pPr>
              <w:pStyle w:val="TableContents"/>
              <w:bidi w:val="0"/>
              <w:spacing w:before="0" w:after="283"/>
              <w:jc w:val="left"/>
              <w:rPr/>
            </w:pPr>
            <w:r>
              <w:rPr/>
              <w:t>  </w:t>
            </w:r>
          </w:p>
        </w:tc>
        <w:tc>
          <w:tcPr>
            <w:tcW w:w="15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646" w:type="dxa"/>
            <w:tcBorders/>
          </w:tcPr>
          <w:p>
            <w:pPr>
              <w:pStyle w:val="TableContents"/>
              <w:bidi w:val="0"/>
              <w:spacing w:before="0" w:after="283"/>
              <w:jc w:val="left"/>
              <w:rPr/>
            </w:pPr>
            <w:r>
              <w:rPr/>
              <w:t>U.S.A.</w:t>
            </w:r>
          </w:p>
        </w:tc>
        <w:tc>
          <w:tcPr>
            <w:tcW w:w="121" w:type="dxa"/>
            <w:tcBorders/>
            <w:vAlign w:val="bottom"/>
          </w:tcPr>
          <w:p>
            <w:pPr>
              <w:pStyle w:val="TableContents"/>
              <w:bidi w:val="0"/>
              <w:spacing w:before="0" w:after="283"/>
              <w:jc w:val="left"/>
              <w:rPr/>
            </w:pPr>
            <w:r>
              <w:rPr/>
              <w:t>  </w:t>
            </w:r>
          </w:p>
        </w:tc>
        <w:tc>
          <w:tcPr>
            <w:tcW w:w="1647" w:type="dxa"/>
            <w:tcBorders/>
          </w:tcPr>
          <w:p>
            <w:pPr>
              <w:pStyle w:val="TableContents"/>
              <w:bidi w:val="0"/>
              <w:spacing w:before="0" w:after="283"/>
              <w:jc w:val="left"/>
              <w:rPr/>
            </w:pPr>
            <w:r>
              <w:rPr/>
              <w:t>63/723,482</w:t>
            </w:r>
          </w:p>
        </w:tc>
        <w:tc>
          <w:tcPr>
            <w:tcW w:w="121" w:type="dxa"/>
            <w:tcBorders/>
            <w:vAlign w:val="bottom"/>
          </w:tcPr>
          <w:p>
            <w:pPr>
              <w:pStyle w:val="TableContents"/>
              <w:bidi w:val="0"/>
              <w:spacing w:before="0" w:after="283"/>
              <w:jc w:val="left"/>
              <w:rPr/>
            </w:pPr>
            <w:r>
              <w:rPr/>
              <w:t>  </w:t>
            </w:r>
          </w:p>
        </w:tc>
        <w:tc>
          <w:tcPr>
            <w:tcW w:w="1570" w:type="dxa"/>
            <w:tcBorders/>
          </w:tcPr>
          <w:p>
            <w:pPr>
              <w:pStyle w:val="TableContents"/>
              <w:bidi w:val="0"/>
              <w:spacing w:before="0" w:after="283"/>
              <w:jc w:val="left"/>
              <w:rPr/>
            </w:pPr>
            <w:r>
              <w:rPr/>
              <w:t>11/21/2024</w:t>
            </w:r>
          </w:p>
        </w:tc>
        <w:tc>
          <w:tcPr>
            <w:tcW w:w="121"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Expired</w:t>
            </w:r>
          </w:p>
        </w:tc>
      </w:tr>
      <w:tr>
        <w:trPr/>
        <w:tc>
          <w:tcPr>
            <w:tcW w:w="1646" w:type="dxa"/>
            <w:tcBorders/>
          </w:tcPr>
          <w:p>
            <w:pPr>
              <w:pStyle w:val="TableContents"/>
              <w:bidi w:val="0"/>
              <w:spacing w:before="0" w:after="283"/>
              <w:jc w:val="left"/>
              <w:rPr/>
            </w:pPr>
            <w:r>
              <w:rPr/>
              <w:t>PCT</w:t>
            </w:r>
          </w:p>
        </w:tc>
        <w:tc>
          <w:tcPr>
            <w:tcW w:w="121" w:type="dxa"/>
            <w:tcBorders/>
            <w:vAlign w:val="bottom"/>
          </w:tcPr>
          <w:p>
            <w:pPr>
              <w:pStyle w:val="TableContents"/>
              <w:bidi w:val="0"/>
              <w:spacing w:before="0" w:after="283"/>
              <w:jc w:val="left"/>
              <w:rPr/>
            </w:pPr>
            <w:r>
              <w:rPr/>
              <w:t>  </w:t>
            </w:r>
          </w:p>
        </w:tc>
        <w:tc>
          <w:tcPr>
            <w:tcW w:w="1647" w:type="dxa"/>
            <w:tcBorders/>
          </w:tcPr>
          <w:p>
            <w:pPr>
              <w:pStyle w:val="TableContents"/>
              <w:bidi w:val="0"/>
              <w:spacing w:before="0" w:after="283"/>
              <w:jc w:val="left"/>
              <w:rPr/>
            </w:pPr>
            <w:r>
              <w:rPr/>
              <w:t>PCT/US25/55763</w:t>
            </w:r>
          </w:p>
        </w:tc>
        <w:tc>
          <w:tcPr>
            <w:tcW w:w="121" w:type="dxa"/>
            <w:tcBorders/>
            <w:vAlign w:val="bottom"/>
          </w:tcPr>
          <w:p>
            <w:pPr>
              <w:pStyle w:val="TableContents"/>
              <w:bidi w:val="0"/>
              <w:spacing w:before="0" w:after="283"/>
              <w:jc w:val="left"/>
              <w:rPr/>
            </w:pPr>
            <w:r>
              <w:rPr/>
              <w:t>  </w:t>
            </w:r>
          </w:p>
        </w:tc>
        <w:tc>
          <w:tcPr>
            <w:tcW w:w="1570" w:type="dxa"/>
            <w:tcBorders/>
          </w:tcPr>
          <w:p>
            <w:pPr>
              <w:pStyle w:val="TableContents"/>
              <w:bidi w:val="0"/>
              <w:spacing w:before="0" w:after="283"/>
              <w:jc w:val="left"/>
              <w:rPr/>
            </w:pPr>
            <w:r>
              <w:rPr/>
              <w:t>11/17/2025</w:t>
            </w:r>
          </w:p>
        </w:tc>
        <w:tc>
          <w:tcPr>
            <w:tcW w:w="121"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4" w:type="dxa"/>
            <w:tcBorders/>
          </w:tcPr>
          <w:p>
            <w:pPr>
              <w:pStyle w:val="TableContents"/>
              <w:bidi w:val="0"/>
              <w:spacing w:before="0" w:after="283"/>
              <w:jc w:val="left"/>
              <w:rPr/>
            </w:pPr>
            <w:r>
              <w:rPr/>
              <w:t>Pending</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G118973-G114738 </w:t>
      </w:r>
    </w:p>
    <w:p>
      <w:pPr>
        <w:pStyle w:val="TextBody"/>
        <w:bidi w:val="0"/>
        <w:spacing w:before="120" w:after="0"/>
        <w:jc w:val="center"/>
        <w:rPr>
          <w:rFonts w:ascii="Times New Roman" w:hAnsi="Times New Roman"/>
          <w:b/>
          <w:sz w:val="20"/>
        </w:rPr>
      </w:pPr>
      <w:r>
        <w:rPr>
          <w:rFonts w:ascii="Times New Roman" w:hAnsi="Times New Roman"/>
          <w:b/>
          <w:sz w:val="20"/>
        </w:rPr>
        <w:t xml:space="preserve">Use of Diazolidinyl Urea (PLUS-2300) </w:t>
      </w:r>
    </w:p>
    <w:p>
      <w:pPr>
        <w:pStyle w:val="TextBody"/>
        <w:bidi w:val="0"/>
        <w:spacing w:before="120" w:after="0"/>
        <w:jc w:val="center"/>
        <w:rPr>
          <w:rFonts w:ascii="Times New Roman" w:hAnsi="Times New Roman"/>
          <w:b/>
          <w:sz w:val="20"/>
        </w:rPr>
      </w:pPr>
      <w:r>
        <w:rPr>
          <w:rFonts w:ascii="Times New Roman" w:hAnsi="Times New Roman"/>
          <w:b/>
          <w:sz w:val="20"/>
        </w:rPr>
        <w:t xml:space="preserve">USE OF DIAZOLIDINYL UREA FOR ANTI-CLUMPING OF BIOLOGICAL SAMPLES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3"/>
        <w:gridCol w:w="120"/>
        <w:gridCol w:w="1623"/>
        <w:gridCol w:w="120"/>
        <w:gridCol w:w="1471"/>
        <w:gridCol w:w="120"/>
        <w:gridCol w:w="1628"/>
        <w:gridCol w:w="120"/>
        <w:gridCol w:w="1618"/>
        <w:gridCol w:w="119"/>
        <w:gridCol w:w="1703"/>
      </w:tblGrid>
      <w:tr>
        <w:trPr/>
        <w:tc>
          <w:tcPr>
            <w:tcW w:w="1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156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62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47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6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61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19" w:type="dxa"/>
            <w:tcBorders/>
            <w:vAlign w:val="bottom"/>
          </w:tcPr>
          <w:p>
            <w:pPr>
              <w:pStyle w:val="TableContents"/>
              <w:bidi w:val="0"/>
              <w:spacing w:before="0" w:after="283"/>
              <w:jc w:val="left"/>
              <w:rPr/>
            </w:pPr>
            <w:r>
              <w:rPr/>
              <w:t>  </w:t>
            </w:r>
          </w:p>
        </w:tc>
        <w:tc>
          <w:tcPr>
            <w:tcW w:w="17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56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61/385,935</w:t>
            </w:r>
          </w:p>
        </w:tc>
        <w:tc>
          <w:tcPr>
            <w:tcW w:w="120" w:type="dxa"/>
            <w:tcBorders/>
            <w:vAlign w:val="bottom"/>
          </w:tcPr>
          <w:p>
            <w:pPr>
              <w:pStyle w:val="TableContents"/>
              <w:bidi w:val="0"/>
              <w:spacing w:before="0" w:after="283"/>
              <w:jc w:val="left"/>
              <w:rPr/>
            </w:pPr>
            <w:r>
              <w:rPr/>
              <w:t>  </w:t>
            </w:r>
          </w:p>
        </w:tc>
        <w:tc>
          <w:tcPr>
            <w:tcW w:w="1471" w:type="dxa"/>
            <w:tcBorders/>
          </w:tcPr>
          <w:p>
            <w:pPr>
              <w:pStyle w:val="TableContents"/>
              <w:bidi w:val="0"/>
              <w:spacing w:before="0" w:after="283"/>
              <w:jc w:val="left"/>
              <w:rPr/>
            </w:pPr>
            <w:r>
              <w:rPr/>
              <w:t>09/23/2010</w:t>
            </w:r>
          </w:p>
        </w:tc>
        <w:tc>
          <w:tcPr>
            <w:tcW w:w="120" w:type="dxa"/>
            <w:tcBorders/>
            <w:vAlign w:val="bottom"/>
          </w:tcPr>
          <w:p>
            <w:pPr>
              <w:pStyle w:val="TableContents"/>
              <w:bidi w:val="0"/>
              <w:spacing w:before="0" w:after="283"/>
              <w:jc w:val="left"/>
              <w:rPr/>
            </w:pPr>
            <w:r>
              <w:rPr/>
              <w:t>  </w:t>
            </w:r>
          </w:p>
        </w:tc>
        <w:tc>
          <w:tcPr>
            <w:tcW w:w="16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left"/>
              <w:rPr/>
            </w:pPr>
            <w:r>
              <w:rPr/>
              <w:t>Expired</w:t>
            </w:r>
          </w:p>
        </w:tc>
      </w:tr>
      <w:tr>
        <w:trPr/>
        <w:tc>
          <w:tcPr>
            <w:tcW w:w="156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13/243,432</w:t>
            </w:r>
          </w:p>
        </w:tc>
        <w:tc>
          <w:tcPr>
            <w:tcW w:w="120" w:type="dxa"/>
            <w:tcBorders/>
            <w:vAlign w:val="bottom"/>
          </w:tcPr>
          <w:p>
            <w:pPr>
              <w:pStyle w:val="TableContents"/>
              <w:bidi w:val="0"/>
              <w:spacing w:before="0" w:after="283"/>
              <w:jc w:val="left"/>
              <w:rPr/>
            </w:pPr>
            <w:r>
              <w:rPr/>
              <w:t>  </w:t>
            </w:r>
          </w:p>
        </w:tc>
        <w:tc>
          <w:tcPr>
            <w:tcW w:w="1471" w:type="dxa"/>
            <w:tcBorders/>
          </w:tcPr>
          <w:p>
            <w:pPr>
              <w:pStyle w:val="TableContents"/>
              <w:bidi w:val="0"/>
              <w:spacing w:before="0" w:after="283"/>
              <w:jc w:val="left"/>
              <w:rPr/>
            </w:pPr>
            <w:r>
              <w:rPr/>
              <w:t>09/23/2011</w:t>
            </w:r>
          </w:p>
        </w:tc>
        <w:tc>
          <w:tcPr>
            <w:tcW w:w="120" w:type="dxa"/>
            <w:tcBorders/>
            <w:vAlign w:val="bottom"/>
          </w:tcPr>
          <w:p>
            <w:pPr>
              <w:pStyle w:val="TableContents"/>
              <w:bidi w:val="0"/>
              <w:spacing w:before="0" w:after="283"/>
              <w:jc w:val="left"/>
              <w:rPr/>
            </w:pPr>
            <w:r>
              <w:rPr/>
              <w:t>  </w:t>
            </w:r>
          </w:p>
        </w:tc>
        <w:tc>
          <w:tcPr>
            <w:tcW w:w="1628" w:type="dxa"/>
            <w:tcBorders/>
          </w:tcPr>
          <w:p>
            <w:pPr>
              <w:pStyle w:val="TableContents"/>
              <w:bidi w:val="0"/>
              <w:spacing w:before="0" w:after="283"/>
              <w:jc w:val="left"/>
              <w:rPr/>
            </w:pPr>
            <w:r>
              <w:rPr/>
              <w:t>9,040,255</w:t>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pPr>
            <w:r>
              <w:rPr/>
              <w:t>05/26/2015</w:t>
            </w:r>
          </w:p>
        </w:tc>
        <w:tc>
          <w:tcPr>
            <w:tcW w:w="119"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left"/>
              <w:rPr/>
            </w:pPr>
            <w:r>
              <w:rPr/>
              <w:t>Granted</w:t>
            </w:r>
          </w:p>
        </w:tc>
      </w:tr>
      <w:tr>
        <w:trPr/>
        <w:tc>
          <w:tcPr>
            <w:tcW w:w="156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14/695,455</w:t>
            </w:r>
          </w:p>
        </w:tc>
        <w:tc>
          <w:tcPr>
            <w:tcW w:w="120" w:type="dxa"/>
            <w:tcBorders/>
            <w:vAlign w:val="bottom"/>
          </w:tcPr>
          <w:p>
            <w:pPr>
              <w:pStyle w:val="TableContents"/>
              <w:bidi w:val="0"/>
              <w:spacing w:before="0" w:after="283"/>
              <w:jc w:val="left"/>
              <w:rPr/>
            </w:pPr>
            <w:r>
              <w:rPr/>
              <w:t>  </w:t>
            </w:r>
          </w:p>
        </w:tc>
        <w:tc>
          <w:tcPr>
            <w:tcW w:w="1471" w:type="dxa"/>
            <w:tcBorders/>
          </w:tcPr>
          <w:p>
            <w:pPr>
              <w:pStyle w:val="TableContents"/>
              <w:bidi w:val="0"/>
              <w:spacing w:before="0" w:after="283"/>
              <w:jc w:val="left"/>
              <w:rPr/>
            </w:pPr>
            <w:r>
              <w:rPr/>
              <w:t>04/24/2015</w:t>
            </w:r>
          </w:p>
        </w:tc>
        <w:tc>
          <w:tcPr>
            <w:tcW w:w="120" w:type="dxa"/>
            <w:tcBorders/>
            <w:vAlign w:val="bottom"/>
          </w:tcPr>
          <w:p>
            <w:pPr>
              <w:pStyle w:val="TableContents"/>
              <w:bidi w:val="0"/>
              <w:spacing w:before="0" w:after="283"/>
              <w:jc w:val="left"/>
              <w:rPr/>
            </w:pPr>
            <w:r>
              <w:rPr/>
              <w:t>  </w:t>
            </w:r>
          </w:p>
        </w:tc>
        <w:tc>
          <w:tcPr>
            <w:tcW w:w="16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left"/>
              <w:rPr/>
            </w:pPr>
            <w:r>
              <w:rPr/>
              <w:t>Abandoned</w:t>
            </w:r>
          </w:p>
        </w:tc>
      </w:tr>
      <w:tr>
        <w:trPr/>
        <w:tc>
          <w:tcPr>
            <w:tcW w:w="156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90/014,862(Reexam of 9,040,255)</w:t>
            </w:r>
          </w:p>
        </w:tc>
        <w:tc>
          <w:tcPr>
            <w:tcW w:w="120" w:type="dxa"/>
            <w:tcBorders/>
            <w:vAlign w:val="bottom"/>
          </w:tcPr>
          <w:p>
            <w:pPr>
              <w:pStyle w:val="TableContents"/>
              <w:bidi w:val="0"/>
              <w:spacing w:before="0" w:after="283"/>
              <w:jc w:val="left"/>
              <w:rPr/>
            </w:pPr>
            <w:r>
              <w:rPr/>
              <w:t>  </w:t>
            </w:r>
          </w:p>
        </w:tc>
        <w:tc>
          <w:tcPr>
            <w:tcW w:w="1471" w:type="dxa"/>
            <w:tcBorders/>
          </w:tcPr>
          <w:p>
            <w:pPr>
              <w:pStyle w:val="TableContents"/>
              <w:bidi w:val="0"/>
              <w:spacing w:before="0" w:after="283"/>
              <w:jc w:val="left"/>
              <w:rPr/>
            </w:pPr>
            <w:r>
              <w:rPr/>
              <w:t>09/17/2021</w:t>
            </w:r>
          </w:p>
        </w:tc>
        <w:tc>
          <w:tcPr>
            <w:tcW w:w="120" w:type="dxa"/>
            <w:tcBorders/>
            <w:vAlign w:val="bottom"/>
          </w:tcPr>
          <w:p>
            <w:pPr>
              <w:pStyle w:val="TableContents"/>
              <w:bidi w:val="0"/>
              <w:spacing w:before="0" w:after="283"/>
              <w:jc w:val="left"/>
              <w:rPr/>
            </w:pPr>
            <w:r>
              <w:rPr/>
              <w:t>  </w:t>
            </w:r>
          </w:p>
        </w:tc>
        <w:tc>
          <w:tcPr>
            <w:tcW w:w="16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left"/>
              <w:rPr/>
            </w:pPr>
            <w:r>
              <w:rPr/>
              <w:t>Reexamination Certificate Issued</w:t>
            </w:r>
          </w:p>
        </w:tc>
      </w:tr>
      <w:tr>
        <w:trPr/>
        <w:tc>
          <w:tcPr>
            <w:tcW w:w="1563" w:type="dxa"/>
            <w:tcBorders/>
          </w:tcPr>
          <w:p>
            <w:pPr>
              <w:pStyle w:val="TableContents"/>
              <w:bidi w:val="0"/>
              <w:spacing w:before="0" w:after="283"/>
              <w:jc w:val="left"/>
              <w:rPr/>
            </w:pPr>
            <w:r>
              <w:rPr/>
              <w:t>PCT</w:t>
            </w:r>
          </w:p>
        </w:tc>
        <w:tc>
          <w:tcPr>
            <w:tcW w:w="120"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PCT/US11/53041</w:t>
            </w:r>
          </w:p>
        </w:tc>
        <w:tc>
          <w:tcPr>
            <w:tcW w:w="120" w:type="dxa"/>
            <w:tcBorders/>
            <w:vAlign w:val="bottom"/>
          </w:tcPr>
          <w:p>
            <w:pPr>
              <w:pStyle w:val="TableContents"/>
              <w:bidi w:val="0"/>
              <w:spacing w:before="0" w:after="283"/>
              <w:jc w:val="left"/>
              <w:rPr/>
            </w:pPr>
            <w:r>
              <w:rPr/>
              <w:t>  </w:t>
            </w:r>
          </w:p>
        </w:tc>
        <w:tc>
          <w:tcPr>
            <w:tcW w:w="1471" w:type="dxa"/>
            <w:tcBorders/>
          </w:tcPr>
          <w:p>
            <w:pPr>
              <w:pStyle w:val="TableContents"/>
              <w:bidi w:val="0"/>
              <w:spacing w:before="0" w:after="283"/>
              <w:jc w:val="left"/>
              <w:rPr/>
            </w:pPr>
            <w:r>
              <w:rPr/>
              <w:t>09/23/2011</w:t>
            </w:r>
          </w:p>
        </w:tc>
        <w:tc>
          <w:tcPr>
            <w:tcW w:w="120" w:type="dxa"/>
            <w:tcBorders/>
            <w:vAlign w:val="bottom"/>
          </w:tcPr>
          <w:p>
            <w:pPr>
              <w:pStyle w:val="TableContents"/>
              <w:bidi w:val="0"/>
              <w:spacing w:before="0" w:after="283"/>
              <w:jc w:val="left"/>
              <w:rPr/>
            </w:pPr>
            <w:r>
              <w:rPr/>
              <w:t>  </w:t>
            </w:r>
          </w:p>
        </w:tc>
        <w:tc>
          <w:tcPr>
            <w:tcW w:w="162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3" w:type="dxa"/>
            <w:tcBorders/>
          </w:tcPr>
          <w:p>
            <w:pPr>
              <w:pStyle w:val="TableContents"/>
              <w:bidi w:val="0"/>
              <w:spacing w:before="0" w:after="283"/>
              <w:jc w:val="left"/>
              <w:rPr/>
            </w:pPr>
            <w:r>
              <w:rPr/>
              <w:t>Expired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G118973-0817650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(PLUS-1900-1) </w:t>
      </w:r>
    </w:p>
    <w:p>
      <w:pPr>
        <w:pStyle w:val="TextBody"/>
        <w:bidi w:val="0"/>
        <w:spacing w:before="120" w:after="0"/>
        <w:jc w:val="center"/>
        <w:rPr>
          <w:rFonts w:ascii="Times New Roman" w:hAnsi="Times New Roman"/>
          <w:b/>
          <w:sz w:val="20"/>
        </w:rPr>
      </w:pPr>
      <w:r>
        <w:rPr>
          <w:rFonts w:ascii="Times New Roman" w:hAnsi="Times New Roman"/>
          <w:b/>
          <w:sz w:val="20"/>
        </w:rPr>
        <w:t xml:space="preserve">DETECTION OR ISOLATION OF TARGET MOLECULES USING A MICROCHANNEL APPARATUS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5"/>
        <w:gridCol w:w="121"/>
        <w:gridCol w:w="1834"/>
        <w:gridCol w:w="121"/>
        <w:gridCol w:w="1381"/>
        <w:gridCol w:w="121"/>
        <w:gridCol w:w="1954"/>
        <w:gridCol w:w="121"/>
        <w:gridCol w:w="1375"/>
        <w:gridCol w:w="121"/>
        <w:gridCol w:w="1561"/>
      </w:tblGrid>
      <w:tr>
        <w:trPr/>
        <w:tc>
          <w:tcPr>
            <w:tcW w:w="14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495"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1" w:type="dxa"/>
            <w:tcBorders/>
            <w:vAlign w:val="bottom"/>
          </w:tcPr>
          <w:p>
            <w:pPr>
              <w:pStyle w:val="TableContents"/>
              <w:bidi w:val="0"/>
              <w:spacing w:before="0" w:after="283"/>
              <w:jc w:val="left"/>
              <w:rPr/>
            </w:pPr>
            <w:r>
              <w:rPr/>
              <w:t>  </w:t>
            </w:r>
          </w:p>
        </w:tc>
        <w:tc>
          <w:tcPr>
            <w:tcW w:w="18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1" w:type="dxa"/>
            <w:tcBorders/>
            <w:vAlign w:val="bottom"/>
          </w:tcPr>
          <w:p>
            <w:pPr>
              <w:pStyle w:val="TableContents"/>
              <w:bidi w:val="0"/>
              <w:spacing w:before="0" w:after="283"/>
              <w:jc w:val="left"/>
              <w:rPr/>
            </w:pPr>
            <w:r>
              <w:rPr/>
              <w:t>  </w:t>
            </w:r>
          </w:p>
        </w:tc>
        <w:tc>
          <w:tcPr>
            <w:tcW w:w="13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1" w:type="dxa"/>
            <w:tcBorders/>
            <w:vAlign w:val="bottom"/>
          </w:tcPr>
          <w:p>
            <w:pPr>
              <w:pStyle w:val="TableContents"/>
              <w:bidi w:val="0"/>
              <w:spacing w:before="0" w:after="283"/>
              <w:jc w:val="left"/>
              <w:rPr/>
            </w:pPr>
            <w:r>
              <w:rPr/>
              <w:t>  </w:t>
            </w:r>
          </w:p>
        </w:tc>
        <w:tc>
          <w:tcPr>
            <w:tcW w:w="19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1" w:type="dxa"/>
            <w:tcBorders/>
            <w:vAlign w:val="bottom"/>
          </w:tcPr>
          <w:p>
            <w:pPr>
              <w:pStyle w:val="TableContents"/>
              <w:bidi w:val="0"/>
              <w:spacing w:before="0" w:after="283"/>
              <w:jc w:val="left"/>
              <w:rPr/>
            </w:pPr>
            <w:r>
              <w:rPr/>
              <w:t>  </w:t>
            </w:r>
          </w:p>
        </w:tc>
        <w:tc>
          <w:tcPr>
            <w:tcW w:w="13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1" w:type="dxa"/>
            <w:tcBorders/>
            <w:vAlign w:val="bottom"/>
          </w:tcPr>
          <w:p>
            <w:pPr>
              <w:pStyle w:val="TableContents"/>
              <w:bidi w:val="0"/>
              <w:spacing w:before="0" w:after="283"/>
              <w:jc w:val="left"/>
              <w:rPr/>
            </w:pPr>
            <w:r>
              <w:rPr/>
              <w:t>  </w:t>
            </w:r>
          </w:p>
        </w:tc>
        <w:tc>
          <w:tcPr>
            <w:tcW w:w="15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495" w:type="dxa"/>
            <w:tcBorders/>
          </w:tcPr>
          <w:p>
            <w:pPr>
              <w:pStyle w:val="TableContents"/>
              <w:bidi w:val="0"/>
              <w:spacing w:before="0" w:after="283"/>
              <w:jc w:val="left"/>
              <w:rPr/>
            </w:pPr>
            <w:r>
              <w:rPr/>
              <w:t>U.S.A.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11/038,920</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01/18/2005</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pPr>
            <w:r>
              <w:rPr/>
              <w:t>8,158,410</w:t>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pPr>
            <w:r>
              <w:rPr/>
              <w:t>04/17/2012</w:t>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Granted</w:t>
            </w:r>
          </w:p>
        </w:tc>
      </w:tr>
      <w:tr>
        <w:trPr/>
        <w:tc>
          <w:tcPr>
            <w:tcW w:w="1495" w:type="dxa"/>
            <w:tcBorders/>
          </w:tcPr>
          <w:p>
            <w:pPr>
              <w:pStyle w:val="TableContents"/>
              <w:bidi w:val="0"/>
              <w:spacing w:before="0" w:after="283"/>
              <w:jc w:val="left"/>
              <w:rPr/>
            </w:pPr>
            <w:r>
              <w:rPr/>
              <w:t>U.S.A.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11/458,668</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07/19/2006</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c>
          <w:tcPr>
            <w:tcW w:w="1495" w:type="dxa"/>
            <w:tcBorders/>
          </w:tcPr>
          <w:p>
            <w:pPr>
              <w:pStyle w:val="TableContents"/>
              <w:bidi w:val="0"/>
              <w:spacing w:before="0" w:after="283"/>
              <w:jc w:val="left"/>
              <w:rPr/>
            </w:pPr>
            <w:r>
              <w:rPr/>
              <w:t>U.S.A.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13/441,703</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04/06/2012</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c>
          <w:tcPr>
            <w:tcW w:w="1495" w:type="dxa"/>
            <w:tcBorders/>
          </w:tcPr>
          <w:p>
            <w:pPr>
              <w:pStyle w:val="TableContents"/>
              <w:bidi w:val="0"/>
              <w:spacing w:before="0" w:after="283"/>
              <w:jc w:val="left"/>
              <w:rPr/>
            </w:pPr>
            <w:r>
              <w:rPr/>
              <w:t>PCT</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PCT/US07/73817</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Expired</w:t>
            </w:r>
          </w:p>
        </w:tc>
      </w:tr>
      <w:tr>
        <w:trPr/>
        <w:tc>
          <w:tcPr>
            <w:tcW w:w="1495" w:type="dxa"/>
            <w:tcBorders/>
          </w:tcPr>
          <w:p>
            <w:pPr>
              <w:pStyle w:val="TableContents"/>
              <w:bidi w:val="0"/>
              <w:spacing w:before="0" w:after="283"/>
              <w:jc w:val="left"/>
              <w:rPr/>
            </w:pPr>
            <w:r>
              <w:rPr/>
              <w:t>Canada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2658336</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pPr>
            <w:r>
              <w:rPr/>
              <w:t>2658336</w:t>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pPr>
            <w:r>
              <w:rPr/>
              <w:t>01/24/2008</w:t>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Granted</w:t>
            </w:r>
          </w:p>
        </w:tc>
      </w:tr>
      <w:tr>
        <w:trPr/>
        <w:tc>
          <w:tcPr>
            <w:tcW w:w="1495" w:type="dxa"/>
            <w:tcBorders/>
          </w:tcPr>
          <w:p>
            <w:pPr>
              <w:pStyle w:val="TableContents"/>
              <w:bidi w:val="0"/>
              <w:spacing w:before="0" w:after="283"/>
              <w:jc w:val="left"/>
              <w:rPr/>
            </w:pPr>
            <w:r>
              <w:rPr/>
              <w:t>China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200780032530.2</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pPr>
            <w:r>
              <w:rPr/>
              <w:t>ZL200780032530.2</w:t>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pPr>
            <w:r>
              <w:rPr/>
              <w:t>07/09/2014</w:t>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Granted</w:t>
            </w:r>
          </w:p>
        </w:tc>
      </w:tr>
      <w:tr>
        <w:trPr/>
        <w:tc>
          <w:tcPr>
            <w:tcW w:w="1495" w:type="dxa"/>
            <w:tcBorders/>
          </w:tcPr>
          <w:p>
            <w:pPr>
              <w:pStyle w:val="TableContents"/>
              <w:bidi w:val="0"/>
              <w:spacing w:before="0" w:after="283"/>
              <w:jc w:val="left"/>
              <w:rPr/>
            </w:pPr>
            <w:r>
              <w:rPr/>
              <w:t>Europe</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07813079.6</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c>
          <w:tcPr>
            <w:tcW w:w="1495" w:type="dxa"/>
            <w:tcBorders/>
          </w:tcPr>
          <w:p>
            <w:pPr>
              <w:pStyle w:val="TableContents"/>
              <w:bidi w:val="0"/>
              <w:spacing w:before="0" w:after="283"/>
              <w:jc w:val="left"/>
              <w:rPr/>
            </w:pPr>
            <w:r>
              <w:rPr/>
              <w:t>Hong Kong</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10102459.8</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pPr>
            <w:r>
              <w:rPr/>
              <w:t>1135725</w:t>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pPr>
            <w:r>
              <w:rPr/>
              <w:t>07/10/2015</w:t>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Granted</w:t>
            </w:r>
          </w:p>
        </w:tc>
      </w:tr>
      <w:tr>
        <w:trPr/>
        <w:tc>
          <w:tcPr>
            <w:tcW w:w="1495" w:type="dxa"/>
            <w:tcBorders/>
          </w:tcPr>
          <w:p>
            <w:pPr>
              <w:pStyle w:val="TableContents"/>
              <w:bidi w:val="0"/>
              <w:spacing w:before="0" w:after="283"/>
              <w:jc w:val="left"/>
              <w:rPr/>
            </w:pPr>
            <w:r>
              <w:rPr/>
              <w:t>Hong Kong</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09105117.8</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c>
          <w:tcPr>
            <w:tcW w:w="1495" w:type="dxa"/>
            <w:tcBorders/>
          </w:tcPr>
          <w:p>
            <w:pPr>
              <w:pStyle w:val="TableContents"/>
              <w:bidi w:val="0"/>
              <w:spacing w:before="0" w:after="283"/>
              <w:jc w:val="left"/>
              <w:rPr/>
            </w:pPr>
            <w:r>
              <w:rPr/>
              <w:t>India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269/KOLNP/2009</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c>
          <w:tcPr>
            <w:tcW w:w="1495" w:type="dxa"/>
            <w:tcBorders/>
          </w:tcPr>
          <w:p>
            <w:pPr>
              <w:pStyle w:val="TableContents"/>
              <w:bidi w:val="0"/>
              <w:spacing w:before="0" w:after="283"/>
              <w:jc w:val="left"/>
              <w:rPr/>
            </w:pPr>
            <w:r>
              <w:rPr/>
              <w:t>Israel</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196553</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rHeight w:val="240" w:hRule="atLeast"/>
        </w:trPr>
        <w:tc>
          <w:tcPr>
            <w:tcW w:w="1495" w:type="dxa"/>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c>
          <w:tcPr>
            <w:tcW w:w="1502"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496" w:type="dxa"/>
            <w:gridSpan w:val="2"/>
            <w:tcBorders/>
            <w:vAlign w:val="center"/>
          </w:tcPr>
          <w:p>
            <w:pPr>
              <w:pStyle w:val="TableContents"/>
              <w:bidi w:val="0"/>
              <w:spacing w:before="0" w:after="283"/>
              <w:jc w:val="left"/>
              <w:rPr>
                <w:sz w:val="4"/>
                <w:szCs w:val="4"/>
              </w:rPr>
            </w:pPr>
            <w:r>
              <w:rPr>
                <w:sz w:val="4"/>
                <w:szCs w:val="4"/>
              </w:rPr>
            </w:r>
          </w:p>
        </w:tc>
        <w:tc>
          <w:tcPr>
            <w:tcW w:w="1682" w:type="dxa"/>
            <w:gridSpan w:val="2"/>
            <w:tcBorders/>
            <w:vAlign w:val="center"/>
          </w:tcPr>
          <w:p>
            <w:pPr>
              <w:pStyle w:val="TableContents"/>
              <w:bidi w:val="0"/>
              <w:spacing w:before="0" w:after="283"/>
              <w:jc w:val="left"/>
              <w:rPr>
                <w:sz w:val="4"/>
                <w:szCs w:val="4"/>
              </w:rPr>
            </w:pPr>
            <w:r>
              <w:rPr>
                <w:sz w:val="4"/>
                <w:szCs w:val="4"/>
              </w:rPr>
            </w:r>
          </w:p>
        </w:tc>
      </w:tr>
      <w:tr>
        <w:trPr/>
        <w:tc>
          <w:tcPr>
            <w:tcW w:w="1495"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1" w:type="dxa"/>
            <w:tcBorders/>
            <w:vAlign w:val="bottom"/>
          </w:tcPr>
          <w:p>
            <w:pPr>
              <w:pStyle w:val="TableContents"/>
              <w:bidi w:val="0"/>
              <w:spacing w:before="0" w:after="283"/>
              <w:jc w:val="left"/>
              <w:rPr/>
            </w:pPr>
            <w:r>
              <w:rPr/>
              <w:t>  </w:t>
            </w:r>
          </w:p>
        </w:tc>
        <w:tc>
          <w:tcPr>
            <w:tcW w:w="18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1" w:type="dxa"/>
            <w:tcBorders/>
            <w:vAlign w:val="bottom"/>
          </w:tcPr>
          <w:p>
            <w:pPr>
              <w:pStyle w:val="TableContents"/>
              <w:bidi w:val="0"/>
              <w:spacing w:before="0" w:after="283"/>
              <w:jc w:val="left"/>
              <w:rPr/>
            </w:pPr>
            <w:r>
              <w:rPr/>
              <w:t>  </w:t>
            </w:r>
          </w:p>
        </w:tc>
        <w:tc>
          <w:tcPr>
            <w:tcW w:w="13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1" w:type="dxa"/>
            <w:tcBorders/>
            <w:vAlign w:val="bottom"/>
          </w:tcPr>
          <w:p>
            <w:pPr>
              <w:pStyle w:val="TableContents"/>
              <w:bidi w:val="0"/>
              <w:spacing w:before="0" w:after="283"/>
              <w:jc w:val="left"/>
              <w:rPr/>
            </w:pPr>
            <w:r>
              <w:rPr/>
              <w:t>  </w:t>
            </w:r>
          </w:p>
        </w:tc>
        <w:tc>
          <w:tcPr>
            <w:tcW w:w="19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1" w:type="dxa"/>
            <w:tcBorders/>
            <w:vAlign w:val="bottom"/>
          </w:tcPr>
          <w:p>
            <w:pPr>
              <w:pStyle w:val="TableContents"/>
              <w:bidi w:val="0"/>
              <w:spacing w:before="0" w:after="283"/>
              <w:jc w:val="left"/>
              <w:rPr/>
            </w:pPr>
            <w:r>
              <w:rPr/>
              <w:t>  </w:t>
            </w:r>
          </w:p>
        </w:tc>
        <w:tc>
          <w:tcPr>
            <w:tcW w:w="13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1" w:type="dxa"/>
            <w:tcBorders/>
            <w:vAlign w:val="bottom"/>
          </w:tcPr>
          <w:p>
            <w:pPr>
              <w:pStyle w:val="TableContents"/>
              <w:bidi w:val="0"/>
              <w:spacing w:before="0" w:after="283"/>
              <w:jc w:val="left"/>
              <w:rPr/>
            </w:pPr>
            <w:r>
              <w:rPr/>
              <w:t>  </w:t>
            </w:r>
          </w:p>
        </w:tc>
        <w:tc>
          <w:tcPr>
            <w:tcW w:w="15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495" w:type="dxa"/>
            <w:tcBorders/>
          </w:tcPr>
          <w:p>
            <w:pPr>
              <w:pStyle w:val="TableContents"/>
              <w:bidi w:val="0"/>
              <w:spacing w:before="0" w:after="283"/>
              <w:jc w:val="left"/>
              <w:rPr/>
            </w:pPr>
            <w:r>
              <w:rPr/>
              <w:t>Japan</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2009-520982</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r>
        <w:trPr/>
        <w:tc>
          <w:tcPr>
            <w:tcW w:w="1495" w:type="dxa"/>
            <w:tcBorders/>
          </w:tcPr>
          <w:p>
            <w:pPr>
              <w:pStyle w:val="TableContents"/>
              <w:bidi w:val="0"/>
              <w:spacing w:before="0" w:after="283"/>
              <w:jc w:val="left"/>
              <w:rPr/>
            </w:pPr>
            <w:r>
              <w:rPr/>
              <w:t>Korea</w:t>
            </w:r>
          </w:p>
        </w:tc>
        <w:tc>
          <w:tcPr>
            <w:tcW w:w="121" w:type="dxa"/>
            <w:tcBorders/>
            <w:vAlign w:val="bottom"/>
          </w:tcPr>
          <w:p>
            <w:pPr>
              <w:pStyle w:val="TableContents"/>
              <w:bidi w:val="0"/>
              <w:spacing w:before="0" w:after="283"/>
              <w:jc w:val="left"/>
              <w:rPr/>
            </w:pPr>
            <w:r>
              <w:rPr/>
              <w:t>  </w:t>
            </w:r>
          </w:p>
        </w:tc>
        <w:tc>
          <w:tcPr>
            <w:tcW w:w="1834" w:type="dxa"/>
            <w:tcBorders/>
          </w:tcPr>
          <w:p>
            <w:pPr>
              <w:pStyle w:val="TableContents"/>
              <w:bidi w:val="0"/>
              <w:spacing w:before="0" w:after="283"/>
              <w:jc w:val="left"/>
              <w:rPr/>
            </w:pPr>
            <w:r>
              <w:rPr/>
              <w:t>1020097003339</w:t>
            </w:r>
          </w:p>
        </w:tc>
        <w:tc>
          <w:tcPr>
            <w:tcW w:w="121" w:type="dxa"/>
            <w:tcBorders/>
            <w:vAlign w:val="bottom"/>
          </w:tcPr>
          <w:p>
            <w:pPr>
              <w:pStyle w:val="TableContents"/>
              <w:bidi w:val="0"/>
              <w:spacing w:before="0" w:after="283"/>
              <w:jc w:val="left"/>
              <w:rPr/>
            </w:pPr>
            <w:r>
              <w:rPr/>
              <w:t>  </w:t>
            </w:r>
          </w:p>
        </w:tc>
        <w:tc>
          <w:tcPr>
            <w:tcW w:w="1381" w:type="dxa"/>
            <w:tcBorders/>
          </w:tcPr>
          <w:p>
            <w:pPr>
              <w:pStyle w:val="TableContents"/>
              <w:bidi w:val="0"/>
              <w:spacing w:before="0" w:after="283"/>
              <w:jc w:val="left"/>
              <w:rPr/>
            </w:pPr>
            <w:r>
              <w:rPr/>
              <w:t>07/18/2007</w:t>
            </w:r>
          </w:p>
        </w:tc>
        <w:tc>
          <w:tcPr>
            <w:tcW w:w="121" w:type="dxa"/>
            <w:tcBorders/>
            <w:vAlign w:val="bottom"/>
          </w:tcPr>
          <w:p>
            <w:pPr>
              <w:pStyle w:val="TableContents"/>
              <w:bidi w:val="0"/>
              <w:spacing w:before="0" w:after="283"/>
              <w:jc w:val="left"/>
              <w:rPr/>
            </w:pPr>
            <w:r>
              <w:rPr/>
              <w:t>  </w:t>
            </w:r>
          </w:p>
        </w:tc>
        <w:tc>
          <w:tcPr>
            <w:tcW w:w="195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Abandoned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G118973-0817644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(Cell Isolation) </w:t>
      </w:r>
    </w:p>
    <w:p>
      <w:pPr>
        <w:pStyle w:val="TextBody"/>
        <w:bidi w:val="0"/>
        <w:spacing w:before="120" w:after="0"/>
        <w:jc w:val="center"/>
        <w:rPr>
          <w:rFonts w:ascii="Times New Roman" w:hAnsi="Times New Roman"/>
          <w:b/>
          <w:sz w:val="20"/>
        </w:rPr>
      </w:pPr>
      <w:r>
        <w:rPr>
          <w:rFonts w:ascii="Times New Roman" w:hAnsi="Times New Roman"/>
          <w:b/>
          <w:sz w:val="20"/>
        </w:rPr>
        <w:t xml:space="preserve">ISOLATION OF CELLS OR THE LIKE FROM BODILY FLUIDS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6"/>
        <w:gridCol w:w="120"/>
        <w:gridCol w:w="1859"/>
        <w:gridCol w:w="120"/>
        <w:gridCol w:w="1619"/>
        <w:gridCol w:w="120"/>
        <w:gridCol w:w="1579"/>
        <w:gridCol w:w="120"/>
        <w:gridCol w:w="1619"/>
        <w:gridCol w:w="120"/>
        <w:gridCol w:w="1423"/>
      </w:tblGrid>
      <w:tr>
        <w:trPr/>
        <w:tc>
          <w:tcPr>
            <w:tcW w:w="1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506"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8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6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5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6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42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left"/>
              <w:rPr/>
            </w:pPr>
            <w:r>
              <w:rPr/>
              <w:t>11/021,304</w:t>
            </w:r>
          </w:p>
        </w:tc>
        <w:tc>
          <w:tcPr>
            <w:tcW w:w="120"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left"/>
              <w:rPr/>
            </w:pPr>
            <w:r>
              <w:rPr/>
              <w:t>12/23/2004</w:t>
            </w:r>
          </w:p>
        </w:tc>
        <w:tc>
          <w:tcPr>
            <w:tcW w:w="120"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left"/>
              <w:rPr/>
            </w:pPr>
            <w:r>
              <w:rPr/>
              <w:t>7,439,062</w:t>
            </w:r>
          </w:p>
        </w:tc>
        <w:tc>
          <w:tcPr>
            <w:tcW w:w="120"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left"/>
              <w:rPr/>
            </w:pPr>
            <w:r>
              <w:rPr/>
              <w:t>10/21/2008</w:t>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pPr>
            <w:r>
              <w:rPr/>
              <w:t>Expired</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PCT</w:t>
            </w:r>
          </w:p>
        </w:tc>
        <w:tc>
          <w:tcPr>
            <w:tcW w:w="120"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left"/>
              <w:rPr/>
            </w:pPr>
            <w:r>
              <w:rPr/>
              <w:t>PCT/US05/46961</w:t>
            </w:r>
          </w:p>
        </w:tc>
        <w:tc>
          <w:tcPr>
            <w:tcW w:w="120"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left"/>
              <w:rPr/>
            </w:pPr>
            <w:r>
              <w:rPr/>
              <w:t>12/21/2005</w:t>
            </w:r>
          </w:p>
        </w:tc>
        <w:tc>
          <w:tcPr>
            <w:tcW w:w="120"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pPr>
            <w:r>
              <w:rPr/>
              <w:t>Expired</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FBT Gibbons G118973-0817649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(Microchannel Apparatus) </w:t>
      </w:r>
    </w:p>
    <w:p>
      <w:pPr>
        <w:pStyle w:val="TextBody"/>
        <w:bidi w:val="0"/>
        <w:spacing w:before="120" w:after="0"/>
        <w:jc w:val="center"/>
        <w:rPr>
          <w:rFonts w:ascii="Times New Roman" w:hAnsi="Times New Roman"/>
          <w:b/>
          <w:sz w:val="20"/>
        </w:rPr>
      </w:pPr>
      <w:r>
        <w:rPr>
          <w:rFonts w:ascii="Times New Roman" w:hAnsi="Times New Roman"/>
          <w:b/>
          <w:sz w:val="20"/>
        </w:rPr>
        <w:t xml:space="preserve">DETECTION, SEPARATION OR ISOLATION OF TARGET MOLECULES USING A MICROCHANNEL APPARATUS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5"/>
        <w:gridCol w:w="120"/>
        <w:gridCol w:w="1852"/>
        <w:gridCol w:w="120"/>
        <w:gridCol w:w="1596"/>
        <w:gridCol w:w="120"/>
        <w:gridCol w:w="1548"/>
        <w:gridCol w:w="120"/>
        <w:gridCol w:w="1596"/>
        <w:gridCol w:w="120"/>
        <w:gridCol w:w="1538"/>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85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59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54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59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53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left"/>
              <w:rPr/>
            </w:pPr>
            <w:r>
              <w:rPr/>
              <w:t>11/331,988</w:t>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pPr>
            <w:r>
              <w:rPr/>
              <w:t>01/12/2006</w:t>
            </w:r>
          </w:p>
        </w:tc>
        <w:tc>
          <w:tcPr>
            <w:tcW w:w="120" w:type="dxa"/>
            <w:tcBorders/>
            <w:vAlign w:val="bottom"/>
          </w:tcPr>
          <w:p>
            <w:pPr>
              <w:pStyle w:val="TableContents"/>
              <w:bidi w:val="0"/>
              <w:spacing w:before="0" w:after="283"/>
              <w:jc w:val="left"/>
              <w:rPr/>
            </w:pPr>
            <w:r>
              <w:rPr/>
              <w:t>  </w:t>
            </w:r>
          </w:p>
        </w:tc>
        <w:tc>
          <w:tcPr>
            <w:tcW w:w="1548" w:type="dxa"/>
            <w:tcBorders/>
            <w:vAlign w:val="bottom"/>
          </w:tcPr>
          <w:p>
            <w:pPr>
              <w:pStyle w:val="TableContents"/>
              <w:bidi w:val="0"/>
              <w:spacing w:before="0" w:after="283"/>
              <w:jc w:val="left"/>
              <w:rPr/>
            </w:pPr>
            <w:r>
              <w:rPr/>
              <w:t>7,695,956</w:t>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pPr>
            <w:r>
              <w:rPr/>
              <w:t>04/13/2010</w:t>
            </w:r>
          </w:p>
        </w:tc>
        <w:tc>
          <w:tcPr>
            <w:tcW w:w="120"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Expired</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left"/>
              <w:rPr/>
            </w:pPr>
            <w:r>
              <w:rPr/>
              <w:t>12/721,510</w:t>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pPr>
            <w:r>
              <w:rPr/>
              <w:t>03/10/2010</w:t>
            </w:r>
          </w:p>
        </w:tc>
        <w:tc>
          <w:tcPr>
            <w:tcW w:w="120" w:type="dxa"/>
            <w:tcBorders/>
            <w:vAlign w:val="bottom"/>
          </w:tcPr>
          <w:p>
            <w:pPr>
              <w:pStyle w:val="TableContents"/>
              <w:bidi w:val="0"/>
              <w:spacing w:before="0" w:after="283"/>
              <w:jc w:val="left"/>
              <w:rPr/>
            </w:pPr>
            <w:r>
              <w:rPr/>
              <w:t>  </w:t>
            </w:r>
          </w:p>
        </w:tc>
        <w:tc>
          <w:tcPr>
            <w:tcW w:w="154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Abandoned</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PCT</w:t>
            </w:r>
          </w:p>
        </w:tc>
        <w:tc>
          <w:tcPr>
            <w:tcW w:w="120"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left"/>
              <w:rPr/>
            </w:pPr>
            <w:r>
              <w:rPr/>
              <w:t>PCT/US07/60518</w:t>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4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Expired</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left"/>
              <w:rPr/>
            </w:pPr>
            <w:r>
              <w:rPr/>
              <w:t>200780003143.6</w:t>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4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Abandoned</w:t>
            </w:r>
          </w:p>
        </w:tc>
      </w:tr>
      <w:tr>
        <w:trPr/>
        <w:tc>
          <w:tcPr>
            <w:tcW w:w="147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1852" w:type="dxa"/>
            <w:tcBorders/>
            <w:vAlign w:val="bottom"/>
          </w:tcPr>
          <w:p>
            <w:pPr>
              <w:pStyle w:val="TableContents"/>
              <w:bidi w:val="0"/>
              <w:spacing w:before="0" w:after="283"/>
              <w:jc w:val="left"/>
              <w:rPr/>
            </w:pPr>
            <w:r>
              <w:rPr/>
              <w:t>07717726.9</w:t>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4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Abandoned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595"/>
        <w:gridCol w:w="120"/>
        <w:gridCol w:w="1824"/>
        <w:gridCol w:w="120"/>
        <w:gridCol w:w="1513"/>
        <w:gridCol w:w="120"/>
        <w:gridCol w:w="1557"/>
        <w:gridCol w:w="120"/>
        <w:gridCol w:w="1505"/>
        <w:gridCol w:w="120"/>
        <w:gridCol w:w="1611"/>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09102561.6</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r>
        <w:trPr/>
        <w:tc>
          <w:tcPr>
            <w:tcW w:w="1595"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09107243.1</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r>
        <w:trPr/>
        <w:tc>
          <w:tcPr>
            <w:tcW w:w="1595" w:type="dxa"/>
            <w:tcBorders/>
          </w:tcPr>
          <w:p>
            <w:pPr>
              <w:pStyle w:val="TableContents"/>
              <w:bidi w:val="0"/>
              <w:spacing w:before="0" w:after="283"/>
              <w:jc w:val="left"/>
              <w:rPr/>
            </w:pPr>
            <w:r>
              <w:rPr/>
              <w:t>India</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2899/KOLNP/2008</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r>
        <w:trPr/>
        <w:tc>
          <w:tcPr>
            <w:tcW w:w="1595" w:type="dxa"/>
            <w:tcBorders/>
          </w:tcPr>
          <w:p>
            <w:pPr>
              <w:pStyle w:val="TableContents"/>
              <w:bidi w:val="0"/>
              <w:spacing w:before="0" w:after="283"/>
              <w:jc w:val="left"/>
              <w:rPr/>
            </w:pPr>
            <w:r>
              <w:rPr/>
              <w:t>Japan</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2008-550541</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r>
        <w:trPr/>
        <w:tc>
          <w:tcPr>
            <w:tcW w:w="1595" w:type="dxa"/>
            <w:tcBorders/>
          </w:tcPr>
          <w:p>
            <w:pPr>
              <w:pStyle w:val="TableContents"/>
              <w:bidi w:val="0"/>
              <w:spacing w:before="0" w:after="283"/>
              <w:jc w:val="left"/>
              <w:rPr/>
            </w:pPr>
            <w:r>
              <w:rPr/>
              <w:t>Japan</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2010-058590</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r>
        <w:trPr/>
        <w:tc>
          <w:tcPr>
            <w:tcW w:w="1595" w:type="dxa"/>
            <w:tcBorders/>
          </w:tcPr>
          <w:p>
            <w:pPr>
              <w:pStyle w:val="TableContents"/>
              <w:bidi w:val="0"/>
              <w:spacing w:before="0" w:after="283"/>
              <w:jc w:val="left"/>
              <w:rPr/>
            </w:pPr>
            <w:r>
              <w:rPr/>
              <w:t>Japan</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2012-118310</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r>
        <w:trPr>
          <w:trHeight w:val="240" w:hRule="atLeast"/>
        </w:trPr>
        <w:tc>
          <w:tcPr>
            <w:tcW w:w="1595" w:type="dxa"/>
            <w:tcBorders/>
            <w:vAlign w:val="center"/>
          </w:tcPr>
          <w:p>
            <w:pPr>
              <w:pStyle w:val="TableContents"/>
              <w:bidi w:val="0"/>
              <w:spacing w:before="0" w:after="283"/>
              <w:jc w:val="left"/>
              <w:rPr>
                <w:sz w:val="4"/>
                <w:szCs w:val="4"/>
              </w:rPr>
            </w:pPr>
            <w:r>
              <w:rPr>
                <w:sz w:val="4"/>
                <w:szCs w:val="4"/>
              </w:rPr>
            </w:r>
          </w:p>
        </w:tc>
        <w:tc>
          <w:tcPr>
            <w:tcW w:w="1944" w:type="dxa"/>
            <w:gridSpan w:val="2"/>
            <w:tcBorders/>
            <w:vAlign w:val="center"/>
          </w:tcPr>
          <w:p>
            <w:pPr>
              <w:pStyle w:val="TableContents"/>
              <w:bidi w:val="0"/>
              <w:spacing w:before="0" w:after="283"/>
              <w:jc w:val="left"/>
              <w:rPr>
                <w:sz w:val="4"/>
                <w:szCs w:val="4"/>
              </w:rPr>
            </w:pPr>
            <w:r>
              <w:rPr>
                <w:sz w:val="4"/>
                <w:szCs w:val="4"/>
              </w:rPr>
            </w:r>
          </w:p>
        </w:tc>
        <w:tc>
          <w:tcPr>
            <w:tcW w:w="1633" w:type="dxa"/>
            <w:gridSpan w:val="2"/>
            <w:tcBorders/>
            <w:vAlign w:val="center"/>
          </w:tcPr>
          <w:p>
            <w:pPr>
              <w:pStyle w:val="TableContents"/>
              <w:bidi w:val="0"/>
              <w:spacing w:before="0" w:after="283"/>
              <w:jc w:val="left"/>
              <w:rPr>
                <w:sz w:val="4"/>
                <w:szCs w:val="4"/>
              </w:rPr>
            </w:pPr>
            <w:r>
              <w:rPr>
                <w:sz w:val="4"/>
                <w:szCs w:val="4"/>
              </w:rPr>
            </w:r>
          </w:p>
        </w:tc>
        <w:tc>
          <w:tcPr>
            <w:tcW w:w="1677"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82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51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5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5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6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595" w:type="dxa"/>
            <w:tcBorders/>
          </w:tcPr>
          <w:p>
            <w:pPr>
              <w:pStyle w:val="TableContents"/>
              <w:bidi w:val="0"/>
              <w:spacing w:before="0" w:after="283"/>
              <w:jc w:val="left"/>
              <w:rPr/>
            </w:pPr>
            <w:r>
              <w:rPr/>
              <w:t>Korea</w:t>
            </w:r>
          </w:p>
        </w:tc>
        <w:tc>
          <w:tcPr>
            <w:tcW w:w="120" w:type="dxa"/>
            <w:tcBorders/>
            <w:vAlign w:val="bottom"/>
          </w:tcPr>
          <w:p>
            <w:pPr>
              <w:pStyle w:val="TableContents"/>
              <w:bidi w:val="0"/>
              <w:spacing w:before="0" w:after="283"/>
              <w:jc w:val="left"/>
              <w:rPr/>
            </w:pPr>
            <w:r>
              <w:rPr/>
              <w:t>  </w:t>
            </w:r>
          </w:p>
        </w:tc>
        <w:tc>
          <w:tcPr>
            <w:tcW w:w="1824" w:type="dxa"/>
            <w:tcBorders/>
          </w:tcPr>
          <w:p>
            <w:pPr>
              <w:pStyle w:val="TableContents"/>
              <w:bidi w:val="0"/>
              <w:spacing w:before="0" w:after="283"/>
              <w:jc w:val="left"/>
              <w:rPr/>
            </w:pPr>
            <w:r>
              <w:rPr/>
              <w:t>1020087019406</w:t>
            </w:r>
          </w:p>
        </w:tc>
        <w:tc>
          <w:tcPr>
            <w:tcW w:w="120" w:type="dxa"/>
            <w:tcBorders/>
            <w:vAlign w:val="bottom"/>
          </w:tcPr>
          <w:p>
            <w:pPr>
              <w:pStyle w:val="TableContents"/>
              <w:bidi w:val="0"/>
              <w:spacing w:before="0" w:after="283"/>
              <w:jc w:val="left"/>
              <w:rPr/>
            </w:pPr>
            <w:r>
              <w:rPr/>
              <w:t>  </w:t>
            </w:r>
          </w:p>
        </w:tc>
        <w:tc>
          <w:tcPr>
            <w:tcW w:w="1513" w:type="dxa"/>
            <w:tcBorders/>
          </w:tcPr>
          <w:p>
            <w:pPr>
              <w:pStyle w:val="TableContents"/>
              <w:bidi w:val="0"/>
              <w:spacing w:before="0" w:after="283"/>
              <w:jc w:val="left"/>
              <w:rPr/>
            </w:pPr>
            <w:r>
              <w:rPr/>
              <w:t>01/12/2007</w:t>
            </w:r>
          </w:p>
        </w:tc>
        <w:tc>
          <w:tcPr>
            <w:tcW w:w="120"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left"/>
              <w:rPr/>
            </w:pPr>
            <w:r>
              <w:rPr/>
              <w:t>Abandoned</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FBT Gibbons G118973-0817648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(Biochip) </w:t>
      </w:r>
    </w:p>
    <w:p>
      <w:pPr>
        <w:pStyle w:val="TextBody"/>
        <w:bidi w:val="0"/>
        <w:spacing w:before="120" w:after="0"/>
        <w:jc w:val="center"/>
        <w:rPr>
          <w:rFonts w:ascii="Times New Roman" w:hAnsi="Times New Roman"/>
          <w:b/>
          <w:sz w:val="20"/>
        </w:rPr>
      </w:pPr>
      <w:r>
        <w:rPr>
          <w:rFonts w:ascii="Times New Roman" w:hAnsi="Times New Roman"/>
          <w:b/>
          <w:sz w:val="20"/>
        </w:rPr>
        <w:t xml:space="preserve">REFLECTIVE SUBSTRATE AND ALGORITHMS FOR 3D BIOCHIP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3"/>
        <w:gridCol w:w="120"/>
        <w:gridCol w:w="1634"/>
        <w:gridCol w:w="120"/>
        <w:gridCol w:w="1558"/>
        <w:gridCol w:w="120"/>
        <w:gridCol w:w="1682"/>
        <w:gridCol w:w="120"/>
        <w:gridCol w:w="1554"/>
        <w:gridCol w:w="120"/>
        <w:gridCol w:w="1544"/>
      </w:tblGrid>
      <w:tr>
        <w:trPr/>
        <w:tc>
          <w:tcPr>
            <w:tcW w:w="16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163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6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5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6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5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5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63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60/412,522</w:t>
            </w:r>
          </w:p>
        </w:tc>
        <w:tc>
          <w:tcPr>
            <w:tcW w:w="120" w:type="dxa"/>
            <w:tcBorders/>
            <w:vAlign w:val="bottom"/>
          </w:tcPr>
          <w:p>
            <w:pPr>
              <w:pStyle w:val="TableContents"/>
              <w:bidi w:val="0"/>
              <w:spacing w:before="0" w:after="283"/>
              <w:jc w:val="left"/>
              <w:rPr/>
            </w:pPr>
            <w:r>
              <w:rPr/>
              <w:t>  </w:t>
            </w:r>
          </w:p>
        </w:tc>
        <w:tc>
          <w:tcPr>
            <w:tcW w:w="1558" w:type="dxa"/>
            <w:tcBorders/>
          </w:tcPr>
          <w:p>
            <w:pPr>
              <w:pStyle w:val="TableContents"/>
              <w:bidi w:val="0"/>
              <w:spacing w:before="0" w:after="283"/>
              <w:jc w:val="left"/>
              <w:rPr/>
            </w:pPr>
            <w:r>
              <w:rPr/>
              <w:t>09/19/2002</w:t>
            </w:r>
          </w:p>
        </w:tc>
        <w:tc>
          <w:tcPr>
            <w:tcW w:w="120" w:type="dxa"/>
            <w:tcBorders/>
            <w:vAlign w:val="bottom"/>
          </w:tcPr>
          <w:p>
            <w:pPr>
              <w:pStyle w:val="TableContents"/>
              <w:bidi w:val="0"/>
              <w:spacing w:before="0" w:after="283"/>
              <w:jc w:val="left"/>
              <w:rPr/>
            </w:pPr>
            <w:r>
              <w:rPr/>
              <w:t>  </w:t>
            </w:r>
          </w:p>
        </w:tc>
        <w:tc>
          <w:tcPr>
            <w:tcW w:w="16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4" w:type="dxa"/>
            <w:tcBorders/>
          </w:tcPr>
          <w:p>
            <w:pPr>
              <w:pStyle w:val="TableContents"/>
              <w:bidi w:val="0"/>
              <w:spacing w:before="0" w:after="283"/>
              <w:jc w:val="left"/>
              <w:rPr/>
            </w:pPr>
            <w:r>
              <w:rPr/>
              <w:t>Expired</w:t>
            </w:r>
          </w:p>
        </w:tc>
      </w:tr>
      <w:tr>
        <w:trPr/>
        <w:tc>
          <w:tcPr>
            <w:tcW w:w="163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10/664,248</w:t>
            </w:r>
          </w:p>
        </w:tc>
        <w:tc>
          <w:tcPr>
            <w:tcW w:w="120" w:type="dxa"/>
            <w:tcBorders/>
            <w:vAlign w:val="bottom"/>
          </w:tcPr>
          <w:p>
            <w:pPr>
              <w:pStyle w:val="TableContents"/>
              <w:bidi w:val="0"/>
              <w:spacing w:before="0" w:after="283"/>
              <w:jc w:val="left"/>
              <w:rPr/>
            </w:pPr>
            <w:r>
              <w:rPr/>
              <w:t>  </w:t>
            </w:r>
          </w:p>
        </w:tc>
        <w:tc>
          <w:tcPr>
            <w:tcW w:w="1558" w:type="dxa"/>
            <w:tcBorders/>
          </w:tcPr>
          <w:p>
            <w:pPr>
              <w:pStyle w:val="TableContents"/>
              <w:bidi w:val="0"/>
              <w:spacing w:before="0" w:after="283"/>
              <w:jc w:val="left"/>
              <w:rPr/>
            </w:pPr>
            <w:r>
              <w:rPr/>
              <w:t>09/16/2003</w:t>
            </w:r>
          </w:p>
        </w:tc>
        <w:tc>
          <w:tcPr>
            <w:tcW w:w="120" w:type="dxa"/>
            <w:tcBorders/>
            <w:vAlign w:val="bottom"/>
          </w:tcPr>
          <w:p>
            <w:pPr>
              <w:pStyle w:val="TableContents"/>
              <w:bidi w:val="0"/>
              <w:spacing w:before="0" w:after="283"/>
              <w:jc w:val="left"/>
              <w:rPr/>
            </w:pPr>
            <w:r>
              <w:rPr/>
              <w:t>  </w:t>
            </w:r>
          </w:p>
        </w:tc>
        <w:tc>
          <w:tcPr>
            <w:tcW w:w="1682" w:type="dxa"/>
            <w:tcBorders/>
          </w:tcPr>
          <w:p>
            <w:pPr>
              <w:pStyle w:val="TableContents"/>
              <w:bidi w:val="0"/>
              <w:spacing w:before="0" w:after="283"/>
              <w:jc w:val="left"/>
              <w:rPr/>
            </w:pPr>
            <w:r>
              <w:rPr/>
              <w:t>7,198,901</w:t>
            </w:r>
          </w:p>
        </w:tc>
        <w:tc>
          <w:tcPr>
            <w:tcW w:w="120"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left"/>
              <w:rPr/>
            </w:pPr>
            <w:r>
              <w:rPr/>
              <w:t>04/03/2007</w:t>
            </w:r>
          </w:p>
        </w:tc>
        <w:tc>
          <w:tcPr>
            <w:tcW w:w="120" w:type="dxa"/>
            <w:tcBorders/>
            <w:vAlign w:val="bottom"/>
          </w:tcPr>
          <w:p>
            <w:pPr>
              <w:pStyle w:val="TableContents"/>
              <w:bidi w:val="0"/>
              <w:spacing w:before="0" w:after="283"/>
              <w:jc w:val="left"/>
              <w:rPr/>
            </w:pPr>
            <w:r>
              <w:rPr/>
              <w:t>  </w:t>
            </w:r>
          </w:p>
        </w:tc>
        <w:tc>
          <w:tcPr>
            <w:tcW w:w="1544" w:type="dxa"/>
            <w:tcBorders/>
          </w:tcPr>
          <w:p>
            <w:pPr>
              <w:pStyle w:val="TableContents"/>
              <w:bidi w:val="0"/>
              <w:spacing w:before="0" w:after="283"/>
              <w:jc w:val="left"/>
              <w:rPr/>
            </w:pPr>
            <w:r>
              <w:rPr/>
              <w:t>Expired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FBT Gibbons G118973-0817646 </w:t>
      </w:r>
    </w:p>
    <w:p>
      <w:pPr>
        <w:pStyle w:val="TextBody"/>
        <w:bidi w:val="0"/>
        <w:spacing w:before="120" w:after="0"/>
        <w:jc w:val="center"/>
        <w:rPr>
          <w:rFonts w:ascii="Times New Roman" w:hAnsi="Times New Roman"/>
          <w:b/>
          <w:sz w:val="20"/>
        </w:rPr>
      </w:pPr>
      <w:r>
        <w:rPr>
          <w:rFonts w:ascii="Times New Roman" w:hAnsi="Times New Roman"/>
          <w:b/>
          <w:sz w:val="20"/>
        </w:rPr>
        <w:t xml:space="preserve">CNSide Biocept (Microarray/Hydrogel) </w:t>
      </w:r>
    </w:p>
    <w:p>
      <w:pPr>
        <w:pStyle w:val="TextBody"/>
        <w:bidi w:val="0"/>
        <w:spacing w:before="120" w:after="0"/>
        <w:jc w:val="center"/>
        <w:rPr>
          <w:rFonts w:ascii="Times New Roman" w:hAnsi="Times New Roman"/>
          <w:b/>
          <w:sz w:val="20"/>
        </w:rPr>
      </w:pPr>
      <w:r>
        <w:rPr>
          <w:rFonts w:ascii="Times New Roman" w:hAnsi="Times New Roman"/>
          <w:b/>
          <w:sz w:val="20"/>
        </w:rPr>
        <w:t xml:space="preserve">MICROARRAYS UTILIZING HYDROGELS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3"/>
        <w:gridCol w:w="120"/>
        <w:gridCol w:w="1634"/>
        <w:gridCol w:w="120"/>
        <w:gridCol w:w="1558"/>
        <w:gridCol w:w="120"/>
        <w:gridCol w:w="1682"/>
        <w:gridCol w:w="120"/>
        <w:gridCol w:w="1554"/>
        <w:gridCol w:w="120"/>
        <w:gridCol w:w="1544"/>
      </w:tblGrid>
      <w:tr>
        <w:trPr/>
        <w:tc>
          <w:tcPr>
            <w:tcW w:w="16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163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COUNTRY</w:t>
            </w:r>
          </w:p>
        </w:tc>
        <w:tc>
          <w:tcPr>
            <w:tcW w:w="120" w:type="dxa"/>
            <w:tcBorders/>
            <w:vAlign w:val="bottom"/>
          </w:tcPr>
          <w:p>
            <w:pPr>
              <w:pStyle w:val="TableContents"/>
              <w:bidi w:val="0"/>
              <w:spacing w:before="0" w:after="283"/>
              <w:jc w:val="left"/>
              <w:rPr/>
            </w:pPr>
            <w:r>
              <w:rPr/>
              <w:t>  </w:t>
            </w:r>
          </w:p>
        </w:tc>
        <w:tc>
          <w:tcPr>
            <w:tcW w:w="16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SERIAL NO.</w:t>
            </w:r>
          </w:p>
        </w:tc>
        <w:tc>
          <w:tcPr>
            <w:tcW w:w="120" w:type="dxa"/>
            <w:tcBorders/>
            <w:vAlign w:val="bottom"/>
          </w:tcPr>
          <w:p>
            <w:pPr>
              <w:pStyle w:val="TableContents"/>
              <w:bidi w:val="0"/>
              <w:spacing w:before="0" w:after="283"/>
              <w:jc w:val="left"/>
              <w:rPr/>
            </w:pPr>
            <w:r>
              <w:rPr/>
              <w:t>  </w:t>
            </w:r>
          </w:p>
        </w:tc>
        <w:tc>
          <w:tcPr>
            <w:tcW w:w="15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FILED</w:t>
            </w:r>
          </w:p>
        </w:tc>
        <w:tc>
          <w:tcPr>
            <w:tcW w:w="120" w:type="dxa"/>
            <w:tcBorders/>
            <w:vAlign w:val="bottom"/>
          </w:tcPr>
          <w:p>
            <w:pPr>
              <w:pStyle w:val="TableContents"/>
              <w:bidi w:val="0"/>
              <w:spacing w:before="0" w:after="283"/>
              <w:jc w:val="left"/>
              <w:rPr/>
            </w:pPr>
            <w:r>
              <w:rPr/>
              <w:t>  </w:t>
            </w:r>
          </w:p>
        </w:tc>
        <w:tc>
          <w:tcPr>
            <w:tcW w:w="16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PATENT NO.</w:t>
            </w:r>
          </w:p>
        </w:tc>
        <w:tc>
          <w:tcPr>
            <w:tcW w:w="120" w:type="dxa"/>
            <w:tcBorders/>
            <w:vAlign w:val="bottom"/>
          </w:tcPr>
          <w:p>
            <w:pPr>
              <w:pStyle w:val="TableContents"/>
              <w:bidi w:val="0"/>
              <w:spacing w:before="0" w:after="283"/>
              <w:jc w:val="left"/>
              <w:rPr/>
            </w:pPr>
            <w:r>
              <w:rPr/>
              <w:t>  </w:t>
            </w:r>
          </w:p>
        </w:tc>
        <w:tc>
          <w:tcPr>
            <w:tcW w:w="15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ISSUE DATE</w:t>
            </w:r>
          </w:p>
        </w:tc>
        <w:tc>
          <w:tcPr>
            <w:tcW w:w="120" w:type="dxa"/>
            <w:tcBorders/>
            <w:vAlign w:val="bottom"/>
          </w:tcPr>
          <w:p>
            <w:pPr>
              <w:pStyle w:val="TableContents"/>
              <w:bidi w:val="0"/>
              <w:spacing w:before="0" w:after="283"/>
              <w:jc w:val="left"/>
              <w:rPr/>
            </w:pPr>
            <w:r>
              <w:rPr/>
              <w:t>  </w:t>
            </w:r>
          </w:p>
        </w:tc>
        <w:tc>
          <w:tcPr>
            <w:tcW w:w="15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i/>
                <w:sz w:val="16"/>
              </w:rPr>
            </w:pPr>
            <w:r>
              <w:rPr>
                <w:rFonts w:ascii="Times New Roman" w:hAnsi="Times New Roman"/>
                <w:b/>
                <w:i/>
                <w:sz w:val="16"/>
              </w:rPr>
              <w:t>STATUS</w:t>
            </w:r>
          </w:p>
        </w:tc>
      </w:tr>
      <w:tr>
        <w:trPr/>
        <w:tc>
          <w:tcPr>
            <w:tcW w:w="1633" w:type="dxa"/>
            <w:tcBorders/>
          </w:tcPr>
          <w:p>
            <w:pPr>
              <w:pStyle w:val="TableContents"/>
              <w:bidi w:val="0"/>
              <w:spacing w:before="0" w:after="283"/>
              <w:jc w:val="left"/>
              <w:rPr/>
            </w:pPr>
            <w:r>
              <w:rPr/>
              <w:t>U.S.A.</w:t>
            </w:r>
          </w:p>
        </w:tc>
        <w:tc>
          <w:tcPr>
            <w:tcW w:w="120"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10/922,391</w:t>
            </w:r>
          </w:p>
        </w:tc>
        <w:tc>
          <w:tcPr>
            <w:tcW w:w="120" w:type="dxa"/>
            <w:tcBorders/>
            <w:vAlign w:val="bottom"/>
          </w:tcPr>
          <w:p>
            <w:pPr>
              <w:pStyle w:val="TableContents"/>
              <w:bidi w:val="0"/>
              <w:spacing w:before="0" w:after="283"/>
              <w:jc w:val="left"/>
              <w:rPr/>
            </w:pPr>
            <w:r>
              <w:rPr/>
              <w:t>  </w:t>
            </w:r>
          </w:p>
        </w:tc>
        <w:tc>
          <w:tcPr>
            <w:tcW w:w="1558" w:type="dxa"/>
            <w:tcBorders/>
          </w:tcPr>
          <w:p>
            <w:pPr>
              <w:pStyle w:val="TableContents"/>
              <w:bidi w:val="0"/>
              <w:spacing w:before="0" w:after="283"/>
              <w:jc w:val="left"/>
              <w:rPr/>
            </w:pPr>
            <w:r>
              <w:rPr/>
              <w:t>08/19/2004</w:t>
            </w:r>
          </w:p>
        </w:tc>
        <w:tc>
          <w:tcPr>
            <w:tcW w:w="120" w:type="dxa"/>
            <w:tcBorders/>
            <w:vAlign w:val="bottom"/>
          </w:tcPr>
          <w:p>
            <w:pPr>
              <w:pStyle w:val="TableContents"/>
              <w:bidi w:val="0"/>
              <w:spacing w:before="0" w:after="283"/>
              <w:jc w:val="left"/>
              <w:rPr/>
            </w:pPr>
            <w:r>
              <w:rPr/>
              <w:t>  </w:t>
            </w:r>
          </w:p>
        </w:tc>
        <w:tc>
          <w:tcPr>
            <w:tcW w:w="1682" w:type="dxa"/>
            <w:tcBorders/>
          </w:tcPr>
          <w:p>
            <w:pPr>
              <w:pStyle w:val="TableContents"/>
              <w:bidi w:val="0"/>
              <w:spacing w:before="0" w:after="283"/>
              <w:jc w:val="left"/>
              <w:rPr/>
            </w:pPr>
            <w:r>
              <w:rPr/>
              <w:t>7,595,157</w:t>
            </w:r>
          </w:p>
        </w:tc>
        <w:tc>
          <w:tcPr>
            <w:tcW w:w="120"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left"/>
              <w:rPr/>
            </w:pPr>
            <w:r>
              <w:rPr/>
              <w:t>09/29/2009</w:t>
            </w:r>
          </w:p>
        </w:tc>
        <w:tc>
          <w:tcPr>
            <w:tcW w:w="120" w:type="dxa"/>
            <w:tcBorders/>
            <w:vAlign w:val="bottom"/>
          </w:tcPr>
          <w:p>
            <w:pPr>
              <w:pStyle w:val="TableContents"/>
              <w:bidi w:val="0"/>
              <w:spacing w:before="0" w:after="283"/>
              <w:jc w:val="left"/>
              <w:rPr/>
            </w:pPr>
            <w:r>
              <w:rPr/>
              <w:t>  </w:t>
            </w:r>
          </w:p>
        </w:tc>
        <w:tc>
          <w:tcPr>
            <w:tcW w:w="1544" w:type="dxa"/>
            <w:tcBorders/>
          </w:tcPr>
          <w:p>
            <w:pPr>
              <w:pStyle w:val="TableContents"/>
              <w:bidi w:val="0"/>
              <w:spacing w:before="0" w:after="283"/>
              <w:jc w:val="left"/>
              <w:rPr/>
            </w:pPr>
            <w:r>
              <w:rPr/>
              <w:t>Expired</w:t>
            </w:r>
          </w:p>
        </w:tc>
      </w:tr>
      <w:tr>
        <w:trPr/>
        <w:tc>
          <w:tcPr>
            <w:tcW w:w="1633" w:type="dxa"/>
            <w:tcBorders/>
          </w:tcPr>
          <w:p>
            <w:pPr>
              <w:pStyle w:val="TableContents"/>
              <w:bidi w:val="0"/>
              <w:spacing w:before="0" w:after="283"/>
              <w:jc w:val="left"/>
              <w:rPr/>
            </w:pPr>
            <w:r>
              <w:rPr/>
              <w:t>PCT</w:t>
            </w:r>
          </w:p>
        </w:tc>
        <w:tc>
          <w:tcPr>
            <w:tcW w:w="120"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left"/>
              <w:rPr/>
            </w:pPr>
            <w:r>
              <w:rPr/>
              <w:t>PCT/US05/28224</w:t>
            </w:r>
          </w:p>
        </w:tc>
        <w:tc>
          <w:tcPr>
            <w:tcW w:w="120" w:type="dxa"/>
            <w:tcBorders/>
            <w:vAlign w:val="bottom"/>
          </w:tcPr>
          <w:p>
            <w:pPr>
              <w:pStyle w:val="TableContents"/>
              <w:bidi w:val="0"/>
              <w:spacing w:before="0" w:after="283"/>
              <w:jc w:val="left"/>
              <w:rPr/>
            </w:pPr>
            <w:r>
              <w:rPr/>
              <w:t>  </w:t>
            </w:r>
          </w:p>
        </w:tc>
        <w:tc>
          <w:tcPr>
            <w:tcW w:w="1558" w:type="dxa"/>
            <w:tcBorders/>
          </w:tcPr>
          <w:p>
            <w:pPr>
              <w:pStyle w:val="TableContents"/>
              <w:bidi w:val="0"/>
              <w:spacing w:before="0" w:after="283"/>
              <w:jc w:val="left"/>
              <w:rPr/>
            </w:pPr>
            <w:r>
              <w:rPr/>
              <w:t>08/09/2005</w:t>
            </w:r>
          </w:p>
        </w:tc>
        <w:tc>
          <w:tcPr>
            <w:tcW w:w="120" w:type="dxa"/>
            <w:tcBorders/>
            <w:vAlign w:val="bottom"/>
          </w:tcPr>
          <w:p>
            <w:pPr>
              <w:pStyle w:val="TableContents"/>
              <w:bidi w:val="0"/>
              <w:spacing w:before="0" w:after="283"/>
              <w:jc w:val="left"/>
              <w:rPr/>
            </w:pPr>
            <w:r>
              <w:rPr/>
              <w:t>  </w:t>
            </w:r>
          </w:p>
        </w:tc>
        <w:tc>
          <w:tcPr>
            <w:tcW w:w="16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44" w:type="dxa"/>
            <w:tcBorders/>
          </w:tcPr>
          <w:p>
            <w:pPr>
              <w:pStyle w:val="TableContents"/>
              <w:bidi w:val="0"/>
              <w:spacing w:before="0" w:after="283"/>
              <w:jc w:val="left"/>
              <w:rPr/>
            </w:pPr>
            <w:r>
              <w:rPr/>
              <w:t>Expired</w:t>
            </w:r>
          </w:p>
        </w:tc>
      </w:tr>
    </w:tbl>
    <w:p>
      <w:pPr>
        <w:pStyle w:val="TextBody"/>
        <w:bidi w:val="0"/>
        <w:spacing w:before="360" w:after="0"/>
        <w:jc w:val="left"/>
        <w:rPr>
          <w:rFonts w:ascii="Times New Roman" w:hAnsi="Times New Roman"/>
          <w:sz w:val="20"/>
        </w:rPr>
      </w:pPr>
      <w:r>
        <w:rPr>
          <w:rFonts w:ascii="Times New Roman" w:hAnsi="Times New Roman"/>
          <w:b/>
          <w:sz w:val="20"/>
          <w:u w:val="single"/>
        </w:rPr>
        <w:t>Trademarks: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9"/>
        <w:gridCol w:w="128"/>
        <w:gridCol w:w="1536"/>
        <w:gridCol w:w="128"/>
        <w:gridCol w:w="1280"/>
        <w:gridCol w:w="339"/>
        <w:gridCol w:w="2121"/>
        <w:gridCol w:w="128"/>
        <w:gridCol w:w="2213"/>
        <w:gridCol w:w="128"/>
        <w:gridCol w:w="2065"/>
      </w:tblGrid>
      <w:tr>
        <w:trPr/>
        <w:tc>
          <w:tcPr>
            <w:tcW w:w="13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5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39" w:type="dxa"/>
            <w:tcBorders/>
            <w:vAlign w:val="bottom"/>
          </w:tcPr>
          <w:p>
            <w:pPr>
              <w:pStyle w:val="TableContents"/>
              <w:bidi w:val="0"/>
              <w:spacing w:before="0" w:after="283"/>
              <w:jc w:val="left"/>
              <w:rPr/>
            </w:pPr>
            <w:r>
              <w:rPr/>
              <w:t>  </w:t>
            </w:r>
          </w:p>
        </w:tc>
        <w:tc>
          <w:tcPr>
            <w:tcW w:w="21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2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8" w:type="dxa"/>
            <w:tcBorders/>
            <w:vAlign w:val="bottom"/>
          </w:tcPr>
          <w:p>
            <w:pPr>
              <w:pStyle w:val="TableContents"/>
              <w:bidi w:val="0"/>
              <w:spacing w:before="0" w:after="283"/>
              <w:jc w:val="left"/>
              <w:rPr/>
            </w:pPr>
            <w:r>
              <w:rPr/>
              <w:t>  </w:t>
            </w:r>
          </w:p>
        </w:tc>
        <w:tc>
          <w:tcPr>
            <w:tcW w:w="20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39" w:type="dxa"/>
            <w:tcBorders/>
          </w:tcPr>
          <w:p>
            <w:pPr>
              <w:pStyle w:val="TableContents"/>
              <w:bidi w:val="0"/>
              <w:spacing w:before="0" w:after="283"/>
              <w:jc w:val="left"/>
              <w:rPr/>
            </w:pPr>
            <w:r>
              <w:rPr/>
              <w:t>1.</w:t>
            </w:r>
          </w:p>
        </w:tc>
        <w:tc>
          <w:tcPr>
            <w:tcW w:w="128" w:type="dxa"/>
            <w:tcBorders/>
            <w:vAlign w:val="bottom"/>
          </w:tcPr>
          <w:p>
            <w:pPr>
              <w:pStyle w:val="TableContents"/>
              <w:bidi w:val="0"/>
              <w:spacing w:before="0" w:after="283"/>
              <w:jc w:val="left"/>
              <w:rPr/>
            </w:pPr>
            <w:r>
              <w:rPr/>
              <w:t>  </w:t>
            </w:r>
          </w:p>
        </w:tc>
        <w:tc>
          <w:tcPr>
            <w:tcW w:w="1536" w:type="dxa"/>
            <w:tcBorders/>
          </w:tcPr>
          <w:p>
            <w:pPr>
              <w:pStyle w:val="TableContents"/>
              <w:bidi w:val="0"/>
              <w:spacing w:before="0" w:after="0"/>
              <w:jc w:val="left"/>
              <w:rPr>
                <w:rFonts w:ascii="Times New Roman" w:hAnsi="Times New Roman"/>
                <w:sz w:val="20"/>
              </w:rPr>
            </w:pPr>
            <w:r>
              <w:rPr>
                <w:rFonts w:ascii="Times New Roman" w:hAnsi="Times New Roman"/>
                <w:sz w:val="20"/>
              </w:rPr>
              <w:t>CERENOME</w:t>
            </w:r>
          </w:p>
          <w:p>
            <w:pPr>
              <w:pStyle w:val="TableContents"/>
              <w:bidi w:val="0"/>
              <w:spacing w:before="0" w:after="20"/>
              <w:jc w:val="left"/>
              <w:rPr>
                <w:rFonts w:ascii="Times New Roman" w:hAnsi="Times New Roman"/>
                <w:sz w:val="20"/>
              </w:rPr>
            </w:pPr>
            <w:r>
              <w:rPr>
                <w:rFonts w:ascii="Times New Roman" w:hAnsi="Times New Roman"/>
                <w:sz w:val="20"/>
              </w:rPr>
              <w:t>SN: 99834767</w:t>
            </w:r>
          </w:p>
        </w:tc>
        <w:tc>
          <w:tcPr>
            <w:tcW w:w="128"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left"/>
              <w:rPr/>
            </w:pPr>
            <w:r>
              <w:rPr/>
              <w:t>United States (Federal)</w:t>
            </w:r>
          </w:p>
        </w:tc>
        <w:tc>
          <w:tcPr>
            <w:tcW w:w="339" w:type="dxa"/>
            <w:tcBorders/>
            <w:vAlign w:val="bottom"/>
          </w:tcPr>
          <w:p>
            <w:pPr>
              <w:pStyle w:val="TableContents"/>
              <w:bidi w:val="0"/>
              <w:spacing w:before="0" w:after="283"/>
              <w:jc w:val="left"/>
              <w:rPr/>
            </w:pPr>
            <w:r>
              <w:rPr/>
              <w:t>  </w:t>
            </w:r>
          </w:p>
        </w:tc>
        <w:tc>
          <w:tcPr>
            <w:tcW w:w="2121" w:type="dxa"/>
            <w:tcBorders/>
          </w:tcPr>
          <w:p>
            <w:pPr>
              <w:pStyle w:val="TableContents"/>
              <w:bidi w:val="0"/>
              <w:spacing w:before="0" w:after="283"/>
              <w:jc w:val="left"/>
              <w:rPr/>
            </w:pPr>
            <w:r>
              <w:rPr/>
              <w:t xml:space="preserve">Pending Application, May 20, 2026 </w:t>
              <w:br/>
              <w:t xml:space="preserve">Office Status: New Application - Record Initialized Not Assigned to Examiner </w:t>
              <w:br/>
              <w:t xml:space="preserve">Filed: May 20, 2026 </w:t>
              <w:br/>
              <w:t>Register Type: Principal Register</w:t>
            </w:r>
          </w:p>
        </w:tc>
        <w:tc>
          <w:tcPr>
            <w:tcW w:w="128" w:type="dxa"/>
            <w:tcBorders/>
            <w:vAlign w:val="bottom"/>
          </w:tcPr>
          <w:p>
            <w:pPr>
              <w:pStyle w:val="TableContents"/>
              <w:bidi w:val="0"/>
              <w:spacing w:before="0" w:after="283"/>
              <w:jc w:val="left"/>
              <w:rPr/>
            </w:pPr>
            <w:r>
              <w:rPr/>
              <w:t>  </w:t>
            </w:r>
          </w:p>
        </w:tc>
        <w:tc>
          <w:tcPr>
            <w:tcW w:w="2213" w:type="dxa"/>
            <w:tcBorders/>
          </w:tcPr>
          <w:p>
            <w:pPr>
              <w:pStyle w:val="TableContents"/>
              <w:bidi w:val="0"/>
              <w:spacing w:before="0" w:after="283"/>
              <w:jc w:val="left"/>
              <w:rPr/>
            </w:pPr>
            <w:r>
              <w:rPr/>
              <w:t xml:space="preserve">Int’l Class: 05, 42, 44 </w:t>
              <w:br/>
              <w:t xml:space="preserve">(Int’l Class: 05) </w:t>
              <w:br/>
              <w:t xml:space="preserve">Pharmaceutical preparations for the treatment of cancer; pharmaceutical preparations for the treatment of diseases and disorders of the central nervous system; radiopharmaceutical preparations for diagnostic and therapeutic purposes; diagnostic preparations for medical purposes for the detection and characterization of cancer and other diseases, including diseases and disorders of the central nervous system. </w:t>
              <w:br/>
              <w:t xml:space="preserve">(Int’l Class: 42) </w:t>
              <w:br/>
              <w:t>Medical research in the field of oncology; medical research laboratory services in the field of oncology; pharmaceutical research and development services; providing medical and scientific information in the field of cancer, diseases and disorders of the central nervous system, and oncological diseases and disorders; data analytics services in the field of oncology and central nervous system diseases and disorders; software as a service (SAAS) services featuring software for data analytics in the fields of pharmaceutical research, oncology, and diseases</w:t>
            </w:r>
          </w:p>
        </w:tc>
        <w:tc>
          <w:tcPr>
            <w:tcW w:w="128" w:type="dxa"/>
            <w:tcBorders/>
            <w:vAlign w:val="bottom"/>
          </w:tcPr>
          <w:p>
            <w:pPr>
              <w:pStyle w:val="TableContents"/>
              <w:bidi w:val="0"/>
              <w:spacing w:before="0" w:after="283"/>
              <w:jc w:val="left"/>
              <w:rPr/>
            </w:pPr>
            <w:r>
              <w:rPr/>
              <w:t>  </w:t>
            </w:r>
          </w:p>
        </w:tc>
        <w:tc>
          <w:tcPr>
            <w:tcW w:w="2065" w:type="dxa"/>
            <w:tcBorders/>
          </w:tcPr>
          <w:p>
            <w:pPr>
              <w:pStyle w:val="TableContents"/>
              <w:bidi w:val="0"/>
              <w:spacing w:before="0" w:after="283"/>
              <w:jc w:val="left"/>
              <w:rPr/>
            </w:pPr>
            <w:r>
              <w:rPr/>
              <w:t xml:space="preserve">Plus Therapeutics, Inc. (Delaware Corporation) </w:t>
              <w:br/>
              <w:t>6420 Levit Green Blvd Suite 210, Houston, Texas 77021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39"/>
        <w:gridCol w:w="127"/>
        <w:gridCol w:w="1955"/>
        <w:gridCol w:w="127"/>
        <w:gridCol w:w="1011"/>
        <w:gridCol w:w="325"/>
        <w:gridCol w:w="2057"/>
        <w:gridCol w:w="127"/>
        <w:gridCol w:w="2161"/>
        <w:gridCol w:w="127"/>
        <w:gridCol w:w="2049"/>
      </w:tblGrid>
      <w:tr>
        <w:trPr/>
        <w:tc>
          <w:tcPr>
            <w:tcW w:w="13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1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9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25" w:type="dxa"/>
            <w:tcBorders/>
            <w:vAlign w:val="bottom"/>
          </w:tcPr>
          <w:p>
            <w:pPr>
              <w:pStyle w:val="TableContents"/>
              <w:bidi w:val="0"/>
              <w:spacing w:before="0" w:after="283"/>
              <w:jc w:val="left"/>
              <w:rPr/>
            </w:pPr>
            <w:r>
              <w:rPr/>
              <w:t>  </w:t>
            </w:r>
          </w:p>
        </w:tc>
        <w:tc>
          <w:tcPr>
            <w:tcW w:w="20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1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3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161" w:type="dxa"/>
            <w:tcBorders/>
          </w:tcPr>
          <w:p>
            <w:pPr>
              <w:pStyle w:val="TableContents"/>
              <w:bidi w:val="0"/>
              <w:spacing w:before="0" w:after="0"/>
              <w:jc w:val="left"/>
              <w:rPr>
                <w:rFonts w:ascii="Times New Roman" w:hAnsi="Times New Roman"/>
                <w:sz w:val="20"/>
              </w:rPr>
            </w:pPr>
            <w:r>
              <w:rPr>
                <w:rFonts w:ascii="Times New Roman" w:hAnsi="Times New Roman"/>
                <w:sz w:val="20"/>
              </w:rPr>
              <w:t>and disorders of the central nervous system; providing scientific and research information in the field of oncology and central nervous system diseases</w:t>
            </w:r>
          </w:p>
          <w:p>
            <w:pPr>
              <w:pStyle w:val="TableContents"/>
              <w:bidi w:val="0"/>
              <w:spacing w:before="0" w:after="20"/>
              <w:jc w:val="left"/>
              <w:rPr>
                <w:rFonts w:ascii="Times New Roman" w:hAnsi="Times New Roman"/>
                <w:sz w:val="20"/>
              </w:rPr>
            </w:pPr>
            <w:r>
              <w:rPr>
                <w:rFonts w:ascii="Times New Roman" w:hAnsi="Times New Roman"/>
                <w:sz w:val="20"/>
              </w:rPr>
              <w:t xml:space="preserve">and disorders via a website. </w:t>
              <w:br/>
              <w:t xml:space="preserve">(Int’l Class: 44) </w:t>
              <w:br/>
              <w:t>Medical diagnostic testing services in the field of oncology and diseases of the central nervous system; providing medical information in the field of cancer diagnosis and treatment; providing medical information services in the field of oncology and central nervous system diseases and disorders, including through data analytics; providing healthcare data analytics services, namely, analysis of clinical and medical data in the fields of oncology and diseases and disorders of the central nervous system.</w:t>
            </w:r>
          </w:p>
        </w:tc>
        <w:tc>
          <w:tcPr>
            <w:tcW w:w="127"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left"/>
              <w:rPr>
                <w:sz w:val="4"/>
                <w:szCs w:val="4"/>
              </w:rPr>
            </w:pPr>
            <w:r>
              <w:rPr>
                <w:sz w:val="4"/>
                <w:szCs w:val="4"/>
              </w:rPr>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2082"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2288" w:type="dxa"/>
            <w:gridSpan w:val="2"/>
            <w:tcBorders/>
            <w:vAlign w:val="center"/>
          </w:tcPr>
          <w:p>
            <w:pPr>
              <w:pStyle w:val="TableContents"/>
              <w:bidi w:val="0"/>
              <w:spacing w:before="0" w:after="283"/>
              <w:jc w:val="left"/>
              <w:rPr>
                <w:sz w:val="4"/>
                <w:szCs w:val="4"/>
              </w:rPr>
            </w:pPr>
            <w:r>
              <w:rPr>
                <w:sz w:val="4"/>
                <w:szCs w:val="4"/>
              </w:rPr>
            </w:r>
          </w:p>
        </w:tc>
        <w:tc>
          <w:tcPr>
            <w:tcW w:w="2176"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2.</w:t>
            </w:r>
          </w:p>
        </w:tc>
        <w:tc>
          <w:tcPr>
            <w:tcW w:w="127"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CERENOME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3143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SN: 99902520</w:t>
            </w:r>
          </w:p>
        </w:tc>
        <w:tc>
          <w:tcPr>
            <w:tcW w:w="127"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pPr>
            <w:r>
              <w:rPr/>
              <w:t>United States (Federal)</w:t>
            </w:r>
          </w:p>
        </w:tc>
        <w:tc>
          <w:tcPr>
            <w:tcW w:w="325"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left"/>
              <w:rPr/>
            </w:pPr>
            <w:r>
              <w:rPr/>
              <w:t xml:space="preserve">Pending Application, June 24, 2026 </w:t>
              <w:br/>
              <w:t xml:space="preserve">Office Status: New Application - Record Initialized Not Assigned to Examiner </w:t>
              <w:br/>
              <w:t xml:space="preserve">Filed: June 24, 2026 </w:t>
              <w:br/>
              <w:t>Register Type: Principal Register</w:t>
            </w:r>
          </w:p>
        </w:tc>
        <w:tc>
          <w:tcPr>
            <w:tcW w:w="127" w:type="dxa"/>
            <w:tcBorders/>
            <w:vAlign w:val="bottom"/>
          </w:tcPr>
          <w:p>
            <w:pPr>
              <w:pStyle w:val="TableContents"/>
              <w:bidi w:val="0"/>
              <w:spacing w:before="0" w:after="283"/>
              <w:jc w:val="left"/>
              <w:rPr/>
            </w:pPr>
            <w:r>
              <w:rPr/>
              <w:t>  </w:t>
            </w:r>
          </w:p>
        </w:tc>
        <w:tc>
          <w:tcPr>
            <w:tcW w:w="2161" w:type="dxa"/>
            <w:tcBorders/>
          </w:tcPr>
          <w:p>
            <w:pPr>
              <w:pStyle w:val="TableContents"/>
              <w:bidi w:val="0"/>
              <w:spacing w:before="0" w:after="283"/>
              <w:jc w:val="left"/>
              <w:rPr/>
            </w:pPr>
            <w:r>
              <w:rPr/>
              <w:t xml:space="preserve">Int’l Class: 05, 42, 44 </w:t>
              <w:br/>
              <w:t xml:space="preserve">(Int’l Class: 05) </w:t>
              <w:br/>
              <w:t xml:space="preserve">Pharmaceutical preparations for the treatment of cancer; pharmaceutical preparations for the treatment of diseases and disorders of the central nervous system; radiopharmaceutical preparations for diagnostic and therapeutic purposes; diagnostic preparations for medical purposes for the detection and characterization of cancer and other diseases, including diseases and disorders of the central nervous system. </w:t>
              <w:br/>
              <w:t xml:space="preserve">(Int’l Class: 42) </w:t>
              <w:br/>
              <w:t>Medical research in the field of oncology; medical research laboratory</w:t>
            </w:r>
          </w:p>
        </w:tc>
        <w:tc>
          <w:tcPr>
            <w:tcW w:w="127" w:type="dxa"/>
            <w:tcBorders/>
            <w:vAlign w:val="bottom"/>
          </w:tcPr>
          <w:p>
            <w:pPr>
              <w:pStyle w:val="TableContents"/>
              <w:bidi w:val="0"/>
              <w:spacing w:before="0" w:after="283"/>
              <w:jc w:val="left"/>
              <w:rPr/>
            </w:pPr>
            <w:r>
              <w:rPr/>
              <w:t>  </w:t>
            </w:r>
          </w:p>
        </w:tc>
        <w:tc>
          <w:tcPr>
            <w:tcW w:w="2049" w:type="dxa"/>
            <w:tcBorders/>
          </w:tcPr>
          <w:p>
            <w:pPr>
              <w:pStyle w:val="TableContents"/>
              <w:bidi w:val="0"/>
              <w:spacing w:before="0" w:after="283"/>
              <w:jc w:val="left"/>
              <w:rPr/>
            </w:pPr>
            <w:r>
              <w:rPr/>
              <w:t xml:space="preserve">Plus Therapeutics, Inc. (Delaware Corporation) </w:t>
              <w:br/>
              <w:t>6420 Levit Green Blvd Suite 210, Houston, Texas 77021 United States of America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2"/>
        <w:gridCol w:w="128"/>
        <w:gridCol w:w="1547"/>
        <w:gridCol w:w="128"/>
        <w:gridCol w:w="1059"/>
        <w:gridCol w:w="415"/>
        <w:gridCol w:w="2108"/>
        <w:gridCol w:w="128"/>
        <w:gridCol w:w="2405"/>
        <w:gridCol w:w="127"/>
        <w:gridCol w:w="2038"/>
      </w:tblGrid>
      <w:tr>
        <w:trPr/>
        <w:tc>
          <w:tcPr>
            <w:tcW w:w="12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5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15" w:type="dxa"/>
            <w:tcBorders/>
            <w:vAlign w:val="bottom"/>
          </w:tcPr>
          <w:p>
            <w:pPr>
              <w:pStyle w:val="TableContents"/>
              <w:bidi w:val="0"/>
              <w:spacing w:before="0" w:after="283"/>
              <w:jc w:val="left"/>
              <w:rPr/>
            </w:pPr>
            <w:r>
              <w:rPr/>
              <w:t>  </w:t>
            </w:r>
          </w:p>
        </w:tc>
        <w:tc>
          <w:tcPr>
            <w:tcW w:w="21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4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2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547"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9"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210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left"/>
              <w:rPr/>
            </w:pPr>
            <w:r>
              <w:rPr/>
              <w:t xml:space="preserve">services in the field of oncology; pharmaceutical research and development services; providing medical and scientific information in the field of cancer, diseases and disorders of the central nervous system, and oncological diseases and disorders; data analytics services in the field of oncology and central nervous system diseases and disorders; software as a service (SAAS) services featuring software for data analytics in the fields of pharmaceutical research, oncology, and diseases and disorders of the central nervous system; providing scientific and research information in the field of oncology and central nervous system diseases and disorders via a website. </w:t>
              <w:br/>
              <w:t xml:space="preserve">(Int’l Class: 44) </w:t>
              <w:br/>
              <w:t>Medical diagnostic testing services in the field of oncology and diseases of the central nervous system; providing medical information in the field of cancer diagnosis and treatment; providing medical information services in the field of oncology and central nervous system diseases and disorders, including through data analytics; providing healthcare data analytics services, namely, analysis of clinical and medical data in the fields of oncology and diseases and disorders of the central nervous system.</w:t>
            </w:r>
          </w:p>
        </w:tc>
        <w:tc>
          <w:tcPr>
            <w:tcW w:w="127"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0"/>
        <w:gridCol w:w="126"/>
        <w:gridCol w:w="1945"/>
        <w:gridCol w:w="126"/>
        <w:gridCol w:w="1284"/>
        <w:gridCol w:w="126"/>
        <w:gridCol w:w="1926"/>
        <w:gridCol w:w="126"/>
        <w:gridCol w:w="2173"/>
        <w:gridCol w:w="126"/>
        <w:gridCol w:w="2107"/>
      </w:tblGrid>
      <w:tr>
        <w:trPr/>
        <w:tc>
          <w:tcPr>
            <w:tcW w:w="14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9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6" w:type="dxa"/>
            <w:tcBorders/>
            <w:vAlign w:val="bottom"/>
          </w:tcPr>
          <w:p>
            <w:pPr>
              <w:pStyle w:val="TableContents"/>
              <w:bidi w:val="0"/>
              <w:spacing w:before="0" w:after="283"/>
              <w:jc w:val="left"/>
              <w:rPr/>
            </w:pPr>
            <w:r>
              <w:rPr/>
              <w:t>  </w:t>
            </w:r>
          </w:p>
        </w:tc>
        <w:tc>
          <w:tcPr>
            <w:tcW w:w="12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126" w:type="dxa"/>
            <w:tcBorders/>
            <w:vAlign w:val="bottom"/>
          </w:tcPr>
          <w:p>
            <w:pPr>
              <w:pStyle w:val="TableContents"/>
              <w:bidi w:val="0"/>
              <w:spacing w:before="0" w:after="283"/>
              <w:jc w:val="left"/>
              <w:rPr/>
            </w:pPr>
            <w:r>
              <w:rPr/>
              <w:t>  </w:t>
            </w:r>
          </w:p>
        </w:tc>
        <w:tc>
          <w:tcPr>
            <w:tcW w:w="19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6" w:type="dxa"/>
            <w:tcBorders/>
            <w:vAlign w:val="bottom"/>
          </w:tcPr>
          <w:p>
            <w:pPr>
              <w:pStyle w:val="TableContents"/>
              <w:bidi w:val="0"/>
              <w:spacing w:before="0" w:after="283"/>
              <w:jc w:val="left"/>
              <w:rPr/>
            </w:pPr>
            <w:r>
              <w:rPr/>
              <w:t>  </w:t>
            </w:r>
          </w:p>
        </w:tc>
        <w:tc>
          <w:tcPr>
            <w:tcW w:w="21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6" w:type="dxa"/>
            <w:tcBorders/>
            <w:vAlign w:val="bottom"/>
          </w:tcPr>
          <w:p>
            <w:pPr>
              <w:pStyle w:val="TableContents"/>
              <w:bidi w:val="0"/>
              <w:spacing w:before="0" w:after="283"/>
              <w:jc w:val="left"/>
              <w:rPr/>
            </w:pPr>
            <w:r>
              <w:rPr/>
              <w:t>  </w:t>
            </w:r>
          </w:p>
        </w:tc>
        <w:tc>
          <w:tcPr>
            <w:tcW w:w="21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2052" w:type="dxa"/>
            <w:gridSpan w:val="2"/>
            <w:tcBorders/>
            <w:vAlign w:val="center"/>
          </w:tcPr>
          <w:p>
            <w:pPr>
              <w:pStyle w:val="TableContents"/>
              <w:bidi w:val="0"/>
              <w:spacing w:before="0" w:after="283"/>
              <w:jc w:val="left"/>
              <w:rPr>
                <w:sz w:val="4"/>
                <w:szCs w:val="4"/>
              </w:rPr>
            </w:pPr>
            <w:r>
              <w:rPr>
                <w:sz w:val="4"/>
                <w:szCs w:val="4"/>
              </w:rPr>
            </w:r>
          </w:p>
        </w:tc>
        <w:tc>
          <w:tcPr>
            <w:tcW w:w="229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3.</w:t>
            </w:r>
          </w:p>
        </w:tc>
        <w:tc>
          <w:tcPr>
            <w:tcW w:w="12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CEE SURE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3524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SN: 99612161</w:t>
            </w:r>
          </w:p>
        </w:tc>
        <w:tc>
          <w:tcPr>
            <w:tcW w:w="126" w:type="dxa"/>
            <w:tcBorders/>
            <w:vAlign w:val="bottom"/>
          </w:tcPr>
          <w:p>
            <w:pPr>
              <w:pStyle w:val="TableContents"/>
              <w:bidi w:val="0"/>
              <w:spacing w:before="0" w:after="283"/>
              <w:jc w:val="left"/>
              <w:rPr/>
            </w:pPr>
            <w:r>
              <w:rPr/>
              <w:t>  </w:t>
            </w:r>
          </w:p>
        </w:tc>
        <w:tc>
          <w:tcPr>
            <w:tcW w:w="1284" w:type="dxa"/>
            <w:tcBorders/>
          </w:tcPr>
          <w:p>
            <w:pPr>
              <w:pStyle w:val="TableContents"/>
              <w:bidi w:val="0"/>
              <w:spacing w:before="0" w:after="283"/>
              <w:jc w:val="left"/>
              <w:rPr/>
            </w:pPr>
            <w:r>
              <w:rPr/>
              <w:t>United States (Federal)</w:t>
            </w:r>
          </w:p>
        </w:tc>
        <w:tc>
          <w:tcPr>
            <w:tcW w:w="126" w:type="dxa"/>
            <w:tcBorders/>
            <w:vAlign w:val="bottom"/>
          </w:tcPr>
          <w:p>
            <w:pPr>
              <w:pStyle w:val="TableContents"/>
              <w:bidi w:val="0"/>
              <w:spacing w:before="0" w:after="283"/>
              <w:jc w:val="left"/>
              <w:rPr/>
            </w:pPr>
            <w:r>
              <w:rPr/>
              <w:t>  </w:t>
            </w:r>
          </w:p>
        </w:tc>
        <w:tc>
          <w:tcPr>
            <w:tcW w:w="1926" w:type="dxa"/>
            <w:tcBorders/>
          </w:tcPr>
          <w:p>
            <w:pPr>
              <w:pStyle w:val="TableContents"/>
              <w:bidi w:val="0"/>
              <w:spacing w:before="0" w:after="283"/>
              <w:jc w:val="left"/>
              <w:rPr/>
            </w:pPr>
            <w:r>
              <w:rPr/>
              <w:t xml:space="preserve">Published, June 23, 2026 </w:t>
              <w:br/>
              <w:t xml:space="preserve">Office Status: Published For Opposition </w:t>
              <w:br/>
              <w:t xml:space="preserve">Filed: January 23, 2026 </w:t>
              <w:br/>
              <w:t>Register Type: Principal Register</w:t>
            </w:r>
          </w:p>
        </w:tc>
        <w:tc>
          <w:tcPr>
            <w:tcW w:w="126"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 xml:space="preserve">Int’l Class: 10 </w:t>
              <w:br/>
              <w:t xml:space="preserve">(Int’l Class: 10) </w:t>
              <w:br/>
              <w:t>Medical apparatus for the collection and preservation of cerebrospinal fluid samples; medical devices, namely, sample collection tubes for cerebrospinal fluid; apparatus for preserving and stabilizing cells and biomarkers in cerebrospinal fluid samples during collection, storage, and transport for research, diagnostic, or therapeutic use</w:t>
            </w:r>
          </w:p>
        </w:tc>
        <w:tc>
          <w:tcPr>
            <w:tcW w:w="126"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left"/>
              <w:rPr/>
            </w:pPr>
            <w:r>
              <w:rPr/>
              <w:t xml:space="preserve">Plus Therapeutics, Inc. (Delaware Corporation) </w:t>
              <w:br/>
              <w:t>6420 Levit Green Blvd Suite 210, Houston, Texas 77021 United States of America</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2052" w:type="dxa"/>
            <w:gridSpan w:val="2"/>
            <w:tcBorders/>
            <w:vAlign w:val="center"/>
          </w:tcPr>
          <w:p>
            <w:pPr>
              <w:pStyle w:val="TableContents"/>
              <w:bidi w:val="0"/>
              <w:spacing w:before="0" w:after="283"/>
              <w:jc w:val="left"/>
              <w:rPr>
                <w:sz w:val="4"/>
                <w:szCs w:val="4"/>
              </w:rPr>
            </w:pPr>
            <w:r>
              <w:rPr>
                <w:sz w:val="4"/>
                <w:szCs w:val="4"/>
              </w:rPr>
            </w:r>
          </w:p>
        </w:tc>
        <w:tc>
          <w:tcPr>
            <w:tcW w:w="229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REYOBIQ</w:t>
            </w:r>
          </w:p>
          <w:p>
            <w:pPr>
              <w:pStyle w:val="TableContents"/>
              <w:bidi w:val="0"/>
              <w:spacing w:before="0" w:after="20"/>
              <w:jc w:val="left"/>
              <w:rPr>
                <w:rFonts w:ascii="Times New Roman" w:hAnsi="Times New Roman"/>
                <w:sz w:val="20"/>
              </w:rPr>
            </w:pPr>
            <w:r>
              <w:rPr>
                <w:rFonts w:ascii="Times New Roman" w:hAnsi="Times New Roman"/>
                <w:sz w:val="20"/>
              </w:rPr>
              <w:t>SN: 98675300</w:t>
            </w:r>
          </w:p>
        </w:tc>
        <w:tc>
          <w:tcPr>
            <w:tcW w:w="126" w:type="dxa"/>
            <w:tcBorders/>
            <w:vAlign w:val="bottom"/>
          </w:tcPr>
          <w:p>
            <w:pPr>
              <w:pStyle w:val="TableContents"/>
              <w:bidi w:val="0"/>
              <w:spacing w:before="0" w:after="283"/>
              <w:jc w:val="left"/>
              <w:rPr/>
            </w:pPr>
            <w:r>
              <w:rPr/>
              <w:t>  </w:t>
            </w:r>
          </w:p>
        </w:tc>
        <w:tc>
          <w:tcPr>
            <w:tcW w:w="1284" w:type="dxa"/>
            <w:tcBorders/>
          </w:tcPr>
          <w:p>
            <w:pPr>
              <w:pStyle w:val="TableContents"/>
              <w:bidi w:val="0"/>
              <w:spacing w:before="0" w:after="283"/>
              <w:jc w:val="left"/>
              <w:rPr/>
            </w:pPr>
            <w:r>
              <w:rPr/>
              <w:t>United States (Federal)</w:t>
            </w:r>
          </w:p>
        </w:tc>
        <w:tc>
          <w:tcPr>
            <w:tcW w:w="126" w:type="dxa"/>
            <w:tcBorders/>
            <w:vAlign w:val="bottom"/>
          </w:tcPr>
          <w:p>
            <w:pPr>
              <w:pStyle w:val="TableContents"/>
              <w:bidi w:val="0"/>
              <w:spacing w:before="0" w:after="283"/>
              <w:jc w:val="left"/>
              <w:rPr/>
            </w:pPr>
            <w:r>
              <w:rPr/>
              <w:t>  </w:t>
            </w:r>
          </w:p>
        </w:tc>
        <w:tc>
          <w:tcPr>
            <w:tcW w:w="1926" w:type="dxa"/>
            <w:tcBorders/>
          </w:tcPr>
          <w:p>
            <w:pPr>
              <w:pStyle w:val="TableContents"/>
              <w:bidi w:val="0"/>
              <w:spacing w:before="0" w:after="283"/>
              <w:jc w:val="left"/>
              <w:rPr/>
            </w:pPr>
            <w:r>
              <w:rPr/>
              <w:t xml:space="preserve">Application pending publication, March 9, 2026 </w:t>
              <w:br/>
              <w:t xml:space="preserve">Office Status: Second Extension - Granted </w:t>
              <w:br/>
              <w:t xml:space="preserve">Filed: July 31, 2024 </w:t>
              <w:br/>
              <w:t>Register Type: Principal Register</w:t>
            </w:r>
          </w:p>
        </w:tc>
        <w:tc>
          <w:tcPr>
            <w:tcW w:w="126"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 xml:space="preserve">Int’l Class: 05 </w:t>
              <w:br/>
              <w:t xml:space="preserve">(Int’l Class: 05) </w:t>
              <w:br/>
              <w:t>Pharmaceutical and radiotherapeutic preparations, namely, therapeutic anti-cancer drugs; biopharmaceuticals for the treatment of cancers; pharmaceutical preparations and substances for use in oncology; pharmaceutical preparations and substances for the treatment of cancers</w:t>
            </w:r>
          </w:p>
        </w:tc>
        <w:tc>
          <w:tcPr>
            <w:tcW w:w="126"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left"/>
              <w:rPr/>
            </w:pPr>
            <w:r>
              <w:rPr/>
              <w:t xml:space="preserve">Plus Therapeutics, Inc. (Delaware Corporation) </w:t>
              <w:br/>
              <w:t>2710 Reed Rd, Suite 160, Houston, Texas 77051 United States of America</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2052" w:type="dxa"/>
            <w:gridSpan w:val="2"/>
            <w:tcBorders/>
            <w:vAlign w:val="center"/>
          </w:tcPr>
          <w:p>
            <w:pPr>
              <w:pStyle w:val="TableContents"/>
              <w:bidi w:val="0"/>
              <w:spacing w:before="0" w:after="283"/>
              <w:jc w:val="left"/>
              <w:rPr>
                <w:sz w:val="4"/>
                <w:szCs w:val="4"/>
              </w:rPr>
            </w:pPr>
            <w:r>
              <w:rPr>
                <w:sz w:val="4"/>
                <w:szCs w:val="4"/>
              </w:rPr>
            </w:r>
          </w:p>
        </w:tc>
        <w:tc>
          <w:tcPr>
            <w:tcW w:w="229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5.</w:t>
            </w:r>
          </w:p>
        </w:tc>
        <w:tc>
          <w:tcPr>
            <w:tcW w:w="12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REYOBIQ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3429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SN: 99128434</w:t>
            </w:r>
          </w:p>
        </w:tc>
        <w:tc>
          <w:tcPr>
            <w:tcW w:w="126" w:type="dxa"/>
            <w:tcBorders/>
            <w:vAlign w:val="bottom"/>
          </w:tcPr>
          <w:p>
            <w:pPr>
              <w:pStyle w:val="TableContents"/>
              <w:bidi w:val="0"/>
              <w:spacing w:before="0" w:after="283"/>
              <w:jc w:val="left"/>
              <w:rPr/>
            </w:pPr>
            <w:r>
              <w:rPr/>
              <w:t>  </w:t>
            </w:r>
          </w:p>
        </w:tc>
        <w:tc>
          <w:tcPr>
            <w:tcW w:w="1284" w:type="dxa"/>
            <w:tcBorders/>
          </w:tcPr>
          <w:p>
            <w:pPr>
              <w:pStyle w:val="TableContents"/>
              <w:bidi w:val="0"/>
              <w:spacing w:before="0" w:after="283"/>
              <w:jc w:val="left"/>
              <w:rPr/>
            </w:pPr>
            <w:r>
              <w:rPr/>
              <w:t>United States (Federal)</w:t>
            </w:r>
          </w:p>
        </w:tc>
        <w:tc>
          <w:tcPr>
            <w:tcW w:w="126" w:type="dxa"/>
            <w:tcBorders/>
            <w:vAlign w:val="bottom"/>
          </w:tcPr>
          <w:p>
            <w:pPr>
              <w:pStyle w:val="TableContents"/>
              <w:bidi w:val="0"/>
              <w:spacing w:before="0" w:after="283"/>
              <w:jc w:val="left"/>
              <w:rPr/>
            </w:pPr>
            <w:r>
              <w:rPr/>
              <w:t>  </w:t>
            </w:r>
          </w:p>
        </w:tc>
        <w:tc>
          <w:tcPr>
            <w:tcW w:w="1926" w:type="dxa"/>
            <w:tcBorders/>
          </w:tcPr>
          <w:p>
            <w:pPr>
              <w:pStyle w:val="TableContents"/>
              <w:bidi w:val="0"/>
              <w:spacing w:before="0" w:after="283"/>
              <w:jc w:val="left"/>
              <w:rPr/>
            </w:pPr>
            <w:r>
              <w:rPr/>
              <w:t xml:space="preserve">Application pending publication, March 9, 2026 </w:t>
              <w:br/>
              <w:t xml:space="preserve">Office Status: First Extension - Granted </w:t>
              <w:br/>
              <w:t xml:space="preserve">Filed: April 9, 2025 </w:t>
              <w:br/>
              <w:t>Register Type: Principal Register</w:t>
            </w:r>
          </w:p>
        </w:tc>
        <w:tc>
          <w:tcPr>
            <w:tcW w:w="126" w:type="dxa"/>
            <w:tcBorders/>
            <w:vAlign w:val="bottom"/>
          </w:tcPr>
          <w:p>
            <w:pPr>
              <w:pStyle w:val="TableContents"/>
              <w:bidi w:val="0"/>
              <w:spacing w:before="0" w:after="283"/>
              <w:jc w:val="left"/>
              <w:rPr/>
            </w:pPr>
            <w:r>
              <w:rPr/>
              <w:t>  </w:t>
            </w:r>
          </w:p>
        </w:tc>
        <w:tc>
          <w:tcPr>
            <w:tcW w:w="2173" w:type="dxa"/>
            <w:tcBorders/>
          </w:tcPr>
          <w:p>
            <w:pPr>
              <w:pStyle w:val="TableContents"/>
              <w:bidi w:val="0"/>
              <w:spacing w:before="0" w:after="283"/>
              <w:jc w:val="left"/>
              <w:rPr/>
            </w:pPr>
            <w:r>
              <w:rPr/>
              <w:t xml:space="preserve">Int’l Class: 05 </w:t>
              <w:br/>
              <w:t xml:space="preserve">(Int’l Class: 05) </w:t>
              <w:br/>
              <w:t>Pharmaceutical and radiotherapeutic preparations, namely, therapeutic anti-cancer drugs; biopharmaceuticals for the treatment of cancers; pharmaceutical preparations and substances for use in oncology;</w:t>
            </w:r>
          </w:p>
        </w:tc>
        <w:tc>
          <w:tcPr>
            <w:tcW w:w="126"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283"/>
              <w:jc w:val="left"/>
              <w:rPr/>
            </w:pPr>
            <w:r>
              <w:rPr/>
              <w:t xml:space="preserve">Plus Therapeutics, Inc. (Delaware Corporation) </w:t>
              <w:br/>
              <w:t>2710 Reed Rd, Suite 160, Houston, Texas 77051 United States of America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0"/>
        <w:gridCol w:w="126"/>
        <w:gridCol w:w="1945"/>
        <w:gridCol w:w="126"/>
        <w:gridCol w:w="1284"/>
        <w:gridCol w:w="293"/>
        <w:gridCol w:w="1885"/>
        <w:gridCol w:w="126"/>
        <w:gridCol w:w="2090"/>
        <w:gridCol w:w="126"/>
        <w:gridCol w:w="2064"/>
      </w:tblGrid>
      <w:tr>
        <w:trPr/>
        <w:tc>
          <w:tcPr>
            <w:tcW w:w="14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9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6" w:type="dxa"/>
            <w:tcBorders/>
            <w:vAlign w:val="bottom"/>
          </w:tcPr>
          <w:p>
            <w:pPr>
              <w:pStyle w:val="TableContents"/>
              <w:bidi w:val="0"/>
              <w:spacing w:before="0" w:after="283"/>
              <w:jc w:val="left"/>
              <w:rPr/>
            </w:pPr>
            <w:r>
              <w:rPr/>
              <w:t>  </w:t>
            </w:r>
          </w:p>
        </w:tc>
        <w:tc>
          <w:tcPr>
            <w:tcW w:w="12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93" w:type="dxa"/>
            <w:tcBorders/>
            <w:vAlign w:val="bottom"/>
          </w:tcPr>
          <w:p>
            <w:pPr>
              <w:pStyle w:val="TableContents"/>
              <w:bidi w:val="0"/>
              <w:spacing w:before="0" w:after="283"/>
              <w:jc w:val="left"/>
              <w:rPr/>
            </w:pPr>
            <w:r>
              <w:rPr/>
              <w:t>  </w:t>
            </w:r>
          </w:p>
        </w:tc>
        <w:tc>
          <w:tcPr>
            <w:tcW w:w="18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6" w:type="dxa"/>
            <w:tcBorders/>
            <w:vAlign w:val="bottom"/>
          </w:tcPr>
          <w:p>
            <w:pPr>
              <w:pStyle w:val="TableContents"/>
              <w:bidi w:val="0"/>
              <w:spacing w:before="0" w:after="283"/>
              <w:jc w:val="left"/>
              <w:rPr/>
            </w:pPr>
            <w:r>
              <w:rPr/>
              <w:t>  </w:t>
            </w:r>
          </w:p>
        </w:tc>
        <w:tc>
          <w:tcPr>
            <w:tcW w:w="20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6" w:type="dxa"/>
            <w:tcBorders/>
            <w:vAlign w:val="bottom"/>
          </w:tcPr>
          <w:p>
            <w:pPr>
              <w:pStyle w:val="TableContents"/>
              <w:bidi w:val="0"/>
              <w:spacing w:before="0" w:after="283"/>
              <w:jc w:val="left"/>
              <w:rPr/>
            </w:pPr>
            <w:r>
              <w:rPr/>
              <w:t>  </w:t>
            </w:r>
          </w:p>
        </w:tc>
        <w:tc>
          <w:tcPr>
            <w:tcW w:w="20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40"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84" w:type="dxa"/>
            <w:tcBorders/>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090" w:type="dxa"/>
            <w:tcBorders/>
          </w:tcPr>
          <w:p>
            <w:pPr>
              <w:pStyle w:val="TableContents"/>
              <w:bidi w:val="0"/>
              <w:spacing w:before="0" w:after="283"/>
              <w:jc w:val="left"/>
              <w:rPr/>
            </w:pPr>
            <w:r>
              <w:rPr/>
              <w:t>pharmaceuticl preparations and substances for the treatment of cancers</w:t>
            </w:r>
          </w:p>
        </w:tc>
        <w:tc>
          <w:tcPr>
            <w:tcW w:w="126" w:type="dxa"/>
            <w:tcBorders/>
            <w:vAlign w:val="bottom"/>
          </w:tcPr>
          <w:p>
            <w:pPr>
              <w:pStyle w:val="TableContents"/>
              <w:bidi w:val="0"/>
              <w:spacing w:before="0" w:after="283"/>
              <w:jc w:val="left"/>
              <w:rPr/>
            </w:pPr>
            <w:r>
              <w:rPr/>
              <w:t>  </w:t>
            </w:r>
          </w:p>
        </w:tc>
        <w:tc>
          <w:tcPr>
            <w:tcW w:w="2064" w:type="dxa"/>
            <w:tcBorders/>
          </w:tcPr>
          <w:p>
            <w:pPr>
              <w:pStyle w:val="TableContents"/>
              <w:bidi w:val="0"/>
              <w:spacing w:before="0" w:after="283"/>
              <w:jc w:val="left"/>
              <w:rPr>
                <w:sz w:val="4"/>
                <w:szCs w:val="4"/>
              </w:rPr>
            </w:pPr>
            <w:r>
              <w:rPr>
                <w:sz w:val="4"/>
                <w:szCs w:val="4"/>
              </w:rPr>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2178" w:type="dxa"/>
            <w:gridSpan w:val="2"/>
            <w:tcBorders/>
            <w:vAlign w:val="center"/>
          </w:tcPr>
          <w:p>
            <w:pPr>
              <w:pStyle w:val="TableContents"/>
              <w:bidi w:val="0"/>
              <w:spacing w:before="0" w:after="283"/>
              <w:jc w:val="left"/>
              <w:rPr>
                <w:sz w:val="4"/>
                <w:szCs w:val="4"/>
              </w:rPr>
            </w:pPr>
            <w:r>
              <w:rPr>
                <w:sz w:val="4"/>
                <w:szCs w:val="4"/>
              </w:rPr>
            </w:r>
          </w:p>
        </w:tc>
        <w:tc>
          <w:tcPr>
            <w:tcW w:w="2216"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6.</w:t>
            </w:r>
          </w:p>
        </w:tc>
        <w:tc>
          <w:tcPr>
            <w:tcW w:w="12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Design Only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1028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10287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SN: 99128432</w:t>
            </w:r>
          </w:p>
        </w:tc>
        <w:tc>
          <w:tcPr>
            <w:tcW w:w="126" w:type="dxa"/>
            <w:tcBorders/>
            <w:vAlign w:val="bottom"/>
          </w:tcPr>
          <w:p>
            <w:pPr>
              <w:pStyle w:val="TableContents"/>
              <w:bidi w:val="0"/>
              <w:spacing w:before="0" w:after="283"/>
              <w:jc w:val="left"/>
              <w:rPr/>
            </w:pPr>
            <w:r>
              <w:rPr/>
              <w:t>  </w:t>
            </w:r>
          </w:p>
        </w:tc>
        <w:tc>
          <w:tcPr>
            <w:tcW w:w="1284" w:type="dxa"/>
            <w:tcBorders/>
          </w:tcPr>
          <w:p>
            <w:pPr>
              <w:pStyle w:val="TableContents"/>
              <w:bidi w:val="0"/>
              <w:spacing w:before="0" w:after="283"/>
              <w:jc w:val="left"/>
              <w:rPr/>
            </w:pPr>
            <w:r>
              <w:rPr/>
              <w:t>United States (Federal)</w:t>
            </w:r>
          </w:p>
        </w:tc>
        <w:tc>
          <w:tcPr>
            <w:tcW w:w="293"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pPr>
            <w:r>
              <w:rPr/>
              <w:t xml:space="preserve">Application pending publication, April 14, 2026 </w:t>
              <w:br/>
              <w:t xml:space="preserve">Office Status: First Extension - Granted </w:t>
              <w:br/>
              <w:t xml:space="preserve">Filed: April 9, 2025 </w:t>
              <w:br/>
              <w:t>Register Type: Principal Register</w:t>
            </w:r>
          </w:p>
        </w:tc>
        <w:tc>
          <w:tcPr>
            <w:tcW w:w="126" w:type="dxa"/>
            <w:tcBorders/>
            <w:vAlign w:val="bottom"/>
          </w:tcPr>
          <w:p>
            <w:pPr>
              <w:pStyle w:val="TableContents"/>
              <w:bidi w:val="0"/>
              <w:spacing w:before="0" w:after="283"/>
              <w:jc w:val="left"/>
              <w:rPr/>
            </w:pPr>
            <w:r>
              <w:rPr/>
              <w:t>  </w:t>
            </w:r>
          </w:p>
        </w:tc>
        <w:tc>
          <w:tcPr>
            <w:tcW w:w="2090" w:type="dxa"/>
            <w:tcBorders/>
          </w:tcPr>
          <w:p>
            <w:pPr>
              <w:pStyle w:val="TableContents"/>
              <w:bidi w:val="0"/>
              <w:spacing w:before="0" w:after="283"/>
              <w:jc w:val="left"/>
              <w:rPr/>
            </w:pPr>
            <w:r>
              <w:rPr/>
              <w:t xml:space="preserve">Int’l Class: 05 </w:t>
              <w:br/>
              <w:t xml:space="preserve">(Int’l Class: 05) </w:t>
              <w:br/>
              <w:t>Pharmaceutical and radiotherapeutic preparations, namely, therapeutic anti-cancer drugs; biopharmaceuticals for the treatment of cancers; pharmaceutical preparations and substances for use in oncology; pharmaceutical preparations and substances for the treatment of cancers</w:t>
            </w:r>
          </w:p>
        </w:tc>
        <w:tc>
          <w:tcPr>
            <w:tcW w:w="126" w:type="dxa"/>
            <w:tcBorders/>
            <w:vAlign w:val="bottom"/>
          </w:tcPr>
          <w:p>
            <w:pPr>
              <w:pStyle w:val="TableContents"/>
              <w:bidi w:val="0"/>
              <w:spacing w:before="0" w:after="283"/>
              <w:jc w:val="left"/>
              <w:rPr/>
            </w:pPr>
            <w:r>
              <w:rPr/>
              <w:t>  </w:t>
            </w:r>
          </w:p>
        </w:tc>
        <w:tc>
          <w:tcPr>
            <w:tcW w:w="2064" w:type="dxa"/>
            <w:tcBorders/>
          </w:tcPr>
          <w:p>
            <w:pPr>
              <w:pStyle w:val="TableContents"/>
              <w:bidi w:val="0"/>
              <w:spacing w:before="0" w:after="283"/>
              <w:jc w:val="left"/>
              <w:rPr/>
            </w:pPr>
            <w:r>
              <w:rPr/>
              <w:t xml:space="preserve">Plus Therapeutics, Inc. (Delaware Corporation) </w:t>
              <w:br/>
              <w:t>2710 Reed Rd, Suite 160, Houston, Texas 77051 United States of America</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071" w:type="dxa"/>
            <w:gridSpan w:val="2"/>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2178" w:type="dxa"/>
            <w:gridSpan w:val="2"/>
            <w:tcBorders/>
            <w:vAlign w:val="center"/>
          </w:tcPr>
          <w:p>
            <w:pPr>
              <w:pStyle w:val="TableContents"/>
              <w:bidi w:val="0"/>
              <w:spacing w:before="0" w:after="283"/>
              <w:jc w:val="left"/>
              <w:rPr>
                <w:sz w:val="4"/>
                <w:szCs w:val="4"/>
              </w:rPr>
            </w:pPr>
            <w:r>
              <w:rPr>
                <w:sz w:val="4"/>
                <w:szCs w:val="4"/>
              </w:rPr>
            </w:r>
          </w:p>
        </w:tc>
        <w:tc>
          <w:tcPr>
            <w:tcW w:w="2216"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7.</w:t>
            </w:r>
          </w:p>
        </w:tc>
        <w:tc>
          <w:tcPr>
            <w:tcW w:w="126"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CNSIDE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 cy="4572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SN: 99112626</w:t>
            </w:r>
          </w:p>
        </w:tc>
        <w:tc>
          <w:tcPr>
            <w:tcW w:w="126" w:type="dxa"/>
            <w:tcBorders/>
            <w:vAlign w:val="bottom"/>
          </w:tcPr>
          <w:p>
            <w:pPr>
              <w:pStyle w:val="TableContents"/>
              <w:bidi w:val="0"/>
              <w:spacing w:before="0" w:after="283"/>
              <w:jc w:val="left"/>
              <w:rPr/>
            </w:pPr>
            <w:r>
              <w:rPr/>
              <w:t>  </w:t>
            </w:r>
          </w:p>
        </w:tc>
        <w:tc>
          <w:tcPr>
            <w:tcW w:w="1284" w:type="dxa"/>
            <w:tcBorders/>
          </w:tcPr>
          <w:p>
            <w:pPr>
              <w:pStyle w:val="TableContents"/>
              <w:bidi w:val="0"/>
              <w:spacing w:before="0" w:after="283"/>
              <w:jc w:val="left"/>
              <w:rPr/>
            </w:pPr>
            <w:r>
              <w:rPr/>
              <w:t>United States (Federal)</w:t>
            </w:r>
          </w:p>
        </w:tc>
        <w:tc>
          <w:tcPr>
            <w:tcW w:w="293"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pPr>
            <w:r>
              <w:rPr/>
              <w:t xml:space="preserve">Application pending publication, August 4, 2026 </w:t>
              <w:br/>
              <w:t xml:space="preserve">Office Status: First Extension - Granted </w:t>
              <w:br/>
              <w:t xml:space="preserve">Filed: March 31, 2025 </w:t>
              <w:br/>
              <w:t>Register Type: Principal Register</w:t>
            </w:r>
          </w:p>
        </w:tc>
        <w:tc>
          <w:tcPr>
            <w:tcW w:w="126" w:type="dxa"/>
            <w:tcBorders/>
            <w:vAlign w:val="bottom"/>
          </w:tcPr>
          <w:p>
            <w:pPr>
              <w:pStyle w:val="TableContents"/>
              <w:bidi w:val="0"/>
              <w:spacing w:before="0" w:after="283"/>
              <w:jc w:val="left"/>
              <w:rPr/>
            </w:pPr>
            <w:r>
              <w:rPr/>
              <w:t>  </w:t>
            </w:r>
          </w:p>
        </w:tc>
        <w:tc>
          <w:tcPr>
            <w:tcW w:w="2090" w:type="dxa"/>
            <w:tcBorders/>
          </w:tcPr>
          <w:p>
            <w:pPr>
              <w:pStyle w:val="TableContents"/>
              <w:bidi w:val="0"/>
              <w:spacing w:before="0" w:after="283"/>
              <w:jc w:val="left"/>
              <w:rPr/>
            </w:pPr>
            <w:r>
              <w:rPr/>
              <w:t xml:space="preserve">Int’l Class: 01, 05, 10, 42, 44 </w:t>
              <w:br/>
              <w:t xml:space="preserve">(Int’l Class: 01) </w:t>
              <w:br/>
              <w:t xml:space="preserve">Diagnostic assays and reagents for clinical or medical laboratory research use </w:t>
              <w:br/>
              <w:t xml:space="preserve">(Int’l Class: 05) </w:t>
              <w:br/>
              <w:t xml:space="preserve">Medical diagnostic kits comprised of assays and reagents for the detection of cancer </w:t>
              <w:br/>
              <w:t xml:space="preserve">(Int’l Class: 10) </w:t>
              <w:br/>
              <w:t xml:space="preserve">Medical diagnostic apparatus for testing bodily fluids </w:t>
              <w:br/>
              <w:t xml:space="preserve">(Int’l Class: 42) </w:t>
              <w:br/>
              <w:t>Diagnostic testing for medical research and development in the field of oncology; scientific research in the nature of conducting clinical trials for others; clinical laboratory services being medical research laboratory</w:t>
            </w:r>
          </w:p>
        </w:tc>
        <w:tc>
          <w:tcPr>
            <w:tcW w:w="126" w:type="dxa"/>
            <w:tcBorders/>
            <w:vAlign w:val="bottom"/>
          </w:tcPr>
          <w:p>
            <w:pPr>
              <w:pStyle w:val="TableContents"/>
              <w:bidi w:val="0"/>
              <w:spacing w:before="0" w:after="283"/>
              <w:jc w:val="left"/>
              <w:rPr/>
            </w:pPr>
            <w:r>
              <w:rPr/>
              <w:t>  </w:t>
            </w:r>
          </w:p>
        </w:tc>
        <w:tc>
          <w:tcPr>
            <w:tcW w:w="2064" w:type="dxa"/>
            <w:tcBorders/>
          </w:tcPr>
          <w:p>
            <w:pPr>
              <w:pStyle w:val="TableContents"/>
              <w:bidi w:val="0"/>
              <w:spacing w:before="0" w:after="283"/>
              <w:jc w:val="left"/>
              <w:rPr/>
            </w:pPr>
            <w:r>
              <w:rPr/>
              <w:t xml:space="preserve">Cnside Diagnostics, LLC (Delaware Limited Liability Company) </w:t>
              <w:br/>
              <w:t>2710 Reed Rd, Suite 160, Houston, Texas 77051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39"/>
        <w:gridCol w:w="129"/>
        <w:gridCol w:w="1573"/>
        <w:gridCol w:w="129"/>
        <w:gridCol w:w="1063"/>
        <w:gridCol w:w="398"/>
        <w:gridCol w:w="2316"/>
        <w:gridCol w:w="129"/>
        <w:gridCol w:w="2127"/>
        <w:gridCol w:w="129"/>
        <w:gridCol w:w="2073"/>
      </w:tblGrid>
      <w:tr>
        <w:trPr/>
        <w:tc>
          <w:tcPr>
            <w:tcW w:w="13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1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9" w:type="dxa"/>
            <w:tcBorders/>
            <w:vAlign w:val="bottom"/>
          </w:tcPr>
          <w:p>
            <w:pPr>
              <w:pStyle w:val="TableContents"/>
              <w:bidi w:val="0"/>
              <w:spacing w:before="0" w:after="283"/>
              <w:jc w:val="left"/>
              <w:rPr/>
            </w:pPr>
            <w:r>
              <w:rPr/>
              <w:t>  </w:t>
            </w:r>
          </w:p>
        </w:tc>
        <w:tc>
          <w:tcPr>
            <w:tcW w:w="15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9" w:type="dxa"/>
            <w:tcBorders/>
            <w:vAlign w:val="bottom"/>
          </w:tcPr>
          <w:p>
            <w:pPr>
              <w:pStyle w:val="TableContents"/>
              <w:bidi w:val="0"/>
              <w:spacing w:before="0" w:after="283"/>
              <w:jc w:val="left"/>
              <w:rPr/>
            </w:pPr>
            <w:r>
              <w:rPr/>
              <w:t>  </w:t>
            </w:r>
          </w:p>
        </w:tc>
        <w:tc>
          <w:tcPr>
            <w:tcW w:w="10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98" w:type="dxa"/>
            <w:tcBorders/>
            <w:vAlign w:val="bottom"/>
          </w:tcPr>
          <w:p>
            <w:pPr>
              <w:pStyle w:val="TableContents"/>
              <w:bidi w:val="0"/>
              <w:spacing w:before="0" w:after="283"/>
              <w:jc w:val="left"/>
              <w:rPr/>
            </w:pPr>
            <w:r>
              <w:rPr/>
              <w:t>  </w:t>
            </w:r>
          </w:p>
        </w:tc>
        <w:tc>
          <w:tcPr>
            <w:tcW w:w="23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9" w:type="dxa"/>
            <w:tcBorders/>
            <w:vAlign w:val="bottom"/>
          </w:tcPr>
          <w:p>
            <w:pPr>
              <w:pStyle w:val="TableContents"/>
              <w:bidi w:val="0"/>
              <w:spacing w:before="0" w:after="283"/>
              <w:jc w:val="left"/>
              <w:rPr/>
            </w:pPr>
            <w:r>
              <w:rPr/>
              <w:t>  </w:t>
            </w:r>
          </w:p>
        </w:tc>
        <w:tc>
          <w:tcPr>
            <w:tcW w:w="21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9" w:type="dxa"/>
            <w:tcBorders/>
            <w:vAlign w:val="bottom"/>
          </w:tcPr>
          <w:p>
            <w:pPr>
              <w:pStyle w:val="TableContents"/>
              <w:bidi w:val="0"/>
              <w:spacing w:before="0" w:after="283"/>
              <w:jc w:val="left"/>
              <w:rPr/>
            </w:pPr>
            <w:r>
              <w:rPr/>
              <w:t>  </w:t>
            </w:r>
          </w:p>
        </w:tc>
        <w:tc>
          <w:tcPr>
            <w:tcW w:w="20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39"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63" w:type="dxa"/>
            <w:tcBorders/>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316"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127" w:type="dxa"/>
            <w:tcBorders/>
          </w:tcPr>
          <w:p>
            <w:pPr>
              <w:pStyle w:val="TableContents"/>
              <w:bidi w:val="0"/>
              <w:spacing w:before="0" w:after="283"/>
              <w:jc w:val="left"/>
              <w:rPr/>
            </w:pPr>
            <w:r>
              <w:rPr/>
              <w:t xml:space="preserve">services </w:t>
              <w:br/>
              <w:t xml:space="preserve">(Int’l Class: 44) </w:t>
              <w:br/>
              <w:t>Medical diagnostic testing services relating to the detection of cancer; predictive medical analysis services relating to the selection of treatments for cancer; medical diagnostic screening and analysis for the treatment of persons; medical diagnostic testing through isolation and extraction of cells for analysis; medical diagnostic testing and medical analysis services related to the treatment of patients in the field of oncology</w:t>
            </w:r>
          </w:p>
        </w:tc>
        <w:tc>
          <w:tcPr>
            <w:tcW w:w="129"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left"/>
              <w:rPr>
                <w:sz w:val="4"/>
                <w:szCs w:val="4"/>
              </w:rPr>
            </w:pPr>
            <w:r>
              <w:rPr>
                <w:sz w:val="4"/>
                <w:szCs w:val="4"/>
              </w:rPr>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1702" w:type="dxa"/>
            <w:gridSpan w:val="2"/>
            <w:tcBorders/>
            <w:vAlign w:val="center"/>
          </w:tcPr>
          <w:p>
            <w:pPr>
              <w:pStyle w:val="TableContents"/>
              <w:bidi w:val="0"/>
              <w:spacing w:before="0" w:after="283"/>
              <w:jc w:val="left"/>
              <w:rPr>
                <w:sz w:val="4"/>
                <w:szCs w:val="4"/>
              </w:rPr>
            </w:pPr>
            <w:r>
              <w:rPr>
                <w:sz w:val="4"/>
                <w:szCs w:val="4"/>
              </w:rPr>
            </w:r>
          </w:p>
        </w:tc>
        <w:tc>
          <w:tcPr>
            <w:tcW w:w="1192" w:type="dxa"/>
            <w:gridSpan w:val="2"/>
            <w:tcBorders/>
            <w:vAlign w:val="center"/>
          </w:tcPr>
          <w:p>
            <w:pPr>
              <w:pStyle w:val="TableContents"/>
              <w:bidi w:val="0"/>
              <w:spacing w:before="0" w:after="283"/>
              <w:jc w:val="left"/>
              <w:rPr>
                <w:sz w:val="4"/>
                <w:szCs w:val="4"/>
              </w:rPr>
            </w:pPr>
            <w:r>
              <w:rPr>
                <w:sz w:val="4"/>
                <w:szCs w:val="4"/>
              </w:rPr>
            </w:r>
          </w:p>
        </w:tc>
        <w:tc>
          <w:tcPr>
            <w:tcW w:w="2714" w:type="dxa"/>
            <w:gridSpan w:val="2"/>
            <w:tcBorders/>
            <w:vAlign w:val="center"/>
          </w:tcPr>
          <w:p>
            <w:pPr>
              <w:pStyle w:val="TableContents"/>
              <w:bidi w:val="0"/>
              <w:spacing w:before="0" w:after="283"/>
              <w:jc w:val="left"/>
              <w:rPr>
                <w:sz w:val="4"/>
                <w:szCs w:val="4"/>
              </w:rPr>
            </w:pPr>
            <w:r>
              <w:rPr>
                <w:sz w:val="4"/>
                <w:szCs w:val="4"/>
              </w:rPr>
            </w:r>
          </w:p>
        </w:tc>
        <w:tc>
          <w:tcPr>
            <w:tcW w:w="2256" w:type="dxa"/>
            <w:gridSpan w:val="2"/>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8.</w:t>
            </w:r>
          </w:p>
        </w:tc>
        <w:tc>
          <w:tcPr>
            <w:tcW w:w="129"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CEE-SURE</w:t>
            </w:r>
          </w:p>
          <w:p>
            <w:pPr>
              <w:pStyle w:val="TableContents"/>
              <w:bidi w:val="0"/>
              <w:spacing w:before="0" w:after="0"/>
              <w:jc w:val="left"/>
              <w:rPr>
                <w:rFonts w:ascii="Times New Roman" w:hAnsi="Times New Roman"/>
                <w:sz w:val="20"/>
              </w:rPr>
            </w:pPr>
            <w:r>
              <w:rPr>
                <w:rFonts w:ascii="Times New Roman" w:hAnsi="Times New Roman"/>
                <w:sz w:val="20"/>
              </w:rPr>
              <w:t>RN: 6511282</w:t>
            </w:r>
          </w:p>
          <w:p>
            <w:pPr>
              <w:pStyle w:val="TableContents"/>
              <w:bidi w:val="0"/>
              <w:spacing w:before="0" w:after="20"/>
              <w:jc w:val="left"/>
              <w:rPr>
                <w:rFonts w:ascii="Times New Roman" w:hAnsi="Times New Roman"/>
                <w:sz w:val="20"/>
              </w:rPr>
            </w:pPr>
            <w:r>
              <w:rPr>
                <w:rFonts w:ascii="Times New Roman" w:hAnsi="Times New Roman"/>
                <w:sz w:val="20"/>
              </w:rPr>
              <w:t>SN: 90453783</w:t>
            </w:r>
          </w:p>
        </w:tc>
        <w:tc>
          <w:tcPr>
            <w:tcW w:w="129" w:type="dxa"/>
            <w:tcBorders/>
            <w:vAlign w:val="bottom"/>
          </w:tcPr>
          <w:p>
            <w:pPr>
              <w:pStyle w:val="TableContents"/>
              <w:bidi w:val="0"/>
              <w:spacing w:before="0" w:after="283"/>
              <w:jc w:val="left"/>
              <w:rPr/>
            </w:pPr>
            <w:r>
              <w:rPr/>
              <w:t>  </w:t>
            </w:r>
          </w:p>
        </w:tc>
        <w:tc>
          <w:tcPr>
            <w:tcW w:w="1063" w:type="dxa"/>
            <w:tcBorders/>
          </w:tcPr>
          <w:p>
            <w:pPr>
              <w:pStyle w:val="TableContents"/>
              <w:bidi w:val="0"/>
              <w:spacing w:before="0" w:after="283"/>
              <w:jc w:val="left"/>
              <w:rPr/>
            </w:pPr>
            <w:r>
              <w:rPr/>
              <w:t>United States (Federal)</w:t>
            </w:r>
          </w:p>
        </w:tc>
        <w:tc>
          <w:tcPr>
            <w:tcW w:w="398" w:type="dxa"/>
            <w:tcBorders/>
            <w:vAlign w:val="bottom"/>
          </w:tcPr>
          <w:p>
            <w:pPr>
              <w:pStyle w:val="TableContents"/>
              <w:bidi w:val="0"/>
              <w:spacing w:before="0" w:after="283"/>
              <w:jc w:val="left"/>
              <w:rPr/>
            </w:pPr>
            <w:r>
              <w:rPr/>
              <w:t>  </w:t>
            </w:r>
          </w:p>
        </w:tc>
        <w:tc>
          <w:tcPr>
            <w:tcW w:w="2316" w:type="dxa"/>
            <w:tcBorders/>
          </w:tcPr>
          <w:p>
            <w:pPr>
              <w:pStyle w:val="TableContents"/>
              <w:bidi w:val="0"/>
              <w:spacing w:before="0" w:after="283"/>
              <w:jc w:val="left"/>
              <w:rPr/>
            </w:pPr>
            <w:r>
              <w:rPr/>
              <w:t xml:space="preserve">Registered, October 5, 2021 </w:t>
              <w:br/>
              <w:t xml:space="preserve">Office Status: Registered </w:t>
              <w:br/>
              <w:t xml:space="preserve">Int’l Class: 10 </w:t>
              <w:br/>
              <w:t xml:space="preserve">First Use: January, 2011 </w:t>
              <w:br/>
              <w:t xml:space="preserve">Filed: January 7, 2021 </w:t>
              <w:br/>
              <w:t xml:space="preserve">Registered: October 5, 2021 </w:t>
              <w:br/>
              <w:t>Register Type: Principal Register</w:t>
            </w:r>
          </w:p>
        </w:tc>
        <w:tc>
          <w:tcPr>
            <w:tcW w:w="129" w:type="dxa"/>
            <w:tcBorders/>
            <w:vAlign w:val="bottom"/>
          </w:tcPr>
          <w:p>
            <w:pPr>
              <w:pStyle w:val="TableContents"/>
              <w:bidi w:val="0"/>
              <w:spacing w:before="0" w:after="283"/>
              <w:jc w:val="left"/>
              <w:rPr/>
            </w:pPr>
            <w:r>
              <w:rPr/>
              <w:t>  </w:t>
            </w:r>
          </w:p>
        </w:tc>
        <w:tc>
          <w:tcPr>
            <w:tcW w:w="2127" w:type="dxa"/>
            <w:tcBorders/>
          </w:tcPr>
          <w:p>
            <w:pPr>
              <w:pStyle w:val="TableContents"/>
              <w:bidi w:val="0"/>
              <w:spacing w:before="0" w:after="283"/>
              <w:jc w:val="left"/>
              <w:rPr/>
            </w:pPr>
            <w:r>
              <w:rPr/>
              <w:t xml:space="preserve">Int’l Class: 10 </w:t>
              <w:br/>
              <w:t xml:space="preserve">(Int’l Class: 10) </w:t>
              <w:br/>
              <w:t>Blood testing apparatus, namely, blood collection tubes</w:t>
            </w:r>
          </w:p>
        </w:tc>
        <w:tc>
          <w:tcPr>
            <w:tcW w:w="129"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left"/>
              <w:rPr/>
            </w:pPr>
            <w:r>
              <w:rPr/>
              <w:t xml:space="preserve">Plus Therapeutics, Inc. (Delaware Corporation) </w:t>
              <w:br/>
              <w:t>2710 Reed Rd, Suite 160, Houston, Texas 77051 United States of America</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1702" w:type="dxa"/>
            <w:gridSpan w:val="2"/>
            <w:tcBorders/>
            <w:vAlign w:val="center"/>
          </w:tcPr>
          <w:p>
            <w:pPr>
              <w:pStyle w:val="TableContents"/>
              <w:bidi w:val="0"/>
              <w:spacing w:before="0" w:after="283"/>
              <w:jc w:val="left"/>
              <w:rPr>
                <w:sz w:val="4"/>
                <w:szCs w:val="4"/>
              </w:rPr>
            </w:pPr>
            <w:r>
              <w:rPr>
                <w:sz w:val="4"/>
                <w:szCs w:val="4"/>
              </w:rPr>
            </w:r>
          </w:p>
        </w:tc>
        <w:tc>
          <w:tcPr>
            <w:tcW w:w="1192" w:type="dxa"/>
            <w:gridSpan w:val="2"/>
            <w:tcBorders/>
            <w:vAlign w:val="center"/>
          </w:tcPr>
          <w:p>
            <w:pPr>
              <w:pStyle w:val="TableContents"/>
              <w:bidi w:val="0"/>
              <w:spacing w:before="0" w:after="283"/>
              <w:jc w:val="left"/>
              <w:rPr>
                <w:sz w:val="4"/>
                <w:szCs w:val="4"/>
              </w:rPr>
            </w:pPr>
            <w:r>
              <w:rPr>
                <w:sz w:val="4"/>
                <w:szCs w:val="4"/>
              </w:rPr>
            </w:r>
          </w:p>
        </w:tc>
        <w:tc>
          <w:tcPr>
            <w:tcW w:w="2714" w:type="dxa"/>
            <w:gridSpan w:val="2"/>
            <w:tcBorders/>
            <w:vAlign w:val="center"/>
          </w:tcPr>
          <w:p>
            <w:pPr>
              <w:pStyle w:val="TableContents"/>
              <w:bidi w:val="0"/>
              <w:spacing w:before="0" w:after="283"/>
              <w:jc w:val="left"/>
              <w:rPr>
                <w:sz w:val="4"/>
                <w:szCs w:val="4"/>
              </w:rPr>
            </w:pPr>
            <w:r>
              <w:rPr>
                <w:sz w:val="4"/>
                <w:szCs w:val="4"/>
              </w:rPr>
            </w:r>
          </w:p>
        </w:tc>
        <w:tc>
          <w:tcPr>
            <w:tcW w:w="2256" w:type="dxa"/>
            <w:gridSpan w:val="2"/>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9.</w:t>
            </w:r>
          </w:p>
        </w:tc>
        <w:tc>
          <w:tcPr>
            <w:tcW w:w="129"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CNSIDE</w:t>
            </w:r>
          </w:p>
          <w:p>
            <w:pPr>
              <w:pStyle w:val="TableContents"/>
              <w:bidi w:val="0"/>
              <w:spacing w:before="0" w:after="0"/>
              <w:jc w:val="left"/>
              <w:rPr>
                <w:rFonts w:ascii="Times New Roman" w:hAnsi="Times New Roman"/>
                <w:sz w:val="20"/>
              </w:rPr>
            </w:pPr>
            <w:r>
              <w:rPr>
                <w:rFonts w:ascii="Times New Roman" w:hAnsi="Times New Roman"/>
                <w:sz w:val="20"/>
              </w:rPr>
              <w:t>RN: 6616822</w:t>
            </w:r>
          </w:p>
          <w:p>
            <w:pPr>
              <w:pStyle w:val="TableContents"/>
              <w:bidi w:val="0"/>
              <w:spacing w:before="0" w:after="20"/>
              <w:jc w:val="left"/>
              <w:rPr>
                <w:rFonts w:ascii="Times New Roman" w:hAnsi="Times New Roman"/>
                <w:sz w:val="20"/>
              </w:rPr>
            </w:pPr>
            <w:r>
              <w:rPr>
                <w:rFonts w:ascii="Times New Roman" w:hAnsi="Times New Roman"/>
                <w:sz w:val="20"/>
              </w:rPr>
              <w:t>SN: 90383127</w:t>
            </w:r>
          </w:p>
        </w:tc>
        <w:tc>
          <w:tcPr>
            <w:tcW w:w="129" w:type="dxa"/>
            <w:tcBorders/>
            <w:vAlign w:val="bottom"/>
          </w:tcPr>
          <w:p>
            <w:pPr>
              <w:pStyle w:val="TableContents"/>
              <w:bidi w:val="0"/>
              <w:spacing w:before="0" w:after="283"/>
              <w:jc w:val="left"/>
              <w:rPr/>
            </w:pPr>
            <w:r>
              <w:rPr/>
              <w:t>  </w:t>
            </w:r>
          </w:p>
        </w:tc>
        <w:tc>
          <w:tcPr>
            <w:tcW w:w="1063" w:type="dxa"/>
            <w:tcBorders/>
          </w:tcPr>
          <w:p>
            <w:pPr>
              <w:pStyle w:val="TableContents"/>
              <w:bidi w:val="0"/>
              <w:spacing w:before="0" w:after="283"/>
              <w:jc w:val="left"/>
              <w:rPr/>
            </w:pPr>
            <w:r>
              <w:rPr/>
              <w:t>United States (Federal)</w:t>
            </w:r>
          </w:p>
        </w:tc>
        <w:tc>
          <w:tcPr>
            <w:tcW w:w="398" w:type="dxa"/>
            <w:tcBorders/>
            <w:vAlign w:val="bottom"/>
          </w:tcPr>
          <w:p>
            <w:pPr>
              <w:pStyle w:val="TableContents"/>
              <w:bidi w:val="0"/>
              <w:spacing w:before="0" w:after="283"/>
              <w:jc w:val="left"/>
              <w:rPr/>
            </w:pPr>
            <w:r>
              <w:rPr/>
              <w:t>  </w:t>
            </w:r>
          </w:p>
        </w:tc>
        <w:tc>
          <w:tcPr>
            <w:tcW w:w="2316" w:type="dxa"/>
            <w:tcBorders/>
          </w:tcPr>
          <w:p>
            <w:pPr>
              <w:pStyle w:val="TableContents"/>
              <w:bidi w:val="0"/>
              <w:spacing w:before="0" w:after="283"/>
              <w:jc w:val="left"/>
              <w:rPr/>
            </w:pPr>
            <w:r>
              <w:rPr/>
              <w:t xml:space="preserve">Registered, January 11, 2022 </w:t>
              <w:br/>
              <w:t xml:space="preserve">Office Status: Registered </w:t>
              <w:br/>
              <w:t xml:space="preserve">Int’l Class: 44 </w:t>
              <w:br/>
              <w:t xml:space="preserve">First Use: April 21, 2021 </w:t>
              <w:br/>
              <w:t xml:space="preserve">Filed: December 15, 2020 </w:t>
              <w:br/>
              <w:t xml:space="preserve">Registered: January 11, 2022 </w:t>
            </w:r>
          </w:p>
        </w:tc>
        <w:tc>
          <w:tcPr>
            <w:tcW w:w="129" w:type="dxa"/>
            <w:tcBorders/>
            <w:vAlign w:val="bottom"/>
          </w:tcPr>
          <w:p>
            <w:pPr>
              <w:pStyle w:val="TableContents"/>
              <w:bidi w:val="0"/>
              <w:spacing w:before="0" w:after="283"/>
              <w:jc w:val="left"/>
              <w:rPr/>
            </w:pPr>
            <w:r>
              <w:rPr/>
              <w:t>  </w:t>
            </w:r>
          </w:p>
        </w:tc>
        <w:tc>
          <w:tcPr>
            <w:tcW w:w="2127" w:type="dxa"/>
            <w:tcBorders/>
          </w:tcPr>
          <w:p>
            <w:pPr>
              <w:pStyle w:val="TableContents"/>
              <w:bidi w:val="0"/>
              <w:spacing w:before="0" w:after="283"/>
              <w:jc w:val="left"/>
              <w:rPr/>
            </w:pPr>
            <w:r>
              <w:rPr/>
              <w:t xml:space="preserve">Int’l Class: 44 </w:t>
              <w:br/>
              <w:t xml:space="preserve">(Int’l Class: 44) </w:t>
              <w:br/>
              <w:t>Medical diagnostic testing services relating to the detection of cancer; predictive medical analysis services relating to the selection of treatments for cancer; medical diagnostic screening and analysis for the treatment of persons; medical diagnostic testing</w:t>
            </w:r>
          </w:p>
        </w:tc>
        <w:tc>
          <w:tcPr>
            <w:tcW w:w="129"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left"/>
              <w:rPr/>
            </w:pPr>
            <w:r>
              <w:rPr/>
              <w:t xml:space="preserve">Cnside Diagnostics, LLC (Delaware Limited Liability Company) </w:t>
              <w:br/>
              <w:t>2710 Reed Rd, Suite 160, Houston, Texas 77051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6"/>
        <w:gridCol w:w="126"/>
        <w:gridCol w:w="1938"/>
        <w:gridCol w:w="126"/>
        <w:gridCol w:w="1281"/>
        <w:gridCol w:w="289"/>
        <w:gridCol w:w="1795"/>
        <w:gridCol w:w="126"/>
        <w:gridCol w:w="2076"/>
        <w:gridCol w:w="126"/>
        <w:gridCol w:w="2056"/>
      </w:tblGrid>
      <w:tr>
        <w:trPr/>
        <w:tc>
          <w:tcPr>
            <w:tcW w:w="26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9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6" w:type="dxa"/>
            <w:tcBorders/>
            <w:vAlign w:val="bottom"/>
          </w:tcPr>
          <w:p>
            <w:pPr>
              <w:pStyle w:val="TableContents"/>
              <w:bidi w:val="0"/>
              <w:spacing w:before="0" w:after="283"/>
              <w:jc w:val="left"/>
              <w:rPr/>
            </w:pPr>
            <w:r>
              <w:rPr/>
              <w:t>  </w:t>
            </w:r>
          </w:p>
        </w:tc>
        <w:tc>
          <w:tcPr>
            <w:tcW w:w="12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89" w:type="dxa"/>
            <w:tcBorders/>
            <w:vAlign w:val="bottom"/>
          </w:tcPr>
          <w:p>
            <w:pPr>
              <w:pStyle w:val="TableContents"/>
              <w:bidi w:val="0"/>
              <w:spacing w:before="0" w:after="283"/>
              <w:jc w:val="left"/>
              <w:rPr/>
            </w:pPr>
            <w:r>
              <w:rPr/>
              <w:t>  </w:t>
            </w:r>
          </w:p>
        </w:tc>
        <w:tc>
          <w:tcPr>
            <w:tcW w:w="17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6" w:type="dxa"/>
            <w:tcBorders/>
            <w:vAlign w:val="bottom"/>
          </w:tcPr>
          <w:p>
            <w:pPr>
              <w:pStyle w:val="TableContents"/>
              <w:bidi w:val="0"/>
              <w:spacing w:before="0" w:after="283"/>
              <w:jc w:val="left"/>
              <w:rPr/>
            </w:pPr>
            <w:r>
              <w:rPr/>
              <w:t>  </w:t>
            </w:r>
          </w:p>
        </w:tc>
        <w:tc>
          <w:tcPr>
            <w:tcW w:w="20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6" w:type="dxa"/>
            <w:tcBorders/>
            <w:vAlign w:val="bottom"/>
          </w:tcPr>
          <w:p>
            <w:pPr>
              <w:pStyle w:val="TableContents"/>
              <w:bidi w:val="0"/>
              <w:spacing w:before="0" w:after="283"/>
              <w:jc w:val="left"/>
              <w:rPr/>
            </w:pPr>
            <w:r>
              <w:rPr/>
              <w:t>  </w:t>
            </w:r>
          </w:p>
        </w:tc>
        <w:tc>
          <w:tcPr>
            <w:tcW w:w="20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81"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95" w:type="dxa"/>
            <w:tcBorders/>
          </w:tcPr>
          <w:p>
            <w:pPr>
              <w:pStyle w:val="TableContents"/>
              <w:bidi w:val="0"/>
              <w:spacing w:before="0" w:after="283"/>
              <w:jc w:val="left"/>
              <w:rPr/>
            </w:pPr>
            <w:r>
              <w:rPr/>
              <w:t>Register Type: Principal Register</w:t>
            </w:r>
          </w:p>
        </w:tc>
        <w:tc>
          <w:tcPr>
            <w:tcW w:w="126"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0"/>
              <w:jc w:val="left"/>
              <w:rPr>
                <w:rFonts w:ascii="Times New Roman" w:hAnsi="Times New Roman"/>
                <w:sz w:val="20"/>
              </w:rPr>
            </w:pPr>
            <w:r>
              <w:rPr>
                <w:rFonts w:ascii="Times New Roman" w:hAnsi="Times New Roman"/>
                <w:sz w:val="20"/>
              </w:rPr>
              <w:t>through isolation and extraction of cells for analysis; medical diagnostic testing and medical analysis services related to the treatment of patients in the oncology field</w:t>
            </w:r>
          </w:p>
        </w:tc>
        <w:tc>
          <w:tcPr>
            <w:tcW w:w="126"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left"/>
              <w:rPr>
                <w:sz w:val="4"/>
                <w:szCs w:val="4"/>
              </w:rPr>
            </w:pPr>
            <w:r>
              <w:rPr>
                <w:sz w:val="4"/>
                <w:szCs w:val="4"/>
              </w:rPr>
            </w:r>
          </w:p>
        </w:tc>
      </w:tr>
      <w:tr>
        <w:trPr>
          <w:trHeight w:val="120" w:hRule="atLeast"/>
        </w:trPr>
        <w:tc>
          <w:tcPr>
            <w:tcW w:w="266" w:type="dxa"/>
            <w:tcBorders/>
            <w:vAlign w:val="center"/>
          </w:tcPr>
          <w:p>
            <w:pPr>
              <w:pStyle w:val="TableContents"/>
              <w:bidi w:val="0"/>
              <w:spacing w:before="0" w:after="283"/>
              <w:jc w:val="left"/>
              <w:rPr>
                <w:sz w:val="4"/>
                <w:szCs w:val="4"/>
              </w:rPr>
            </w:pPr>
            <w:r>
              <w:rPr>
                <w:sz w:val="4"/>
                <w:szCs w:val="4"/>
              </w:rPr>
            </w:r>
          </w:p>
        </w:tc>
        <w:tc>
          <w:tcPr>
            <w:tcW w:w="2064" w:type="dxa"/>
            <w:gridSpan w:val="2"/>
            <w:tcBorders/>
            <w:vAlign w:val="center"/>
          </w:tcPr>
          <w:p>
            <w:pPr>
              <w:pStyle w:val="TableContents"/>
              <w:bidi w:val="0"/>
              <w:spacing w:before="0" w:after="283"/>
              <w:jc w:val="left"/>
              <w:rPr>
                <w:sz w:val="4"/>
                <w:szCs w:val="4"/>
              </w:rPr>
            </w:pPr>
            <w:r>
              <w:rPr>
                <w:sz w:val="4"/>
                <w:szCs w:val="4"/>
              </w:rPr>
            </w:r>
          </w:p>
        </w:tc>
        <w:tc>
          <w:tcPr>
            <w:tcW w:w="1407" w:type="dxa"/>
            <w:gridSpan w:val="2"/>
            <w:tcBorders/>
            <w:vAlign w:val="center"/>
          </w:tcPr>
          <w:p>
            <w:pPr>
              <w:pStyle w:val="TableContents"/>
              <w:bidi w:val="0"/>
              <w:spacing w:before="0" w:after="283"/>
              <w:jc w:val="left"/>
              <w:rPr>
                <w:sz w:val="4"/>
                <w:szCs w:val="4"/>
              </w:rPr>
            </w:pPr>
            <w:r>
              <w:rPr>
                <w:sz w:val="4"/>
                <w:szCs w:val="4"/>
              </w:rPr>
            </w:r>
          </w:p>
        </w:tc>
        <w:tc>
          <w:tcPr>
            <w:tcW w:w="2084" w:type="dxa"/>
            <w:gridSpan w:val="2"/>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tcPr>
          <w:p>
            <w:pPr>
              <w:pStyle w:val="TableContents"/>
              <w:bidi w:val="0"/>
              <w:spacing w:before="0" w:after="283"/>
              <w:jc w:val="left"/>
              <w:rPr/>
            </w:pPr>
            <w:r>
              <w:rPr/>
              <w:t>10.</w:t>
            </w:r>
          </w:p>
        </w:tc>
        <w:tc>
          <w:tcPr>
            <w:tcW w:w="126"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RESPECT</w:t>
            </w:r>
          </w:p>
          <w:p>
            <w:pPr>
              <w:pStyle w:val="TableContents"/>
              <w:bidi w:val="0"/>
              <w:spacing w:before="0" w:after="0"/>
              <w:jc w:val="left"/>
              <w:rPr>
                <w:rFonts w:ascii="Times New Roman" w:hAnsi="Times New Roman"/>
                <w:sz w:val="20"/>
              </w:rPr>
            </w:pPr>
            <w:r>
              <w:rPr>
                <w:rFonts w:ascii="Times New Roman" w:hAnsi="Times New Roman"/>
                <w:sz w:val="20"/>
              </w:rPr>
              <w:t>RN: 7316565</w:t>
            </w:r>
          </w:p>
          <w:p>
            <w:pPr>
              <w:pStyle w:val="TableContents"/>
              <w:bidi w:val="0"/>
              <w:spacing w:before="0" w:after="20"/>
              <w:jc w:val="left"/>
              <w:rPr>
                <w:rFonts w:ascii="Times New Roman" w:hAnsi="Times New Roman"/>
                <w:sz w:val="20"/>
              </w:rPr>
            </w:pPr>
            <w:r>
              <w:rPr>
                <w:rFonts w:ascii="Times New Roman" w:hAnsi="Times New Roman"/>
                <w:sz w:val="20"/>
              </w:rPr>
              <w:t>SN: 90054951</w:t>
            </w:r>
          </w:p>
        </w:tc>
        <w:tc>
          <w:tcPr>
            <w:tcW w:w="126" w:type="dxa"/>
            <w:tcBorders/>
            <w:vAlign w:val="bottom"/>
          </w:tcPr>
          <w:p>
            <w:pPr>
              <w:pStyle w:val="TableContents"/>
              <w:bidi w:val="0"/>
              <w:spacing w:before="0" w:after="283"/>
              <w:jc w:val="left"/>
              <w:rPr/>
            </w:pPr>
            <w:r>
              <w:rPr/>
              <w:t>  </w:t>
            </w:r>
          </w:p>
        </w:tc>
        <w:tc>
          <w:tcPr>
            <w:tcW w:w="1281" w:type="dxa"/>
            <w:tcBorders/>
          </w:tcPr>
          <w:p>
            <w:pPr>
              <w:pStyle w:val="TableContents"/>
              <w:bidi w:val="0"/>
              <w:spacing w:before="0" w:after="283"/>
              <w:jc w:val="left"/>
              <w:rPr/>
            </w:pPr>
            <w:r>
              <w:rPr/>
              <w:t>United States (Federal)</w:t>
            </w:r>
          </w:p>
        </w:tc>
        <w:tc>
          <w:tcPr>
            <w:tcW w:w="289" w:type="dxa"/>
            <w:tcBorders/>
            <w:vAlign w:val="bottom"/>
          </w:tcPr>
          <w:p>
            <w:pPr>
              <w:pStyle w:val="TableContents"/>
              <w:bidi w:val="0"/>
              <w:spacing w:before="0" w:after="283"/>
              <w:jc w:val="left"/>
              <w:rPr/>
            </w:pPr>
            <w:r>
              <w:rPr/>
              <w:t>  </w:t>
            </w:r>
          </w:p>
        </w:tc>
        <w:tc>
          <w:tcPr>
            <w:tcW w:w="1795" w:type="dxa"/>
            <w:tcBorders/>
          </w:tcPr>
          <w:p>
            <w:pPr>
              <w:pStyle w:val="TableContents"/>
              <w:bidi w:val="0"/>
              <w:spacing w:before="0" w:after="283"/>
              <w:jc w:val="left"/>
              <w:rPr/>
            </w:pPr>
            <w:r>
              <w:rPr/>
              <w:t xml:space="preserve">Registered, February 27, 2024 </w:t>
              <w:br/>
              <w:t xml:space="preserve">Office Status: Registered </w:t>
              <w:br/>
              <w:t xml:space="preserve">Int’l Class: 44 </w:t>
              <w:br/>
              <w:t xml:space="preserve">First Use: July 28, 2020 </w:t>
              <w:br/>
              <w:t xml:space="preserve">Filed: July 15, 2020 </w:t>
              <w:br/>
              <w:t xml:space="preserve">Registered: February 27, 2024 </w:t>
              <w:br/>
              <w:t>Register Type: Principal Register</w:t>
            </w:r>
          </w:p>
        </w:tc>
        <w:tc>
          <w:tcPr>
            <w:tcW w:w="126"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left"/>
              <w:rPr/>
            </w:pPr>
            <w:r>
              <w:rPr/>
              <w:t xml:space="preserve">Int’l Class: 44 </w:t>
              <w:br/>
              <w:t xml:space="preserve">(Int’l Class: 44) </w:t>
              <w:br/>
              <w:t>medical information; providing medical information relating to oncology; providing medical information from a website relating to clinical trials of radiotherapeutic products</w:t>
            </w:r>
          </w:p>
        </w:tc>
        <w:tc>
          <w:tcPr>
            <w:tcW w:w="126"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left"/>
              <w:rPr/>
            </w:pPr>
            <w:r>
              <w:rPr/>
              <w:t xml:space="preserve">Plus Therapeutics, Inc. (Delaware Corporation) </w:t>
              <w:br/>
              <w:t>4200 Marathon Blvd., Suite 200, AUSTIN, Texas 78756 United States of America</w:t>
            </w:r>
          </w:p>
        </w:tc>
      </w:tr>
      <w:tr>
        <w:trPr>
          <w:trHeight w:val="120" w:hRule="atLeast"/>
        </w:trPr>
        <w:tc>
          <w:tcPr>
            <w:tcW w:w="266" w:type="dxa"/>
            <w:tcBorders/>
            <w:vAlign w:val="center"/>
          </w:tcPr>
          <w:p>
            <w:pPr>
              <w:pStyle w:val="TableContents"/>
              <w:bidi w:val="0"/>
              <w:spacing w:before="0" w:after="283"/>
              <w:jc w:val="left"/>
              <w:rPr>
                <w:sz w:val="4"/>
                <w:szCs w:val="4"/>
              </w:rPr>
            </w:pPr>
            <w:r>
              <w:rPr>
                <w:sz w:val="4"/>
                <w:szCs w:val="4"/>
              </w:rPr>
            </w:r>
          </w:p>
        </w:tc>
        <w:tc>
          <w:tcPr>
            <w:tcW w:w="2064" w:type="dxa"/>
            <w:gridSpan w:val="2"/>
            <w:tcBorders/>
            <w:vAlign w:val="center"/>
          </w:tcPr>
          <w:p>
            <w:pPr>
              <w:pStyle w:val="TableContents"/>
              <w:bidi w:val="0"/>
              <w:spacing w:before="0" w:after="283"/>
              <w:jc w:val="left"/>
              <w:rPr>
                <w:sz w:val="4"/>
                <w:szCs w:val="4"/>
              </w:rPr>
            </w:pPr>
            <w:r>
              <w:rPr>
                <w:sz w:val="4"/>
                <w:szCs w:val="4"/>
              </w:rPr>
            </w:r>
          </w:p>
        </w:tc>
        <w:tc>
          <w:tcPr>
            <w:tcW w:w="1407" w:type="dxa"/>
            <w:gridSpan w:val="2"/>
            <w:tcBorders/>
            <w:vAlign w:val="center"/>
          </w:tcPr>
          <w:p>
            <w:pPr>
              <w:pStyle w:val="TableContents"/>
              <w:bidi w:val="0"/>
              <w:spacing w:before="0" w:after="283"/>
              <w:jc w:val="left"/>
              <w:rPr>
                <w:sz w:val="4"/>
                <w:szCs w:val="4"/>
              </w:rPr>
            </w:pPr>
            <w:r>
              <w:rPr>
                <w:sz w:val="4"/>
                <w:szCs w:val="4"/>
              </w:rPr>
            </w:r>
          </w:p>
        </w:tc>
        <w:tc>
          <w:tcPr>
            <w:tcW w:w="2084" w:type="dxa"/>
            <w:gridSpan w:val="2"/>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tcPr>
          <w:p>
            <w:pPr>
              <w:pStyle w:val="TableContents"/>
              <w:bidi w:val="0"/>
              <w:spacing w:before="0" w:after="283"/>
              <w:jc w:val="left"/>
              <w:rPr/>
            </w:pPr>
            <w:r>
              <w:rPr/>
              <w:t>11.</w:t>
            </w:r>
          </w:p>
        </w:tc>
        <w:tc>
          <w:tcPr>
            <w:tcW w:w="126"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RESPECT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46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 cy="4667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7316566 </w:t>
              <w:br/>
              <w:t>SN: 90054967</w:t>
            </w:r>
          </w:p>
        </w:tc>
        <w:tc>
          <w:tcPr>
            <w:tcW w:w="126" w:type="dxa"/>
            <w:tcBorders/>
            <w:vAlign w:val="bottom"/>
          </w:tcPr>
          <w:p>
            <w:pPr>
              <w:pStyle w:val="TableContents"/>
              <w:bidi w:val="0"/>
              <w:spacing w:before="0" w:after="283"/>
              <w:jc w:val="left"/>
              <w:rPr/>
            </w:pPr>
            <w:r>
              <w:rPr/>
              <w:t>  </w:t>
            </w:r>
          </w:p>
        </w:tc>
        <w:tc>
          <w:tcPr>
            <w:tcW w:w="1281" w:type="dxa"/>
            <w:tcBorders/>
          </w:tcPr>
          <w:p>
            <w:pPr>
              <w:pStyle w:val="TableContents"/>
              <w:bidi w:val="0"/>
              <w:spacing w:before="0" w:after="283"/>
              <w:jc w:val="left"/>
              <w:rPr/>
            </w:pPr>
            <w:r>
              <w:rPr/>
              <w:t>United States (Federal)</w:t>
            </w:r>
          </w:p>
        </w:tc>
        <w:tc>
          <w:tcPr>
            <w:tcW w:w="289" w:type="dxa"/>
            <w:tcBorders/>
            <w:vAlign w:val="bottom"/>
          </w:tcPr>
          <w:p>
            <w:pPr>
              <w:pStyle w:val="TableContents"/>
              <w:bidi w:val="0"/>
              <w:spacing w:before="0" w:after="283"/>
              <w:jc w:val="left"/>
              <w:rPr/>
            </w:pPr>
            <w:r>
              <w:rPr/>
              <w:t>  </w:t>
            </w:r>
          </w:p>
        </w:tc>
        <w:tc>
          <w:tcPr>
            <w:tcW w:w="1795" w:type="dxa"/>
            <w:tcBorders/>
          </w:tcPr>
          <w:p>
            <w:pPr>
              <w:pStyle w:val="TableContents"/>
              <w:bidi w:val="0"/>
              <w:spacing w:before="0" w:after="283"/>
              <w:jc w:val="left"/>
              <w:rPr/>
            </w:pPr>
            <w:r>
              <w:rPr/>
              <w:t xml:space="preserve">Registered, February 27, 2024 </w:t>
              <w:br/>
              <w:t xml:space="preserve">Office Status: Registered </w:t>
              <w:br/>
              <w:t xml:space="preserve">Int’l Class: 44 </w:t>
              <w:br/>
              <w:t xml:space="preserve">First Use: July 28, 2020 </w:t>
              <w:br/>
              <w:t xml:space="preserve">Filed: July 15, 2020 </w:t>
              <w:br/>
              <w:t xml:space="preserve">Registered: February 27, 2024 </w:t>
              <w:br/>
              <w:t>Register Type: Principal Register</w:t>
            </w:r>
          </w:p>
        </w:tc>
        <w:tc>
          <w:tcPr>
            <w:tcW w:w="126"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left"/>
              <w:rPr/>
            </w:pPr>
            <w:r>
              <w:rPr/>
              <w:t xml:space="preserve">Int’l Class: 44 </w:t>
              <w:br/>
              <w:t xml:space="preserve">(Int’l Class: 44) </w:t>
              <w:br/>
              <w:t>medical information; providing medical information relating to oncology; providing medical information from a website relating to clinical trials of radiotherapeutic products</w:t>
            </w:r>
          </w:p>
        </w:tc>
        <w:tc>
          <w:tcPr>
            <w:tcW w:w="126"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left"/>
              <w:rPr/>
            </w:pPr>
            <w:r>
              <w:rPr/>
              <w:t xml:space="preserve">Plus Therapeutics, Inc. (Delaware Corporation) </w:t>
              <w:br/>
              <w:t>4200 Marathon Blvd., Suite 200, AUSTIN, Texas 78756 United States of America</w:t>
            </w:r>
          </w:p>
        </w:tc>
      </w:tr>
      <w:tr>
        <w:trPr>
          <w:trHeight w:val="120" w:hRule="atLeast"/>
        </w:trPr>
        <w:tc>
          <w:tcPr>
            <w:tcW w:w="266" w:type="dxa"/>
            <w:tcBorders/>
            <w:vAlign w:val="center"/>
          </w:tcPr>
          <w:p>
            <w:pPr>
              <w:pStyle w:val="TableContents"/>
              <w:bidi w:val="0"/>
              <w:spacing w:before="0" w:after="283"/>
              <w:jc w:val="left"/>
              <w:rPr>
                <w:sz w:val="4"/>
                <w:szCs w:val="4"/>
              </w:rPr>
            </w:pPr>
            <w:r>
              <w:rPr>
                <w:sz w:val="4"/>
                <w:szCs w:val="4"/>
              </w:rPr>
            </w:r>
          </w:p>
        </w:tc>
        <w:tc>
          <w:tcPr>
            <w:tcW w:w="2064" w:type="dxa"/>
            <w:gridSpan w:val="2"/>
            <w:tcBorders/>
            <w:vAlign w:val="center"/>
          </w:tcPr>
          <w:p>
            <w:pPr>
              <w:pStyle w:val="TableContents"/>
              <w:bidi w:val="0"/>
              <w:spacing w:before="0" w:after="283"/>
              <w:jc w:val="left"/>
              <w:rPr>
                <w:sz w:val="4"/>
                <w:szCs w:val="4"/>
              </w:rPr>
            </w:pPr>
            <w:r>
              <w:rPr>
                <w:sz w:val="4"/>
                <w:szCs w:val="4"/>
              </w:rPr>
            </w:r>
          </w:p>
        </w:tc>
        <w:tc>
          <w:tcPr>
            <w:tcW w:w="1407" w:type="dxa"/>
            <w:gridSpan w:val="2"/>
            <w:tcBorders/>
            <w:vAlign w:val="center"/>
          </w:tcPr>
          <w:p>
            <w:pPr>
              <w:pStyle w:val="TableContents"/>
              <w:bidi w:val="0"/>
              <w:spacing w:before="0" w:after="283"/>
              <w:jc w:val="left"/>
              <w:rPr>
                <w:sz w:val="4"/>
                <w:szCs w:val="4"/>
              </w:rPr>
            </w:pPr>
            <w:r>
              <w:rPr>
                <w:sz w:val="4"/>
                <w:szCs w:val="4"/>
              </w:rPr>
            </w:r>
          </w:p>
        </w:tc>
        <w:tc>
          <w:tcPr>
            <w:tcW w:w="2084" w:type="dxa"/>
            <w:gridSpan w:val="2"/>
            <w:tcBorders/>
            <w:vAlign w:val="center"/>
          </w:tcPr>
          <w:p>
            <w:pPr>
              <w:pStyle w:val="TableContents"/>
              <w:bidi w:val="0"/>
              <w:spacing w:before="0" w:after="283"/>
              <w:jc w:val="left"/>
              <w:rPr>
                <w:sz w:val="4"/>
                <w:szCs w:val="4"/>
              </w:rPr>
            </w:pPr>
            <w:r>
              <w:rPr>
                <w:sz w:val="4"/>
                <w:szCs w:val="4"/>
              </w:rPr>
            </w:r>
          </w:p>
        </w:tc>
        <w:tc>
          <w:tcPr>
            <w:tcW w:w="2202" w:type="dxa"/>
            <w:gridSpan w:val="2"/>
            <w:tcBorders/>
            <w:vAlign w:val="center"/>
          </w:tcPr>
          <w:p>
            <w:pPr>
              <w:pStyle w:val="TableContents"/>
              <w:bidi w:val="0"/>
              <w:spacing w:before="0" w:after="283"/>
              <w:jc w:val="left"/>
              <w:rPr>
                <w:sz w:val="4"/>
                <w:szCs w:val="4"/>
              </w:rPr>
            </w:pPr>
            <w:r>
              <w:rPr>
                <w:sz w:val="4"/>
                <w:szCs w:val="4"/>
              </w:rPr>
            </w:r>
          </w:p>
        </w:tc>
        <w:tc>
          <w:tcPr>
            <w:tcW w:w="2182" w:type="dxa"/>
            <w:gridSpan w:val="2"/>
            <w:tcBorders/>
            <w:vAlign w:val="center"/>
          </w:tcPr>
          <w:p>
            <w:pPr>
              <w:pStyle w:val="TableContents"/>
              <w:bidi w:val="0"/>
              <w:spacing w:before="0" w:after="283"/>
              <w:jc w:val="left"/>
              <w:rPr>
                <w:sz w:val="4"/>
                <w:szCs w:val="4"/>
              </w:rPr>
            </w:pPr>
            <w:r>
              <w:rPr>
                <w:sz w:val="4"/>
                <w:szCs w:val="4"/>
              </w:rPr>
            </w:r>
          </w:p>
        </w:tc>
      </w:tr>
      <w:tr>
        <w:trPr/>
        <w:tc>
          <w:tcPr>
            <w:tcW w:w="266" w:type="dxa"/>
            <w:tcBorders/>
          </w:tcPr>
          <w:p>
            <w:pPr>
              <w:pStyle w:val="TableContents"/>
              <w:bidi w:val="0"/>
              <w:spacing w:before="0" w:after="283"/>
              <w:jc w:val="left"/>
              <w:rPr/>
            </w:pPr>
            <w:r>
              <w:rPr/>
              <w:t>12.</w:t>
            </w:r>
          </w:p>
        </w:tc>
        <w:tc>
          <w:tcPr>
            <w:tcW w:w="126"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PLUS THERAPEUTICS</w:t>
            </w:r>
          </w:p>
          <w:p>
            <w:pPr>
              <w:pStyle w:val="TableContents"/>
              <w:bidi w:val="0"/>
              <w:spacing w:before="0" w:after="0"/>
              <w:jc w:val="left"/>
              <w:rPr>
                <w:rFonts w:ascii="Times New Roman" w:hAnsi="Times New Roman"/>
                <w:sz w:val="20"/>
              </w:rPr>
            </w:pPr>
            <w:r>
              <w:rPr>
                <w:rFonts w:ascii="Times New Roman" w:hAnsi="Times New Roman"/>
                <w:sz w:val="20"/>
              </w:rPr>
              <w:t>RN: 7795597</w:t>
            </w:r>
          </w:p>
          <w:p>
            <w:pPr>
              <w:pStyle w:val="TableContents"/>
              <w:bidi w:val="0"/>
              <w:spacing w:before="0" w:after="20"/>
              <w:jc w:val="left"/>
              <w:rPr>
                <w:rFonts w:ascii="Times New Roman" w:hAnsi="Times New Roman"/>
                <w:sz w:val="20"/>
              </w:rPr>
            </w:pPr>
            <w:r>
              <w:rPr>
                <w:rFonts w:ascii="Times New Roman" w:hAnsi="Times New Roman"/>
                <w:sz w:val="20"/>
              </w:rPr>
              <w:t>SN: 88470736</w:t>
            </w:r>
          </w:p>
        </w:tc>
        <w:tc>
          <w:tcPr>
            <w:tcW w:w="126" w:type="dxa"/>
            <w:tcBorders/>
            <w:vAlign w:val="bottom"/>
          </w:tcPr>
          <w:p>
            <w:pPr>
              <w:pStyle w:val="TableContents"/>
              <w:bidi w:val="0"/>
              <w:spacing w:before="0" w:after="283"/>
              <w:jc w:val="left"/>
              <w:rPr/>
            </w:pPr>
            <w:r>
              <w:rPr/>
              <w:t>  </w:t>
            </w:r>
          </w:p>
        </w:tc>
        <w:tc>
          <w:tcPr>
            <w:tcW w:w="1281" w:type="dxa"/>
            <w:tcBorders/>
          </w:tcPr>
          <w:p>
            <w:pPr>
              <w:pStyle w:val="TableContents"/>
              <w:bidi w:val="0"/>
              <w:spacing w:before="0" w:after="283"/>
              <w:jc w:val="left"/>
              <w:rPr/>
            </w:pPr>
            <w:r>
              <w:rPr/>
              <w:t>United States (Federal)</w:t>
            </w:r>
          </w:p>
        </w:tc>
        <w:tc>
          <w:tcPr>
            <w:tcW w:w="289" w:type="dxa"/>
            <w:tcBorders/>
            <w:vAlign w:val="bottom"/>
          </w:tcPr>
          <w:p>
            <w:pPr>
              <w:pStyle w:val="TableContents"/>
              <w:bidi w:val="0"/>
              <w:spacing w:before="0" w:after="283"/>
              <w:jc w:val="left"/>
              <w:rPr/>
            </w:pPr>
            <w:r>
              <w:rPr/>
              <w:t>  </w:t>
            </w:r>
          </w:p>
        </w:tc>
        <w:tc>
          <w:tcPr>
            <w:tcW w:w="1795" w:type="dxa"/>
            <w:tcBorders/>
          </w:tcPr>
          <w:p>
            <w:pPr>
              <w:pStyle w:val="TableContents"/>
              <w:bidi w:val="0"/>
              <w:spacing w:before="0" w:after="283"/>
              <w:jc w:val="left"/>
              <w:rPr/>
            </w:pPr>
            <w:r>
              <w:rPr/>
              <w:t xml:space="preserve">Registered, May 13, 2025 </w:t>
              <w:br/>
              <w:t xml:space="preserve">Office Status: Registered </w:t>
              <w:br/>
              <w:t xml:space="preserve">Int’l Class: 42 </w:t>
              <w:br/>
              <w:t xml:space="preserve">First Use: May 6, 2022 </w:t>
              <w:br/>
              <w:t xml:space="preserve">Filed: June 12, 2019 </w:t>
              <w:br/>
              <w:t xml:space="preserve">Registered: May 13, 2025 </w:t>
              <w:br/>
              <w:t>Register Type: Principal Register</w:t>
            </w:r>
          </w:p>
        </w:tc>
        <w:tc>
          <w:tcPr>
            <w:tcW w:w="126"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Int’l Class: 42 </w:t>
              <w:br/>
              <w:t xml:space="preserve">(Int’l Class: 42) </w:t>
              <w:br/>
              <w:t>Providing medical and scientific information in the field of cancer,</w:t>
            </w:r>
          </w:p>
          <w:p>
            <w:pPr>
              <w:pStyle w:val="TableContents"/>
              <w:bidi w:val="0"/>
              <w:spacing w:before="0" w:after="20"/>
              <w:jc w:val="left"/>
              <w:rPr>
                <w:rFonts w:ascii="Times New Roman" w:hAnsi="Times New Roman"/>
                <w:sz w:val="20"/>
              </w:rPr>
            </w:pPr>
            <w:r>
              <w:rPr>
                <w:rFonts w:ascii="Times New Roman" w:hAnsi="Times New Roman"/>
                <w:sz w:val="20"/>
              </w:rPr>
              <w:t>autoimmune diseases and disorders, orthopedic diseases and disorders, blood diseases and disorders, diseases and disorders of the central nervous system, oncological diseases and disorders, and ophthalmological diseases and disorders</w:t>
            </w:r>
          </w:p>
        </w:tc>
        <w:tc>
          <w:tcPr>
            <w:tcW w:w="126" w:type="dxa"/>
            <w:tcBorders/>
            <w:vAlign w:val="bottom"/>
          </w:tcPr>
          <w:p>
            <w:pPr>
              <w:pStyle w:val="TableContents"/>
              <w:bidi w:val="0"/>
              <w:spacing w:before="0" w:after="283"/>
              <w:jc w:val="left"/>
              <w:rPr/>
            </w:pPr>
            <w:r>
              <w:rPr/>
              <w:t>  </w:t>
            </w:r>
          </w:p>
        </w:tc>
        <w:tc>
          <w:tcPr>
            <w:tcW w:w="2056" w:type="dxa"/>
            <w:tcBorders/>
          </w:tcPr>
          <w:p>
            <w:pPr>
              <w:pStyle w:val="TableContents"/>
              <w:bidi w:val="0"/>
              <w:spacing w:before="0" w:after="283"/>
              <w:jc w:val="left"/>
              <w:rPr/>
            </w:pPr>
            <w:r>
              <w:rPr/>
              <w:t xml:space="preserve">Plus Therapeutics, Inc. (Delaware Corporation) </w:t>
              <w:br/>
              <w:t>4200 Marathon Blvd., Suite 200, AUSTIN, Texas 78756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5"/>
        <w:gridCol w:w="125"/>
        <w:gridCol w:w="2067"/>
        <w:gridCol w:w="125"/>
        <w:gridCol w:w="1282"/>
        <w:gridCol w:w="263"/>
        <w:gridCol w:w="1688"/>
        <w:gridCol w:w="125"/>
        <w:gridCol w:w="2086"/>
        <w:gridCol w:w="124"/>
        <w:gridCol w:w="2055"/>
      </w:tblGrid>
      <w:tr>
        <w:trPr/>
        <w:tc>
          <w:tcPr>
            <w:tcW w:w="26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c>
          <w:tcPr>
            <w:tcW w:w="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5" w:type="dxa"/>
            <w:tcBorders/>
            <w:vAlign w:val="bottom"/>
          </w:tcPr>
          <w:p>
            <w:pPr>
              <w:pStyle w:val="TableContents"/>
              <w:bidi w:val="0"/>
              <w:spacing w:before="0" w:after="283"/>
              <w:jc w:val="left"/>
              <w:rPr/>
            </w:pPr>
            <w:r>
              <w:rPr/>
              <w:t>  </w:t>
            </w:r>
          </w:p>
        </w:tc>
        <w:tc>
          <w:tcPr>
            <w:tcW w:w="20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5" w:type="dxa"/>
            <w:tcBorders/>
            <w:vAlign w:val="bottom"/>
          </w:tcPr>
          <w:p>
            <w:pPr>
              <w:pStyle w:val="TableContents"/>
              <w:bidi w:val="0"/>
              <w:spacing w:before="0" w:after="283"/>
              <w:jc w:val="left"/>
              <w:rPr/>
            </w:pPr>
            <w:r>
              <w:rPr/>
              <w:t>  </w:t>
            </w:r>
          </w:p>
        </w:tc>
        <w:tc>
          <w:tcPr>
            <w:tcW w:w="12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63" w:type="dxa"/>
            <w:tcBorders/>
            <w:vAlign w:val="bottom"/>
          </w:tcPr>
          <w:p>
            <w:pPr>
              <w:pStyle w:val="TableContents"/>
              <w:bidi w:val="0"/>
              <w:spacing w:before="0" w:after="283"/>
              <w:jc w:val="left"/>
              <w:rPr/>
            </w:pPr>
            <w:r>
              <w:rPr/>
              <w:t>  </w:t>
            </w:r>
          </w:p>
        </w:tc>
        <w:tc>
          <w:tcPr>
            <w:tcW w:w="16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5" w:type="dxa"/>
            <w:tcBorders/>
            <w:vAlign w:val="bottom"/>
          </w:tcPr>
          <w:p>
            <w:pPr>
              <w:pStyle w:val="TableContents"/>
              <w:bidi w:val="0"/>
              <w:spacing w:before="0" w:after="283"/>
              <w:jc w:val="left"/>
              <w:rPr/>
            </w:pPr>
            <w:r>
              <w:rPr/>
              <w:t>  </w:t>
            </w:r>
          </w:p>
        </w:tc>
        <w:tc>
          <w:tcPr>
            <w:tcW w:w="20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4" w:type="dxa"/>
            <w:tcBorders/>
            <w:vAlign w:val="bottom"/>
          </w:tcPr>
          <w:p>
            <w:pPr>
              <w:pStyle w:val="TableContents"/>
              <w:bidi w:val="0"/>
              <w:spacing w:before="0" w:after="283"/>
              <w:jc w:val="left"/>
              <w:rPr/>
            </w:pPr>
            <w:r>
              <w:rPr/>
              <w:t>  </w:t>
            </w:r>
          </w:p>
        </w:tc>
        <w:tc>
          <w:tcPr>
            <w:tcW w:w="2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2192" w:type="dxa"/>
            <w:gridSpan w:val="2"/>
            <w:tcBorders/>
            <w:vAlign w:val="center"/>
          </w:tcPr>
          <w:p>
            <w:pPr>
              <w:pStyle w:val="TableContents"/>
              <w:bidi w:val="0"/>
              <w:spacing w:before="0" w:after="283"/>
              <w:jc w:val="left"/>
              <w:rPr>
                <w:sz w:val="4"/>
                <w:szCs w:val="4"/>
              </w:rPr>
            </w:pPr>
            <w:r>
              <w:rPr>
                <w:sz w:val="4"/>
                <w:szCs w:val="4"/>
              </w:rPr>
            </w:r>
          </w:p>
        </w:tc>
        <w:tc>
          <w:tcPr>
            <w:tcW w:w="1407"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13.</w:t>
            </w:r>
          </w:p>
        </w:tc>
        <w:tc>
          <w:tcPr>
            <w:tcW w:w="125" w:type="dxa"/>
            <w:tcBorders/>
            <w:vAlign w:val="bottom"/>
          </w:tcPr>
          <w:p>
            <w:pPr>
              <w:pStyle w:val="TableContents"/>
              <w:bidi w:val="0"/>
              <w:spacing w:before="0" w:after="283"/>
              <w:jc w:val="left"/>
              <w:rPr/>
            </w:pPr>
            <w:r>
              <w:rPr/>
              <w:t>  </w:t>
            </w:r>
          </w:p>
        </w:tc>
        <w:tc>
          <w:tcPr>
            <w:tcW w:w="206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7795598 </w:t>
              <w:br/>
              <w:t>SN: 88470755</w:t>
            </w:r>
          </w:p>
        </w:tc>
        <w:tc>
          <w:tcPr>
            <w:tcW w:w="125" w:type="dxa"/>
            <w:tcBorders/>
            <w:vAlign w:val="bottom"/>
          </w:tcPr>
          <w:p>
            <w:pPr>
              <w:pStyle w:val="TableContents"/>
              <w:bidi w:val="0"/>
              <w:spacing w:before="0" w:after="283"/>
              <w:jc w:val="left"/>
              <w:rPr/>
            </w:pPr>
            <w:r>
              <w:rPr/>
              <w:t>  </w:t>
            </w:r>
          </w:p>
        </w:tc>
        <w:tc>
          <w:tcPr>
            <w:tcW w:w="1282" w:type="dxa"/>
            <w:tcBorders/>
          </w:tcPr>
          <w:p>
            <w:pPr>
              <w:pStyle w:val="TableContents"/>
              <w:bidi w:val="0"/>
              <w:spacing w:before="0" w:after="283"/>
              <w:jc w:val="left"/>
              <w:rPr/>
            </w:pPr>
            <w:r>
              <w:rPr/>
              <w:t>United States (Federal)</w:t>
            </w:r>
          </w:p>
        </w:tc>
        <w:tc>
          <w:tcPr>
            <w:tcW w:w="263"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 xml:space="preserve">Registered, May 13, 2025 </w:t>
              <w:br/>
              <w:t xml:space="preserve">Office Status: Registered </w:t>
              <w:br/>
              <w:t xml:space="preserve">Int’l Class: 42 </w:t>
              <w:br/>
              <w:t xml:space="preserve">First Use: May 6, 2022 </w:t>
              <w:br/>
              <w:t xml:space="preserve">Filed: June 12, 2019 </w:t>
              <w:br/>
              <w:t xml:space="preserve">Registered: May 13, 2025 </w:t>
              <w:br/>
              <w:t>Register Type: Principal Register</w:t>
            </w:r>
          </w:p>
        </w:tc>
        <w:tc>
          <w:tcPr>
            <w:tcW w:w="125" w:type="dxa"/>
            <w:tcBorders/>
            <w:vAlign w:val="bottom"/>
          </w:tcPr>
          <w:p>
            <w:pPr>
              <w:pStyle w:val="TableContents"/>
              <w:bidi w:val="0"/>
              <w:spacing w:before="0" w:after="283"/>
              <w:jc w:val="left"/>
              <w:rPr/>
            </w:pPr>
            <w:r>
              <w:rPr/>
              <w:t>  </w:t>
            </w:r>
          </w:p>
        </w:tc>
        <w:tc>
          <w:tcPr>
            <w:tcW w:w="2086" w:type="dxa"/>
            <w:tcBorders/>
          </w:tcPr>
          <w:p>
            <w:pPr>
              <w:pStyle w:val="TableContents"/>
              <w:bidi w:val="0"/>
              <w:spacing w:before="0" w:after="283"/>
              <w:jc w:val="left"/>
              <w:rPr/>
            </w:pPr>
            <w:r>
              <w:rPr/>
              <w:t xml:space="preserve">Int’l Class: 42 </w:t>
              <w:br/>
              <w:t xml:space="preserve">(Int’l Class: 42) </w:t>
              <w:br/>
              <w:t>Providing medical and scientific information in the field of cancer, autoimmune diseases and disorders, orthopedic diseases and disorders, blood diseases and disorders, diseases and disorders of the central nervous system, oncological diseases and disorders, and ophthalmological diseases and disorders</w:t>
            </w:r>
          </w:p>
        </w:tc>
        <w:tc>
          <w:tcPr>
            <w:tcW w:w="124"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left"/>
              <w:rPr/>
            </w:pPr>
            <w:r>
              <w:rPr/>
              <w:t xml:space="preserve">Plus Therapeutics, Inc. (Delaware Corporation) </w:t>
              <w:br/>
              <w:t>4200 Marathon Blvd., Suite 200, AUSTIN, Texas 78756 United States of America</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2192" w:type="dxa"/>
            <w:gridSpan w:val="2"/>
            <w:tcBorders/>
            <w:vAlign w:val="center"/>
          </w:tcPr>
          <w:p>
            <w:pPr>
              <w:pStyle w:val="TableContents"/>
              <w:bidi w:val="0"/>
              <w:spacing w:before="0" w:after="283"/>
              <w:jc w:val="left"/>
              <w:rPr>
                <w:sz w:val="4"/>
                <w:szCs w:val="4"/>
              </w:rPr>
            </w:pPr>
            <w:r>
              <w:rPr>
                <w:sz w:val="4"/>
                <w:szCs w:val="4"/>
              </w:rPr>
            </w:r>
          </w:p>
        </w:tc>
        <w:tc>
          <w:tcPr>
            <w:tcW w:w="1407"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14.</w:t>
            </w:r>
          </w:p>
        </w:tc>
        <w:tc>
          <w:tcPr>
            <w:tcW w:w="125" w:type="dxa"/>
            <w:tcBorders/>
            <w:vAlign w:val="bottom"/>
          </w:tcPr>
          <w:p>
            <w:pPr>
              <w:pStyle w:val="TableContents"/>
              <w:bidi w:val="0"/>
              <w:spacing w:before="0" w:after="283"/>
              <w:jc w:val="left"/>
              <w:rPr/>
            </w:pPr>
            <w:r>
              <w:rPr/>
              <w:t>  </w:t>
            </w:r>
          </w:p>
        </w:tc>
        <w:tc>
          <w:tcPr>
            <w:tcW w:w="206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BIOCEPT LABORATORIES</w:t>
            </w:r>
          </w:p>
          <w:p>
            <w:pPr>
              <w:pStyle w:val="TableContents"/>
              <w:bidi w:val="0"/>
              <w:spacing w:before="0" w:after="0"/>
              <w:jc w:val="left"/>
              <w:rPr>
                <w:rFonts w:ascii="Times New Roman" w:hAnsi="Times New Roman"/>
                <w:sz w:val="20"/>
              </w:rPr>
            </w:pPr>
            <w:r>
              <w:rPr>
                <w:rFonts w:ascii="Times New Roman" w:hAnsi="Times New Roman"/>
                <w:sz w:val="20"/>
              </w:rPr>
              <w:t>RN: 3159956</w:t>
            </w:r>
          </w:p>
          <w:p>
            <w:pPr>
              <w:pStyle w:val="TableContents"/>
              <w:bidi w:val="0"/>
              <w:spacing w:before="0" w:after="20"/>
              <w:jc w:val="left"/>
              <w:rPr>
                <w:rFonts w:ascii="Times New Roman" w:hAnsi="Times New Roman"/>
                <w:sz w:val="20"/>
              </w:rPr>
            </w:pPr>
            <w:r>
              <w:rPr>
                <w:rFonts w:ascii="Times New Roman" w:hAnsi="Times New Roman"/>
                <w:sz w:val="20"/>
              </w:rPr>
              <w:t>SN: 78412723</w:t>
            </w:r>
          </w:p>
        </w:tc>
        <w:tc>
          <w:tcPr>
            <w:tcW w:w="125" w:type="dxa"/>
            <w:tcBorders/>
            <w:vAlign w:val="bottom"/>
          </w:tcPr>
          <w:p>
            <w:pPr>
              <w:pStyle w:val="TableContents"/>
              <w:bidi w:val="0"/>
              <w:spacing w:before="0" w:after="283"/>
              <w:jc w:val="left"/>
              <w:rPr/>
            </w:pPr>
            <w:r>
              <w:rPr/>
              <w:t>  </w:t>
            </w:r>
          </w:p>
        </w:tc>
        <w:tc>
          <w:tcPr>
            <w:tcW w:w="1282" w:type="dxa"/>
            <w:tcBorders/>
          </w:tcPr>
          <w:p>
            <w:pPr>
              <w:pStyle w:val="TableContents"/>
              <w:bidi w:val="0"/>
              <w:spacing w:before="0" w:after="283"/>
              <w:jc w:val="left"/>
              <w:rPr/>
            </w:pPr>
            <w:r>
              <w:rPr/>
              <w:t>United States (Federal)</w:t>
            </w:r>
          </w:p>
        </w:tc>
        <w:tc>
          <w:tcPr>
            <w:tcW w:w="263"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 xml:space="preserve">Renewed, December 31, 2016 </w:t>
              <w:br/>
              <w:t xml:space="preserve">Office Status: Registered and Renewed </w:t>
              <w:br/>
              <w:t xml:space="preserve">Int’l Class: 09,42 </w:t>
              <w:br/>
              <w:t xml:space="preserve">First Use: October 3, 2005 </w:t>
              <w:br/>
              <w:t xml:space="preserve">Filed: May 4, 2004 </w:t>
              <w:br/>
              <w:t xml:space="preserve">Registered: October 17, 2006 </w:t>
              <w:br/>
              <w:t xml:space="preserve">Last Renewal: October 17, 2016 </w:t>
              <w:br/>
              <w:t>Register Type: Principal Register</w:t>
            </w:r>
          </w:p>
        </w:tc>
        <w:tc>
          <w:tcPr>
            <w:tcW w:w="125" w:type="dxa"/>
            <w:tcBorders/>
            <w:vAlign w:val="bottom"/>
          </w:tcPr>
          <w:p>
            <w:pPr>
              <w:pStyle w:val="TableContents"/>
              <w:bidi w:val="0"/>
              <w:spacing w:before="0" w:after="283"/>
              <w:jc w:val="left"/>
              <w:rPr/>
            </w:pPr>
            <w:r>
              <w:rPr/>
              <w:t>  </w:t>
            </w:r>
          </w:p>
        </w:tc>
        <w:tc>
          <w:tcPr>
            <w:tcW w:w="2086" w:type="dxa"/>
            <w:tcBorders/>
          </w:tcPr>
          <w:p>
            <w:pPr>
              <w:pStyle w:val="TableContents"/>
              <w:bidi w:val="0"/>
              <w:spacing w:before="0" w:after="283"/>
              <w:jc w:val="left"/>
              <w:rPr/>
            </w:pPr>
            <w:r>
              <w:rPr/>
              <w:t xml:space="preserve">Int’l Class: 09, 42 </w:t>
              <w:br/>
              <w:t xml:space="preserve">(Int’l Class: 09) </w:t>
              <w:br/>
              <w:t xml:space="preserve">[Scientific equipment, namely, microtiters, multi-well plates, biosensors, microarrays, biochips, and apparatus for bioassay analysis, optical readers, scanners and detectors used in the screening and analysis of biological samples for scientific, medical and clinical research use] </w:t>
              <w:br/>
              <w:t xml:space="preserve">(Int’l Class: 42) </w:t>
              <w:br/>
              <w:t>[Clinical and medical diagnostic science services in the field of scientific</w:t>
            </w:r>
          </w:p>
        </w:tc>
        <w:tc>
          <w:tcPr>
            <w:tcW w:w="124"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left"/>
              <w:rPr/>
            </w:pPr>
            <w:r>
              <w:rPr/>
              <w:t xml:space="preserve">Plus Therapeutics, Inc. (Delaware Corporation) </w:t>
              <w:br/>
              <w:t>2710 Reed Rd, Suite 160, Houston, Texas 77051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3"/>
        <w:gridCol w:w="126"/>
        <w:gridCol w:w="1947"/>
        <w:gridCol w:w="126"/>
        <w:gridCol w:w="1011"/>
        <w:gridCol w:w="337"/>
        <w:gridCol w:w="2051"/>
        <w:gridCol w:w="126"/>
        <w:gridCol w:w="2062"/>
        <w:gridCol w:w="126"/>
        <w:gridCol w:w="2030"/>
      </w:tblGrid>
      <w:tr>
        <w:trPr/>
        <w:tc>
          <w:tcPr>
            <w:tcW w:w="26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2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9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6" w:type="dxa"/>
            <w:tcBorders/>
            <w:vAlign w:val="bottom"/>
          </w:tcPr>
          <w:p>
            <w:pPr>
              <w:pStyle w:val="TableContents"/>
              <w:bidi w:val="0"/>
              <w:spacing w:before="0" w:after="283"/>
              <w:jc w:val="left"/>
              <w:rPr/>
            </w:pPr>
            <w:r>
              <w:rPr/>
              <w:t>  </w:t>
            </w:r>
          </w:p>
        </w:tc>
        <w:tc>
          <w:tcPr>
            <w:tcW w:w="10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37" w:type="dxa"/>
            <w:tcBorders/>
            <w:vAlign w:val="bottom"/>
          </w:tcPr>
          <w:p>
            <w:pPr>
              <w:pStyle w:val="TableContents"/>
              <w:bidi w:val="0"/>
              <w:spacing w:before="0" w:after="283"/>
              <w:jc w:val="left"/>
              <w:rPr/>
            </w:pPr>
            <w:r>
              <w:rPr/>
              <w:t>  </w:t>
            </w:r>
          </w:p>
        </w:tc>
        <w:tc>
          <w:tcPr>
            <w:tcW w:w="20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6" w:type="dxa"/>
            <w:tcBorders/>
            <w:vAlign w:val="bottom"/>
          </w:tcPr>
          <w:p>
            <w:pPr>
              <w:pStyle w:val="TableContents"/>
              <w:bidi w:val="0"/>
              <w:spacing w:before="0" w:after="283"/>
              <w:jc w:val="left"/>
              <w:rPr/>
            </w:pPr>
            <w:r>
              <w:rPr/>
              <w:t>  </w:t>
            </w:r>
          </w:p>
        </w:tc>
        <w:tc>
          <w:tcPr>
            <w:tcW w:w="20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6"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3"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05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equipment, namely, microtiters, multi-well plates, biosensors, microarrays, biochips, and apparatus for bioassay analysis, optical readers, scanners and detectors used in the screening and analysis of biological samples; and] diagnostic screening in the field of drug research and development</w:t>
            </w:r>
          </w:p>
        </w:tc>
        <w:tc>
          <w:tcPr>
            <w:tcW w:w="126"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2073" w:type="dxa"/>
            <w:gridSpan w:val="2"/>
            <w:tcBorders/>
            <w:vAlign w:val="center"/>
          </w:tcPr>
          <w:p>
            <w:pPr>
              <w:pStyle w:val="TableContents"/>
              <w:bidi w:val="0"/>
              <w:spacing w:before="0" w:after="283"/>
              <w:jc w:val="left"/>
              <w:rPr>
                <w:sz w:val="4"/>
                <w:szCs w:val="4"/>
              </w:rPr>
            </w:pPr>
            <w:r>
              <w:rPr>
                <w:sz w:val="4"/>
                <w:szCs w:val="4"/>
              </w:rPr>
            </w:r>
          </w:p>
        </w:tc>
        <w:tc>
          <w:tcPr>
            <w:tcW w:w="1137" w:type="dxa"/>
            <w:gridSpan w:val="2"/>
            <w:tcBorders/>
            <w:vAlign w:val="center"/>
          </w:tcPr>
          <w:p>
            <w:pPr>
              <w:pStyle w:val="TableContents"/>
              <w:bidi w:val="0"/>
              <w:spacing w:before="0" w:after="283"/>
              <w:jc w:val="left"/>
              <w:rPr>
                <w:sz w:val="4"/>
                <w:szCs w:val="4"/>
              </w:rPr>
            </w:pPr>
            <w:r>
              <w:rPr>
                <w:sz w:val="4"/>
                <w:szCs w:val="4"/>
              </w:rPr>
            </w:r>
          </w:p>
        </w:tc>
        <w:tc>
          <w:tcPr>
            <w:tcW w:w="2388"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15.</w:t>
            </w:r>
          </w:p>
        </w:tc>
        <w:tc>
          <w:tcPr>
            <w:tcW w:w="126"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CNSIDE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1430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 cy="4572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2427258</w:t>
            </w:r>
          </w:p>
        </w:tc>
        <w:tc>
          <w:tcPr>
            <w:tcW w:w="126" w:type="dxa"/>
            <w:tcBorders/>
            <w:vAlign w:val="bottom"/>
          </w:tcPr>
          <w:p>
            <w:pPr>
              <w:pStyle w:val="TableContents"/>
              <w:bidi w:val="0"/>
              <w:spacing w:before="0" w:after="283"/>
              <w:jc w:val="left"/>
              <w:rPr/>
            </w:pPr>
            <w:r>
              <w:rPr/>
              <w:t>  </w:t>
            </w:r>
          </w:p>
        </w:tc>
        <w:tc>
          <w:tcPr>
            <w:tcW w:w="1011" w:type="dxa"/>
            <w:tcBorders/>
          </w:tcPr>
          <w:p>
            <w:pPr>
              <w:pStyle w:val="TableContents"/>
              <w:bidi w:val="0"/>
              <w:spacing w:before="0" w:after="283"/>
              <w:jc w:val="left"/>
              <w:rPr/>
            </w:pPr>
            <w:r>
              <w:rPr/>
              <w:t>Canada</w:t>
            </w:r>
          </w:p>
        </w:tc>
        <w:tc>
          <w:tcPr>
            <w:tcW w:w="337" w:type="dxa"/>
            <w:tcBorders/>
            <w:vAlign w:val="bottom"/>
          </w:tcPr>
          <w:p>
            <w:pPr>
              <w:pStyle w:val="TableContents"/>
              <w:bidi w:val="0"/>
              <w:spacing w:before="0" w:after="283"/>
              <w:jc w:val="left"/>
              <w:rPr/>
            </w:pPr>
            <w:r>
              <w:rPr/>
              <w:t>  </w:t>
            </w:r>
          </w:p>
        </w:tc>
        <w:tc>
          <w:tcPr>
            <w:tcW w:w="2051" w:type="dxa"/>
            <w:tcBorders/>
          </w:tcPr>
          <w:p>
            <w:pPr>
              <w:pStyle w:val="TableContents"/>
              <w:bidi w:val="0"/>
              <w:spacing w:before="0" w:after="283"/>
              <w:jc w:val="left"/>
              <w:rPr/>
            </w:pPr>
            <w:r>
              <w:rPr/>
              <w:t xml:space="preserve">Canada </w:t>
              <w:br/>
              <w:t xml:space="preserve">Filed </w:t>
              <w:br/>
              <w:t xml:space="preserve">Pending Application </w:t>
              <w:br/>
              <w:t xml:space="preserve">Last Status Received: Pending Application, May 26, 2026 </w:t>
              <w:br/>
              <w:t xml:space="preserve">Office Status: Searched </w:t>
              <w:br/>
              <w:t>Filed: September 26, 2025</w:t>
            </w:r>
          </w:p>
        </w:tc>
        <w:tc>
          <w:tcPr>
            <w:tcW w:w="126" w:type="dxa"/>
            <w:tcBorders/>
            <w:vAlign w:val="bottom"/>
          </w:tcPr>
          <w:p>
            <w:pPr>
              <w:pStyle w:val="TableContents"/>
              <w:bidi w:val="0"/>
              <w:spacing w:before="0" w:after="283"/>
              <w:jc w:val="left"/>
              <w:rPr/>
            </w:pPr>
            <w:r>
              <w:rPr/>
              <w:t>  </w:t>
            </w:r>
          </w:p>
        </w:tc>
        <w:tc>
          <w:tcPr>
            <w:tcW w:w="2062" w:type="dxa"/>
            <w:tcBorders/>
          </w:tcPr>
          <w:p>
            <w:pPr>
              <w:pStyle w:val="TableContents"/>
              <w:bidi w:val="0"/>
              <w:spacing w:before="0" w:after="283"/>
              <w:jc w:val="left"/>
              <w:rPr/>
            </w:pPr>
            <w:r>
              <w:rPr/>
              <w:t xml:space="preserve">Int’l Class: 01, 05, 10, 42, 44 </w:t>
              <w:br/>
              <w:t xml:space="preserve">(Int’l Class: 01) </w:t>
              <w:br/>
              <w:t xml:space="preserve">Goods: Diagnostic assays and reagents for clinical or medical laboratory use </w:t>
              <w:br/>
              <w:t xml:space="preserve">(Int’l Class: 05) </w:t>
              <w:br/>
              <w:t xml:space="preserve">Goods: Medical diagnostic kits comprised of assays and reagents for the detection of cancer </w:t>
              <w:br/>
              <w:t xml:space="preserve">(Int’l Class: 10) </w:t>
              <w:br/>
              <w:t xml:space="preserve">Goods: Medical diagnostic apparatus for testing bodily fluids </w:t>
              <w:br/>
              <w:t xml:space="preserve">(Int’l Class: 42) </w:t>
              <w:br/>
              <w:t xml:space="preserve">Services: Diagnostic testing for research and development, clinical trials, and clinical laboratory services </w:t>
              <w:br/>
              <w:t xml:space="preserve">(Int’l Class: 44) </w:t>
              <w:br/>
              <w:t>Services: Medical diagnostic testing services relating to the detection of cancer; predictive medical analysis services relating to the selection of treatments for cancer; medical diagnostic screening and analysis for the treatment of persons; medical diagnostic testing through isolation and extraction of cells for analysis; medical diagnostic testing and medical analysis services related to the treatment of patients in the field of oncology</w:t>
            </w:r>
          </w:p>
        </w:tc>
        <w:tc>
          <w:tcPr>
            <w:tcW w:w="126"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pPr>
            <w:r>
              <w:rPr/>
              <w:t>CNSide Diagnostics, LLC 2710 Reed Rd, Suite 160 Houston, TX 77051,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5"/>
        <w:gridCol w:w="130"/>
        <w:gridCol w:w="1704"/>
        <w:gridCol w:w="130"/>
        <w:gridCol w:w="1008"/>
        <w:gridCol w:w="266"/>
        <w:gridCol w:w="1720"/>
        <w:gridCol w:w="130"/>
        <w:gridCol w:w="2144"/>
        <w:gridCol w:w="130"/>
        <w:gridCol w:w="2568"/>
      </w:tblGrid>
      <w:tr>
        <w:trPr/>
        <w:tc>
          <w:tcPr>
            <w:tcW w:w="2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30" w:type="dxa"/>
            <w:tcBorders/>
            <w:vAlign w:val="bottom"/>
          </w:tcPr>
          <w:p>
            <w:pPr>
              <w:pStyle w:val="TableContents"/>
              <w:bidi w:val="0"/>
              <w:spacing w:before="0" w:after="283"/>
              <w:jc w:val="left"/>
              <w:rPr/>
            </w:pPr>
            <w:r>
              <w:rPr/>
              <w:t>  </w:t>
            </w:r>
          </w:p>
        </w:tc>
        <w:tc>
          <w:tcPr>
            <w:tcW w:w="17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30" w:type="dxa"/>
            <w:tcBorders/>
            <w:vAlign w:val="bottom"/>
          </w:tcPr>
          <w:p>
            <w:pPr>
              <w:pStyle w:val="TableContents"/>
              <w:bidi w:val="0"/>
              <w:spacing w:before="0" w:after="283"/>
              <w:jc w:val="left"/>
              <w:rPr/>
            </w:pPr>
            <w:r>
              <w:rPr/>
              <w:t>  </w:t>
            </w:r>
          </w:p>
        </w:tc>
        <w:tc>
          <w:tcPr>
            <w:tcW w:w="10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66" w:type="dxa"/>
            <w:tcBorders/>
            <w:vAlign w:val="bottom"/>
          </w:tcPr>
          <w:p>
            <w:pPr>
              <w:pStyle w:val="TableContents"/>
              <w:bidi w:val="0"/>
              <w:spacing w:before="0" w:after="283"/>
              <w:jc w:val="left"/>
              <w:rPr/>
            </w:pPr>
            <w:r>
              <w:rPr/>
              <w:t>  </w:t>
            </w:r>
          </w:p>
        </w:tc>
        <w:tc>
          <w:tcPr>
            <w:tcW w:w="17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30" w:type="dxa"/>
            <w:tcBorders/>
            <w:vAlign w:val="bottom"/>
          </w:tcPr>
          <w:p>
            <w:pPr>
              <w:pStyle w:val="TableContents"/>
              <w:bidi w:val="0"/>
              <w:spacing w:before="0" w:after="283"/>
              <w:jc w:val="left"/>
              <w:rPr/>
            </w:pPr>
            <w:r>
              <w:rPr/>
              <w:t>  </w:t>
            </w:r>
          </w:p>
        </w:tc>
        <w:tc>
          <w:tcPr>
            <w:tcW w:w="21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30" w:type="dxa"/>
            <w:tcBorders/>
            <w:vAlign w:val="bottom"/>
          </w:tcPr>
          <w:p>
            <w:pPr>
              <w:pStyle w:val="TableContents"/>
              <w:bidi w:val="0"/>
              <w:spacing w:before="0" w:after="283"/>
              <w:jc w:val="left"/>
              <w:rPr/>
            </w:pPr>
            <w:r>
              <w:rPr/>
              <w:t>  </w:t>
            </w:r>
          </w:p>
        </w:tc>
        <w:tc>
          <w:tcPr>
            <w:tcW w:w="2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rHeight w:val="120" w:hRule="atLeast"/>
        </w:trPr>
        <w:tc>
          <w:tcPr>
            <w:tcW w:w="275" w:type="dxa"/>
            <w:tcBorders/>
            <w:vAlign w:val="center"/>
          </w:tcPr>
          <w:p>
            <w:pPr>
              <w:pStyle w:val="TableContents"/>
              <w:bidi w:val="0"/>
              <w:spacing w:before="0" w:after="283"/>
              <w:jc w:val="left"/>
              <w:rPr>
                <w:sz w:val="4"/>
                <w:szCs w:val="4"/>
              </w:rPr>
            </w:pPr>
            <w:r>
              <w:rPr>
                <w:sz w:val="4"/>
                <w:szCs w:val="4"/>
              </w:rPr>
            </w:r>
          </w:p>
        </w:tc>
        <w:tc>
          <w:tcPr>
            <w:tcW w:w="1834"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1986" w:type="dxa"/>
            <w:gridSpan w:val="2"/>
            <w:tcBorders/>
            <w:vAlign w:val="center"/>
          </w:tcPr>
          <w:p>
            <w:pPr>
              <w:pStyle w:val="TableContents"/>
              <w:bidi w:val="0"/>
              <w:spacing w:before="0" w:after="283"/>
              <w:jc w:val="left"/>
              <w:rPr>
                <w:sz w:val="4"/>
                <w:szCs w:val="4"/>
              </w:rPr>
            </w:pPr>
            <w:r>
              <w:rPr>
                <w:sz w:val="4"/>
                <w:szCs w:val="4"/>
              </w:rPr>
            </w:r>
          </w:p>
        </w:tc>
        <w:tc>
          <w:tcPr>
            <w:tcW w:w="2274" w:type="dxa"/>
            <w:gridSpan w:val="2"/>
            <w:tcBorders/>
            <w:vAlign w:val="center"/>
          </w:tcPr>
          <w:p>
            <w:pPr>
              <w:pStyle w:val="TableContents"/>
              <w:bidi w:val="0"/>
              <w:spacing w:before="0" w:after="283"/>
              <w:jc w:val="left"/>
              <w:rPr>
                <w:sz w:val="4"/>
                <w:szCs w:val="4"/>
              </w:rPr>
            </w:pPr>
            <w:r>
              <w:rPr>
                <w:sz w:val="4"/>
                <w:szCs w:val="4"/>
              </w:rPr>
            </w:r>
          </w:p>
        </w:tc>
        <w:tc>
          <w:tcPr>
            <w:tcW w:w="2698"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tcPr>
          <w:p>
            <w:pPr>
              <w:pStyle w:val="TableContents"/>
              <w:bidi w:val="0"/>
              <w:spacing w:before="0" w:after="283"/>
              <w:jc w:val="left"/>
              <w:rPr/>
            </w:pPr>
            <w:r>
              <w:rPr/>
              <w:t>16.</w:t>
            </w:r>
          </w:p>
        </w:tc>
        <w:tc>
          <w:tcPr>
            <w:tcW w:w="130"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0"/>
              <w:jc w:val="left"/>
              <w:rPr>
                <w:rFonts w:ascii="Times New Roman" w:hAnsi="Times New Roman"/>
                <w:sz w:val="20"/>
              </w:rPr>
            </w:pPr>
            <w:r>
              <w:rPr>
                <w:rFonts w:ascii="Times New Roman" w:hAnsi="Times New Roman"/>
                <w:sz w:val="20"/>
              </w:rPr>
              <w:t>PLUS THERAPEUTICS</w:t>
            </w:r>
          </w:p>
          <w:p>
            <w:pPr>
              <w:pStyle w:val="TableContents"/>
              <w:bidi w:val="0"/>
              <w:spacing w:before="0" w:after="0"/>
              <w:jc w:val="left"/>
              <w:rPr>
                <w:rFonts w:ascii="Times New Roman" w:hAnsi="Times New Roman"/>
                <w:sz w:val="20"/>
              </w:rPr>
            </w:pPr>
            <w:r>
              <w:rPr>
                <w:rFonts w:ascii="Times New Roman" w:hAnsi="Times New Roman"/>
                <w:sz w:val="20"/>
              </w:rPr>
              <w:t>RN: TMA1183525</w:t>
            </w:r>
          </w:p>
          <w:p>
            <w:pPr>
              <w:pStyle w:val="TableContents"/>
              <w:bidi w:val="0"/>
              <w:spacing w:before="0" w:after="20"/>
              <w:jc w:val="left"/>
              <w:rPr>
                <w:rFonts w:ascii="Times New Roman" w:hAnsi="Times New Roman"/>
                <w:sz w:val="20"/>
              </w:rPr>
            </w:pPr>
            <w:r>
              <w:rPr>
                <w:rFonts w:ascii="Times New Roman" w:hAnsi="Times New Roman"/>
                <w:sz w:val="20"/>
              </w:rPr>
              <w:t>AN: 2021586</w:t>
            </w:r>
          </w:p>
        </w:tc>
        <w:tc>
          <w:tcPr>
            <w:tcW w:w="130" w:type="dxa"/>
            <w:tcBorders/>
            <w:vAlign w:val="bottom"/>
          </w:tcPr>
          <w:p>
            <w:pPr>
              <w:pStyle w:val="TableContents"/>
              <w:bidi w:val="0"/>
              <w:spacing w:before="0" w:after="283"/>
              <w:jc w:val="left"/>
              <w:rPr/>
            </w:pPr>
            <w:r>
              <w:rPr/>
              <w:t>  </w:t>
            </w:r>
          </w:p>
        </w:tc>
        <w:tc>
          <w:tcPr>
            <w:tcW w:w="1008" w:type="dxa"/>
            <w:tcBorders/>
          </w:tcPr>
          <w:p>
            <w:pPr>
              <w:pStyle w:val="TableContents"/>
              <w:bidi w:val="0"/>
              <w:spacing w:before="0" w:after="283"/>
              <w:jc w:val="left"/>
              <w:rPr/>
            </w:pPr>
            <w:r>
              <w:rPr/>
              <w:t>Canada</w:t>
            </w:r>
          </w:p>
        </w:tc>
        <w:tc>
          <w:tcPr>
            <w:tcW w:w="266" w:type="dxa"/>
            <w:tcBorders/>
            <w:vAlign w:val="bottom"/>
          </w:tcPr>
          <w:p>
            <w:pPr>
              <w:pStyle w:val="TableContents"/>
              <w:bidi w:val="0"/>
              <w:spacing w:before="0" w:after="283"/>
              <w:jc w:val="left"/>
              <w:rPr/>
            </w:pPr>
            <w:r>
              <w:rPr/>
              <w:t>  </w:t>
            </w:r>
          </w:p>
        </w:tc>
        <w:tc>
          <w:tcPr>
            <w:tcW w:w="1720" w:type="dxa"/>
            <w:tcBorders/>
          </w:tcPr>
          <w:p>
            <w:pPr>
              <w:pStyle w:val="TableContents"/>
              <w:bidi w:val="0"/>
              <w:spacing w:before="0" w:after="283"/>
              <w:jc w:val="left"/>
              <w:rPr/>
            </w:pPr>
            <w:r>
              <w:rPr/>
              <w:t xml:space="preserve">Canada </w:t>
              <w:br/>
              <w:t xml:space="preserve">Registered </w:t>
              <w:br/>
              <w:t xml:space="preserve">Last Status Received: Registered, June 7, 2023 </w:t>
              <w:br/>
              <w:t xml:space="preserve">Office Status: Registered </w:t>
              <w:br/>
              <w:t xml:space="preserve">Filed: December 11, 2019 </w:t>
              <w:br/>
              <w:t xml:space="preserve">Registered: June 7, 2023 </w:t>
              <w:br/>
              <w:t>Expiration Date: December 11, 2029</w:t>
            </w:r>
          </w:p>
        </w:tc>
        <w:tc>
          <w:tcPr>
            <w:tcW w:w="130"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left"/>
              <w:rPr/>
            </w:pPr>
            <w:r>
              <w:rPr/>
              <w:t xml:space="preserve">Int’l Class: 05, 40, 42, 44 </w:t>
              <w:br/>
              <w:t xml:space="preserve">(Int’l Class: 05) </w:t>
              <w:br/>
              <w:t>Goods: 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namely, respiratory infections, eye infections, topical infections, autoimmune diseases and disorders, orthopedic diseases and disorders, namely, arthritis, osteoarthritis, bursitis, carpal tunnel syndrome, bone fractures, ligament Injuries, torn meniscus, osteoporosis and scoliosis and chronic back and shoulder pain, blood diseases and disorders, fungal skin infections, diseases and disorders of the central nervous system, namely, brain diseases, central nervous system movement disorders, ocular motility disorders, spinal cord diseases, encephalitis, epilepsy, Alzheimer’s, cerebral palsy, Parkinson’s disease, oncological diseases and disorders, and ophthalmological diseases and</w:t>
            </w:r>
          </w:p>
        </w:tc>
        <w:tc>
          <w:tcPr>
            <w:tcW w:w="130" w:type="dxa"/>
            <w:tcBorders/>
            <w:vAlign w:val="bottom"/>
          </w:tcPr>
          <w:p>
            <w:pPr>
              <w:pStyle w:val="TableContents"/>
              <w:bidi w:val="0"/>
              <w:spacing w:before="0" w:after="283"/>
              <w:jc w:val="left"/>
              <w:rPr/>
            </w:pPr>
            <w:r>
              <w:rPr/>
              <w:t>  </w:t>
            </w:r>
          </w:p>
        </w:tc>
        <w:tc>
          <w:tcPr>
            <w:tcW w:w="2568" w:type="dxa"/>
            <w:tcBorders/>
          </w:tcPr>
          <w:p>
            <w:pPr>
              <w:pStyle w:val="TableContents"/>
              <w:bidi w:val="0"/>
              <w:spacing w:before="0" w:after="283"/>
              <w:jc w:val="left"/>
              <w:rPr/>
            </w:pPr>
            <w:r>
              <w:rPr/>
              <w:t>PLUS THERAPEUTICS, INC. 4200 Marathon Blvd., Suite 200 Austin TX 78756,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
        <w:gridCol w:w="128"/>
        <w:gridCol w:w="1553"/>
        <w:gridCol w:w="128"/>
        <w:gridCol w:w="1058"/>
        <w:gridCol w:w="418"/>
        <w:gridCol w:w="2126"/>
        <w:gridCol w:w="128"/>
        <w:gridCol w:w="2390"/>
        <w:gridCol w:w="127"/>
        <w:gridCol w:w="2027"/>
      </w:tblGrid>
      <w:tr>
        <w:trPr/>
        <w:tc>
          <w:tcPr>
            <w:tcW w:w="12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5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18" w:type="dxa"/>
            <w:tcBorders/>
            <w:vAlign w:val="bottom"/>
          </w:tcPr>
          <w:p>
            <w:pPr>
              <w:pStyle w:val="TableContents"/>
              <w:bidi w:val="0"/>
              <w:spacing w:before="0" w:after="283"/>
              <w:jc w:val="left"/>
              <w:rPr/>
            </w:pPr>
            <w:r>
              <w:rPr/>
              <w:t>  </w:t>
            </w:r>
          </w:p>
        </w:tc>
        <w:tc>
          <w:tcPr>
            <w:tcW w:w="21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3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2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55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8" w:type="dxa"/>
            <w:tcBorders/>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126"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disorders; diagnostic chemical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w:t>
              <w:br/>
              <w:t xml:space="preserve">(Int’l Class: 40) </w:t>
              <w:br/>
              <w:t>Services: Providing technical information in the field of custom pharmaceutical manufacturing, namely, providing information relating to the chemical, molecular and biomolecular composition and structure of pharmaceuticals;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w:t>
            </w:r>
          </w:p>
          <w:p>
            <w:pPr>
              <w:pStyle w:val="TableContents"/>
              <w:bidi w:val="0"/>
              <w:spacing w:before="0" w:after="20"/>
              <w:jc w:val="left"/>
              <w:rPr>
                <w:rFonts w:ascii="Times New Roman" w:hAnsi="Times New Roman"/>
                <w:sz w:val="20"/>
              </w:rPr>
            </w:pPr>
            <w:r>
              <w:rPr>
                <w:rFonts w:ascii="Times New Roman" w:hAnsi="Times New Roman"/>
                <w:sz w:val="20"/>
              </w:rPr>
              <w:t>a wide variety of diseases; custom manufacturing of pharmaceuticals in the nature of oral, inhalatory, intramuscular, intraperitoneal, intratracheal, intratumoral, intravenous, subcutaneous, and topical applied</w:t>
            </w:r>
          </w:p>
        </w:tc>
        <w:tc>
          <w:tcPr>
            <w:tcW w:w="127"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
        <w:gridCol w:w="127"/>
        <w:gridCol w:w="1530"/>
        <w:gridCol w:w="127"/>
        <w:gridCol w:w="1052"/>
        <w:gridCol w:w="409"/>
        <w:gridCol w:w="2076"/>
        <w:gridCol w:w="127"/>
        <w:gridCol w:w="2481"/>
        <w:gridCol w:w="127"/>
        <w:gridCol w:w="2027"/>
      </w:tblGrid>
      <w:tr>
        <w:trPr/>
        <w:tc>
          <w:tcPr>
            <w:tcW w:w="1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5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9" w:type="dxa"/>
            <w:tcBorders/>
            <w:vAlign w:val="bottom"/>
          </w:tcPr>
          <w:p>
            <w:pPr>
              <w:pStyle w:val="TableContents"/>
              <w:bidi w:val="0"/>
              <w:spacing w:before="0" w:after="283"/>
              <w:jc w:val="left"/>
              <w:rPr/>
            </w:pPr>
            <w:r>
              <w:rPr/>
              <w:t>  </w:t>
            </w:r>
          </w:p>
        </w:tc>
        <w:tc>
          <w:tcPr>
            <w:tcW w:w="20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4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2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52" w:type="dxa"/>
            <w:tcBorders/>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481" w:type="dxa"/>
            <w:tcBorders/>
          </w:tcPr>
          <w:p>
            <w:pPr>
              <w:pStyle w:val="TableContents"/>
              <w:bidi w:val="0"/>
              <w:spacing w:before="0" w:after="283"/>
              <w:jc w:val="left"/>
              <w:rPr/>
            </w:pPr>
            <w:r>
              <w:rPr/>
              <w:t xml:space="preserve">aggregations of liposomes providing time-release of encapsulated pharmaceuticals made to the order or specification of others, for treatment of a wide variety of diseases. </w:t>
              <w:br/>
              <w:t xml:space="preserve">(Int’l Class: 42) </w:t>
              <w:br/>
              <w:t>Services: Drug discovery services; pharmaceutical research and development; research and development of nanomedicinal pharmaceuticals;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fields of drug discovery,</w:t>
            </w:r>
          </w:p>
        </w:tc>
        <w:tc>
          <w:tcPr>
            <w:tcW w:w="127"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2"/>
        <w:gridCol w:w="124"/>
        <w:gridCol w:w="2089"/>
        <w:gridCol w:w="124"/>
        <w:gridCol w:w="991"/>
        <w:gridCol w:w="311"/>
        <w:gridCol w:w="1873"/>
        <w:gridCol w:w="124"/>
        <w:gridCol w:w="2160"/>
        <w:gridCol w:w="124"/>
        <w:gridCol w:w="2023"/>
      </w:tblGrid>
      <w:tr>
        <w:trPr/>
        <w:tc>
          <w:tcPr>
            <w:tcW w:w="26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4" w:type="dxa"/>
            <w:tcBorders/>
            <w:vAlign w:val="bottom"/>
          </w:tcPr>
          <w:p>
            <w:pPr>
              <w:pStyle w:val="TableContents"/>
              <w:bidi w:val="0"/>
              <w:spacing w:before="0" w:after="283"/>
              <w:jc w:val="left"/>
              <w:rPr/>
            </w:pPr>
            <w:r>
              <w:rPr/>
              <w:t>  </w:t>
            </w:r>
          </w:p>
        </w:tc>
        <w:tc>
          <w:tcPr>
            <w:tcW w:w="20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4" w:type="dxa"/>
            <w:tcBorders/>
            <w:vAlign w:val="bottom"/>
          </w:tcPr>
          <w:p>
            <w:pPr>
              <w:pStyle w:val="TableContents"/>
              <w:bidi w:val="0"/>
              <w:spacing w:before="0" w:after="283"/>
              <w:jc w:val="left"/>
              <w:rPr/>
            </w:pPr>
            <w:r>
              <w:rPr/>
              <w:t>  </w:t>
            </w:r>
          </w:p>
        </w:tc>
        <w:tc>
          <w:tcPr>
            <w:tcW w:w="9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11" w:type="dxa"/>
            <w:tcBorders/>
            <w:vAlign w:val="bottom"/>
          </w:tcPr>
          <w:p>
            <w:pPr>
              <w:pStyle w:val="TableContents"/>
              <w:bidi w:val="0"/>
              <w:spacing w:before="0" w:after="283"/>
              <w:jc w:val="left"/>
              <w:rPr/>
            </w:pPr>
            <w:r>
              <w:rPr/>
              <w:t>  </w:t>
            </w:r>
          </w:p>
        </w:tc>
        <w:tc>
          <w:tcPr>
            <w:tcW w:w="18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4" w:type="dxa"/>
            <w:tcBorders/>
            <w:vAlign w:val="bottom"/>
          </w:tcPr>
          <w:p>
            <w:pPr>
              <w:pStyle w:val="TableContents"/>
              <w:bidi w:val="0"/>
              <w:spacing w:before="0" w:after="283"/>
              <w:jc w:val="left"/>
              <w:rPr/>
            </w:pPr>
            <w:r>
              <w:rPr/>
              <w:t>  </w:t>
            </w:r>
          </w:p>
        </w:tc>
        <w:tc>
          <w:tcPr>
            <w:tcW w:w="21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4" w:type="dxa"/>
            <w:tcBorders/>
            <w:vAlign w:val="bottom"/>
          </w:tcPr>
          <w:p>
            <w:pPr>
              <w:pStyle w:val="TableContents"/>
              <w:bidi w:val="0"/>
              <w:spacing w:before="0" w:after="283"/>
              <w:jc w:val="left"/>
              <w:rPr/>
            </w:pPr>
            <w:r>
              <w:rPr/>
              <w:t>  </w:t>
            </w:r>
          </w:p>
        </w:tc>
        <w:tc>
          <w:tcPr>
            <w:tcW w:w="20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8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60" w:type="dxa"/>
            <w:tcBorders/>
          </w:tcPr>
          <w:p>
            <w:pPr>
              <w:pStyle w:val="TableContents"/>
              <w:bidi w:val="0"/>
              <w:spacing w:before="0" w:after="283"/>
              <w:jc w:val="left"/>
              <w:rPr/>
            </w:pPr>
            <w:r>
              <w:rPr/>
              <w:t xml:space="preserve">nanomedicinal pharmaceuticals, nutraceuticals and pharmaceuticals via a website. </w:t>
              <w:br/>
              <w:t xml:space="preserve">(Int’l Class: 44) </w:t>
              <w:br/>
              <w:t>Services: Medical services, namely, administration of nanomedicinal medications; medical services, namely, medical consultancy relating to nanomedicinal products.</w:t>
            </w:r>
          </w:p>
        </w:tc>
        <w:tc>
          <w:tcPr>
            <w:tcW w:w="124"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sz w:val="4"/>
                <w:szCs w:val="4"/>
              </w:rPr>
            </w:pPr>
            <w:r>
              <w:rPr>
                <w:sz w:val="4"/>
                <w:szCs w:val="4"/>
              </w:rPr>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2213"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2184"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pPr>
            <w:r>
              <w:rPr/>
              <w:t>17.</w:t>
            </w:r>
          </w:p>
        </w:tc>
        <w:tc>
          <w:tcPr>
            <w:tcW w:w="124" w:type="dxa"/>
            <w:tcBorders/>
            <w:vAlign w:val="bottom"/>
          </w:tcPr>
          <w:p>
            <w:pPr>
              <w:pStyle w:val="TableContents"/>
              <w:bidi w:val="0"/>
              <w:spacing w:before="0" w:after="283"/>
              <w:jc w:val="left"/>
              <w:rPr/>
            </w:pPr>
            <w:r>
              <w:rPr/>
              <w:t>  </w:t>
            </w:r>
          </w:p>
        </w:tc>
        <w:tc>
          <w:tcPr>
            <w:tcW w:w="20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 P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04925" cy="533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04925" cy="5334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TMA1183528 </w:t>
              <w:br/>
              <w:t>AN: 2022735</w:t>
            </w:r>
          </w:p>
        </w:tc>
        <w:tc>
          <w:tcPr>
            <w:tcW w:w="124"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Canada</w:t>
            </w:r>
          </w:p>
        </w:tc>
        <w:tc>
          <w:tcPr>
            <w:tcW w:w="311" w:type="dxa"/>
            <w:tcBorders/>
            <w:vAlign w:val="bottom"/>
          </w:tcPr>
          <w:p>
            <w:pPr>
              <w:pStyle w:val="TableContents"/>
              <w:bidi w:val="0"/>
              <w:spacing w:before="0" w:after="283"/>
              <w:jc w:val="left"/>
              <w:rPr/>
            </w:pPr>
            <w:r>
              <w:rPr/>
              <w:t>  </w:t>
            </w:r>
          </w:p>
        </w:tc>
        <w:tc>
          <w:tcPr>
            <w:tcW w:w="1873" w:type="dxa"/>
            <w:tcBorders/>
          </w:tcPr>
          <w:p>
            <w:pPr>
              <w:pStyle w:val="TableContents"/>
              <w:bidi w:val="0"/>
              <w:spacing w:before="0" w:after="283"/>
              <w:jc w:val="left"/>
              <w:rPr/>
            </w:pPr>
            <w:r>
              <w:rPr/>
              <w:t xml:space="preserve">Canada </w:t>
              <w:br/>
              <w:t xml:space="preserve">Registered </w:t>
              <w:br/>
              <w:t xml:space="preserve">Last Status Received: Registered, June 7, 2023 </w:t>
              <w:br/>
              <w:t xml:space="preserve">Office Status: Registered </w:t>
              <w:br/>
              <w:t xml:space="preserve">Filed: December 11, 2019 </w:t>
              <w:br/>
              <w:t xml:space="preserve">Registered: June 7, 2023 </w:t>
              <w:br/>
              <w:t>Expiration Date: December 11, 2029</w:t>
            </w:r>
          </w:p>
        </w:tc>
        <w:tc>
          <w:tcPr>
            <w:tcW w:w="124" w:type="dxa"/>
            <w:tcBorders/>
            <w:vAlign w:val="bottom"/>
          </w:tcPr>
          <w:p>
            <w:pPr>
              <w:pStyle w:val="TableContents"/>
              <w:bidi w:val="0"/>
              <w:spacing w:before="0" w:after="283"/>
              <w:jc w:val="left"/>
              <w:rPr/>
            </w:pPr>
            <w:r>
              <w:rPr/>
              <w:t>  </w:t>
            </w:r>
          </w:p>
        </w:tc>
        <w:tc>
          <w:tcPr>
            <w:tcW w:w="2160" w:type="dxa"/>
            <w:tcBorders/>
          </w:tcPr>
          <w:p>
            <w:pPr>
              <w:pStyle w:val="TableContents"/>
              <w:bidi w:val="0"/>
              <w:spacing w:before="0" w:after="283"/>
              <w:jc w:val="left"/>
              <w:rPr/>
            </w:pPr>
            <w:r>
              <w:rPr/>
              <w:t xml:space="preserve">Int’l Class: 05, 40, 42, 44 </w:t>
              <w:br/>
              <w:t xml:space="preserve">(Int’l Class: 05) </w:t>
              <w:br/>
              <w:t>Goods: 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namely, respiratory infections, eye infections, topical infections, autoimmune diseases and disorders, orthopedic diseases and disorders, namely, arthritis, osteoarthritis, bursitis, carpal tunnel syndrome, bone fractures, ligament Injuries, torn meniscus, osteoporosis and scoliosis and chronic back and shoulder pain, blood diseases and disorders, fungal skin infections, diseases and disorders of the central nervous system, namely, brain diseases, central nervous system movement</w:t>
            </w:r>
          </w:p>
        </w:tc>
        <w:tc>
          <w:tcPr>
            <w:tcW w:w="124"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pPr>
            <w:r>
              <w:rPr/>
              <w:t>PLUS THERAPEUTICS, INC. 4200 Marathon Blvd., Suite 200 Austin TX 78756,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4"/>
        <w:gridCol w:w="127"/>
        <w:gridCol w:w="1516"/>
        <w:gridCol w:w="127"/>
        <w:gridCol w:w="1049"/>
        <w:gridCol w:w="402"/>
        <w:gridCol w:w="1973"/>
        <w:gridCol w:w="127"/>
        <w:gridCol w:w="2465"/>
        <w:gridCol w:w="127"/>
        <w:gridCol w:w="2028"/>
      </w:tblGrid>
      <w:tr>
        <w:trPr/>
        <w:tc>
          <w:tcPr>
            <w:tcW w:w="26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2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5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19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4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4"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1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973"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 xml:space="preserve">disorders,ocular motility disorders, spinal cord diseases, encephalitis, epilepsy, Alzheimer’s, cerebral palsy, Parkinson’s disease, oncological diseases and disorders, and ophthalmological diseases and disorders; diagnostic chemical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w:t>
              <w:br/>
              <w:t xml:space="preserve">(Int’l Class: 40) </w:t>
              <w:br/>
              <w:t>Services: Providing technical information in the field of custom pharmaceutical manufacturing, namely, providing information relating to the chemical, molecular and biomolecular composition and structure of pharmaceuticals;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w:t>
            </w:r>
          </w:p>
        </w:tc>
        <w:tc>
          <w:tcPr>
            <w:tcW w:w="127"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4"/>
        <w:gridCol w:w="127"/>
        <w:gridCol w:w="1516"/>
        <w:gridCol w:w="127"/>
        <w:gridCol w:w="1049"/>
        <w:gridCol w:w="402"/>
        <w:gridCol w:w="1973"/>
        <w:gridCol w:w="127"/>
        <w:gridCol w:w="2465"/>
        <w:gridCol w:w="127"/>
        <w:gridCol w:w="2028"/>
      </w:tblGrid>
      <w:tr>
        <w:trPr/>
        <w:tc>
          <w:tcPr>
            <w:tcW w:w="26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2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5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19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4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4"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1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973"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 xml:space="preserve">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Services: Drug discovery services; pharmaceutical research and development; research and development of nanomedicinal pharmaceuticals;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w:t>
            </w:r>
          </w:p>
        </w:tc>
        <w:tc>
          <w:tcPr>
            <w:tcW w:w="127"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3"/>
        <w:gridCol w:w="127"/>
        <w:gridCol w:w="1470"/>
        <w:gridCol w:w="127"/>
        <w:gridCol w:w="1034"/>
        <w:gridCol w:w="380"/>
        <w:gridCol w:w="2159"/>
        <w:gridCol w:w="127"/>
        <w:gridCol w:w="2367"/>
        <w:gridCol w:w="127"/>
        <w:gridCol w:w="2024"/>
      </w:tblGrid>
      <w:tr>
        <w:trPr/>
        <w:tc>
          <w:tcPr>
            <w:tcW w:w="26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r>
      <w:tr>
        <w:trPr/>
        <w:tc>
          <w:tcPr>
            <w:tcW w:w="2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80" w:type="dxa"/>
            <w:tcBorders/>
            <w:vAlign w:val="bottom"/>
          </w:tcPr>
          <w:p>
            <w:pPr>
              <w:pStyle w:val="TableContents"/>
              <w:bidi w:val="0"/>
              <w:spacing w:before="0" w:after="283"/>
              <w:jc w:val="left"/>
              <w:rPr/>
            </w:pPr>
            <w:r>
              <w:rPr/>
              <w:t>  </w:t>
            </w:r>
          </w:p>
        </w:tc>
        <w:tc>
          <w:tcPr>
            <w:tcW w:w="21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3"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15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67" w:type="dxa"/>
            <w:tcBorders/>
          </w:tcPr>
          <w:p>
            <w:pPr>
              <w:pStyle w:val="TableContents"/>
              <w:bidi w:val="0"/>
              <w:spacing w:before="0" w:after="283"/>
              <w:jc w:val="left"/>
              <w:rPr/>
            </w:pPr>
            <w:r>
              <w:rPr/>
              <w:t xml:space="preserve">aggregations of liposomes providing time-release of encapsulated pharmaceuticals made to the order or specification of others, for treatment of aggregations of liposomes providing time-release of encapsulated pharmaceuticals, for treatment of a wide variety of diseases; providing medical and scientific information in the fields of drug discovery, nanomedicinal pharmaceuticals, nutraceuticals and pharmaceuticals via a website. </w:t>
              <w:br/>
              <w:t xml:space="preserve">(Int’l Class: 44) </w:t>
              <w:br/>
              <w:t>Services: 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sz w:val="4"/>
                <w:szCs w:val="4"/>
              </w:rPr>
            </w:pPr>
            <w:r>
              <w:rPr>
                <w:sz w:val="4"/>
                <w:szCs w:val="4"/>
              </w:rPr>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1597"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c>
          <w:tcPr>
            <w:tcW w:w="2539" w:type="dxa"/>
            <w:gridSpan w:val="2"/>
            <w:tcBorders/>
            <w:vAlign w:val="center"/>
          </w:tcPr>
          <w:p>
            <w:pPr>
              <w:pStyle w:val="TableContents"/>
              <w:bidi w:val="0"/>
              <w:spacing w:before="0" w:after="283"/>
              <w:jc w:val="left"/>
              <w:rPr>
                <w:sz w:val="4"/>
                <w:szCs w:val="4"/>
              </w:rPr>
            </w:pPr>
            <w:r>
              <w:rPr>
                <w:sz w:val="4"/>
                <w:szCs w:val="4"/>
              </w:rPr>
            </w:r>
          </w:p>
        </w:tc>
        <w:tc>
          <w:tcPr>
            <w:tcW w:w="2494" w:type="dxa"/>
            <w:gridSpan w:val="2"/>
            <w:tcBorders/>
            <w:vAlign w:val="center"/>
          </w:tcPr>
          <w:p>
            <w:pPr>
              <w:pStyle w:val="TableContents"/>
              <w:bidi w:val="0"/>
              <w:spacing w:before="0" w:after="283"/>
              <w:jc w:val="left"/>
              <w:rPr>
                <w:sz w:val="4"/>
                <w:szCs w:val="4"/>
              </w:rPr>
            </w:pPr>
            <w:r>
              <w:rPr>
                <w:sz w:val="4"/>
                <w:szCs w:val="4"/>
              </w:rPr>
            </w:r>
          </w:p>
        </w:tc>
        <w:tc>
          <w:tcPr>
            <w:tcW w:w="2151"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18.</w:t>
            </w:r>
          </w:p>
        </w:tc>
        <w:tc>
          <w:tcPr>
            <w:tcW w:w="127" w:type="dxa"/>
            <w:tcBorders/>
            <w:vAlign w:val="bottom"/>
          </w:tcPr>
          <w:p>
            <w:pPr>
              <w:pStyle w:val="TableContents"/>
              <w:bidi w:val="0"/>
              <w:spacing w:before="0" w:after="283"/>
              <w:jc w:val="left"/>
              <w:rPr/>
            </w:pPr>
            <w:r>
              <w:rPr/>
              <w:t>  </w:t>
            </w:r>
          </w:p>
        </w:tc>
        <w:tc>
          <w:tcPr>
            <w:tcW w:w="147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RESPECT</w:t>
            </w:r>
          </w:p>
          <w:p>
            <w:pPr>
              <w:pStyle w:val="TableContents"/>
              <w:bidi w:val="0"/>
              <w:spacing w:before="0" w:after="0"/>
              <w:jc w:val="left"/>
              <w:rPr>
                <w:rFonts w:ascii="Times New Roman" w:hAnsi="Times New Roman"/>
                <w:sz w:val="20"/>
              </w:rPr>
            </w:pPr>
            <w:r>
              <w:rPr>
                <w:rFonts w:ascii="Times New Roman" w:hAnsi="Times New Roman"/>
                <w:sz w:val="20"/>
              </w:rPr>
              <w:t>RN: TMA1191597</w:t>
            </w:r>
          </w:p>
          <w:p>
            <w:pPr>
              <w:pStyle w:val="TableContents"/>
              <w:bidi w:val="0"/>
              <w:spacing w:before="0" w:after="20"/>
              <w:jc w:val="left"/>
              <w:rPr>
                <w:rFonts w:ascii="Times New Roman" w:hAnsi="Times New Roman"/>
                <w:sz w:val="20"/>
              </w:rPr>
            </w:pPr>
            <w:r>
              <w:rPr>
                <w:rFonts w:ascii="Times New Roman" w:hAnsi="Times New Roman"/>
                <w:sz w:val="20"/>
              </w:rPr>
              <w:t>AN: 2090977</w:t>
            </w:r>
          </w:p>
        </w:tc>
        <w:tc>
          <w:tcPr>
            <w:tcW w:w="127"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left"/>
              <w:rPr/>
            </w:pPr>
            <w:r>
              <w:rPr/>
              <w:t>Canada</w:t>
            </w:r>
          </w:p>
        </w:tc>
        <w:tc>
          <w:tcPr>
            <w:tcW w:w="380" w:type="dxa"/>
            <w:tcBorders/>
            <w:vAlign w:val="bottom"/>
          </w:tcPr>
          <w:p>
            <w:pPr>
              <w:pStyle w:val="TableContents"/>
              <w:bidi w:val="0"/>
              <w:spacing w:before="0" w:after="283"/>
              <w:jc w:val="left"/>
              <w:rPr/>
            </w:pPr>
            <w:r>
              <w:rPr/>
              <w:t>  </w:t>
            </w:r>
          </w:p>
        </w:tc>
        <w:tc>
          <w:tcPr>
            <w:tcW w:w="2159" w:type="dxa"/>
            <w:tcBorders/>
          </w:tcPr>
          <w:p>
            <w:pPr>
              <w:pStyle w:val="TableContents"/>
              <w:bidi w:val="0"/>
              <w:spacing w:before="0" w:after="283"/>
              <w:jc w:val="left"/>
              <w:rPr/>
            </w:pPr>
            <w:r>
              <w:rPr/>
              <w:t xml:space="preserve">Canada </w:t>
              <w:br/>
              <w:t xml:space="preserve">Registered </w:t>
              <w:br/>
              <w:t xml:space="preserve">Last Status Received: Registered, July 26, 2023 </w:t>
              <w:br/>
              <w:t xml:space="preserve">Office Status: Registered </w:t>
              <w:br/>
              <w:t xml:space="preserve">Filed: January 13, 2021 </w:t>
              <w:br/>
              <w:t xml:space="preserve">Registered: July 26, 2023 </w:t>
              <w:br/>
              <w:t>Expiration Date: January 13, 2031</w:t>
            </w:r>
          </w:p>
        </w:tc>
        <w:tc>
          <w:tcPr>
            <w:tcW w:w="127" w:type="dxa"/>
            <w:tcBorders/>
            <w:vAlign w:val="bottom"/>
          </w:tcPr>
          <w:p>
            <w:pPr>
              <w:pStyle w:val="TableContents"/>
              <w:bidi w:val="0"/>
              <w:spacing w:before="0" w:after="283"/>
              <w:jc w:val="left"/>
              <w:rPr/>
            </w:pPr>
            <w:r>
              <w:rPr/>
              <w:t>  </w:t>
            </w:r>
          </w:p>
        </w:tc>
        <w:tc>
          <w:tcPr>
            <w:tcW w:w="2367" w:type="dxa"/>
            <w:tcBorders/>
          </w:tcPr>
          <w:p>
            <w:pPr>
              <w:pStyle w:val="TableContents"/>
              <w:bidi w:val="0"/>
              <w:spacing w:before="0" w:after="283"/>
              <w:jc w:val="left"/>
              <w:rPr/>
            </w:pPr>
            <w:r>
              <w:rPr/>
              <w:t xml:space="preserve">Int’l Class: 44 </w:t>
              <w:br/>
              <w:t xml:space="preserve">(Int’l Class: 44) </w:t>
              <w:br/>
              <w:t>Services: Providing medical information in the fields of drug discovery, nano-medicinal pharmaceuticals, nutraceuticals and pharmaceuticals via a website; providing medical information relating to oncology; providing medical information from a website relating to clinical trials of radiotherapeutic products.</w:t>
            </w:r>
          </w:p>
        </w:tc>
        <w:tc>
          <w:tcPr>
            <w:tcW w:w="127" w:type="dxa"/>
            <w:tcBorders/>
            <w:vAlign w:val="bottom"/>
          </w:tcPr>
          <w:p>
            <w:pPr>
              <w:pStyle w:val="TableContents"/>
              <w:bidi w:val="0"/>
              <w:spacing w:before="0" w:after="283"/>
              <w:jc w:val="left"/>
              <w:rPr/>
            </w:pPr>
            <w:r>
              <w:rPr/>
              <w:t>  </w:t>
            </w:r>
          </w:p>
        </w:tc>
        <w:tc>
          <w:tcPr>
            <w:tcW w:w="2024" w:type="dxa"/>
            <w:tcBorders/>
          </w:tcPr>
          <w:p>
            <w:pPr>
              <w:pStyle w:val="TableContents"/>
              <w:bidi w:val="0"/>
              <w:spacing w:before="0" w:after="283"/>
              <w:jc w:val="left"/>
              <w:rPr/>
            </w:pPr>
            <w:r>
              <w:rPr/>
              <w:t>Plus Therapeutics, Inc. 4200 Marathon Blvd., Suite 200 Austin TX 78756,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3"/>
        <w:gridCol w:w="125"/>
        <w:gridCol w:w="2027"/>
        <w:gridCol w:w="125"/>
        <w:gridCol w:w="994"/>
        <w:gridCol w:w="311"/>
        <w:gridCol w:w="1876"/>
        <w:gridCol w:w="125"/>
        <w:gridCol w:w="2205"/>
        <w:gridCol w:w="125"/>
        <w:gridCol w:w="2029"/>
      </w:tblGrid>
      <w:tr>
        <w:trPr/>
        <w:tc>
          <w:tcPr>
            <w:tcW w:w="26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2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5" w:type="dxa"/>
            <w:tcBorders/>
            <w:vAlign w:val="bottom"/>
          </w:tcPr>
          <w:p>
            <w:pPr>
              <w:pStyle w:val="TableContents"/>
              <w:bidi w:val="0"/>
              <w:spacing w:before="0" w:after="283"/>
              <w:jc w:val="left"/>
              <w:rPr/>
            </w:pPr>
            <w:r>
              <w:rPr/>
              <w:t>  </w:t>
            </w:r>
          </w:p>
        </w:tc>
        <w:tc>
          <w:tcPr>
            <w:tcW w:w="20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5" w:type="dxa"/>
            <w:tcBorders/>
            <w:vAlign w:val="bottom"/>
          </w:tcPr>
          <w:p>
            <w:pPr>
              <w:pStyle w:val="TableContents"/>
              <w:bidi w:val="0"/>
              <w:spacing w:before="0" w:after="283"/>
              <w:jc w:val="left"/>
              <w:rPr/>
            </w:pPr>
            <w:r>
              <w:rPr/>
              <w:t>  </w:t>
            </w:r>
          </w:p>
        </w:tc>
        <w:tc>
          <w:tcPr>
            <w:tcW w:w="9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11" w:type="dxa"/>
            <w:tcBorders/>
            <w:vAlign w:val="bottom"/>
          </w:tcPr>
          <w:p>
            <w:pPr>
              <w:pStyle w:val="TableContents"/>
              <w:bidi w:val="0"/>
              <w:spacing w:before="0" w:after="283"/>
              <w:jc w:val="left"/>
              <w:rPr/>
            </w:pPr>
            <w:r>
              <w:rPr/>
              <w:t>  </w:t>
            </w:r>
          </w:p>
        </w:tc>
        <w:tc>
          <w:tcPr>
            <w:tcW w:w="18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5" w:type="dxa"/>
            <w:tcBorders/>
            <w:vAlign w:val="bottom"/>
          </w:tcPr>
          <w:p>
            <w:pPr>
              <w:pStyle w:val="TableContents"/>
              <w:bidi w:val="0"/>
              <w:spacing w:before="0" w:after="283"/>
              <w:jc w:val="left"/>
              <w:rPr/>
            </w:pPr>
            <w:r>
              <w:rPr/>
              <w:t>  </w:t>
            </w:r>
          </w:p>
        </w:tc>
        <w:tc>
          <w:tcPr>
            <w:tcW w:w="2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5" w:type="dxa"/>
            <w:tcBorders/>
            <w:vAlign w:val="bottom"/>
          </w:tcPr>
          <w:p>
            <w:pPr>
              <w:pStyle w:val="TableContents"/>
              <w:bidi w:val="0"/>
              <w:spacing w:before="0" w:after="283"/>
              <w:jc w:val="left"/>
              <w:rPr/>
            </w:pPr>
            <w:r>
              <w:rPr/>
              <w:t>  </w:t>
            </w:r>
          </w:p>
        </w:tc>
        <w:tc>
          <w:tcPr>
            <w:tcW w:w="20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c>
          <w:tcPr>
            <w:tcW w:w="1119" w:type="dxa"/>
            <w:gridSpan w:val="2"/>
            <w:tcBorders/>
            <w:vAlign w:val="center"/>
          </w:tcPr>
          <w:p>
            <w:pPr>
              <w:pStyle w:val="TableContents"/>
              <w:bidi w:val="0"/>
              <w:spacing w:before="0" w:after="283"/>
              <w:jc w:val="left"/>
              <w:rPr>
                <w:sz w:val="4"/>
                <w:szCs w:val="4"/>
              </w:rPr>
            </w:pPr>
            <w:r>
              <w:rPr>
                <w:sz w:val="4"/>
                <w:szCs w:val="4"/>
              </w:rPr>
            </w:r>
          </w:p>
        </w:tc>
        <w:tc>
          <w:tcPr>
            <w:tcW w:w="2187"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2154"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19.</w:t>
            </w:r>
          </w:p>
        </w:tc>
        <w:tc>
          <w:tcPr>
            <w:tcW w:w="125"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 SPECT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38250" cy="47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38250" cy="4762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TMA1191587 </w:t>
              <w:br/>
              <w:t>AN: 2085644</w:t>
            </w:r>
          </w:p>
        </w:tc>
        <w:tc>
          <w:tcPr>
            <w:tcW w:w="125"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283"/>
              <w:jc w:val="left"/>
              <w:rPr/>
            </w:pPr>
            <w:r>
              <w:rPr/>
              <w:t>Canada</w:t>
            </w:r>
          </w:p>
        </w:tc>
        <w:tc>
          <w:tcPr>
            <w:tcW w:w="311" w:type="dxa"/>
            <w:tcBorders/>
            <w:vAlign w:val="bottom"/>
          </w:tcPr>
          <w:p>
            <w:pPr>
              <w:pStyle w:val="TableContents"/>
              <w:bidi w:val="0"/>
              <w:spacing w:before="0" w:after="283"/>
              <w:jc w:val="left"/>
              <w:rPr/>
            </w:pPr>
            <w:r>
              <w:rPr/>
              <w:t>  </w:t>
            </w:r>
          </w:p>
        </w:tc>
        <w:tc>
          <w:tcPr>
            <w:tcW w:w="1876" w:type="dxa"/>
            <w:tcBorders/>
          </w:tcPr>
          <w:p>
            <w:pPr>
              <w:pStyle w:val="TableContents"/>
              <w:bidi w:val="0"/>
              <w:spacing w:before="0" w:after="283"/>
              <w:jc w:val="left"/>
              <w:rPr/>
            </w:pPr>
            <w:r>
              <w:rPr/>
              <w:t xml:space="preserve">Canada </w:t>
              <w:br/>
              <w:t xml:space="preserve">Registered </w:t>
              <w:br/>
              <w:t xml:space="preserve">Last Status Received: Registered, July 26, 2023 </w:t>
              <w:br/>
              <w:t xml:space="preserve">Office Status: Registered </w:t>
              <w:br/>
              <w:t xml:space="preserve">Filed: January 13, 2021 </w:t>
              <w:br/>
              <w:t xml:space="preserve">Registered: July 26, 2023 </w:t>
              <w:br/>
              <w:t>Expiration Date: January 13, 2031</w:t>
            </w:r>
          </w:p>
        </w:tc>
        <w:tc>
          <w:tcPr>
            <w:tcW w:w="125" w:type="dxa"/>
            <w:tcBorders/>
            <w:vAlign w:val="bottom"/>
          </w:tcPr>
          <w:p>
            <w:pPr>
              <w:pStyle w:val="TableContents"/>
              <w:bidi w:val="0"/>
              <w:spacing w:before="0" w:after="283"/>
              <w:jc w:val="left"/>
              <w:rPr/>
            </w:pPr>
            <w:r>
              <w:rPr/>
              <w:t>  </w:t>
            </w:r>
          </w:p>
        </w:tc>
        <w:tc>
          <w:tcPr>
            <w:tcW w:w="2205" w:type="dxa"/>
            <w:tcBorders/>
          </w:tcPr>
          <w:p>
            <w:pPr>
              <w:pStyle w:val="TableContents"/>
              <w:bidi w:val="0"/>
              <w:spacing w:before="0" w:after="283"/>
              <w:jc w:val="left"/>
              <w:rPr/>
            </w:pPr>
            <w:r>
              <w:rPr/>
              <w:t xml:space="preserve">Int’l Class: 44 </w:t>
              <w:br/>
              <w:t xml:space="preserve">(Int’l Class: 44) </w:t>
              <w:br/>
              <w:t>Services: Providing medical information in the fields of drug discovery, nano-medicinal pharmaceuticals, nutraceuticals and pharmaceuticals via a website; providing medical information relating to oncology; providing medical information from a website relating to clinical trials of radiotherapeutic products.</w:t>
            </w:r>
          </w:p>
        </w:tc>
        <w:tc>
          <w:tcPr>
            <w:tcW w:w="125" w:type="dxa"/>
            <w:tcBorders/>
            <w:vAlign w:val="bottom"/>
          </w:tcPr>
          <w:p>
            <w:pPr>
              <w:pStyle w:val="TableContents"/>
              <w:bidi w:val="0"/>
              <w:spacing w:before="0" w:after="283"/>
              <w:jc w:val="left"/>
              <w:rPr/>
            </w:pPr>
            <w:r>
              <w:rPr/>
              <w:t>  </w:t>
            </w:r>
          </w:p>
        </w:tc>
        <w:tc>
          <w:tcPr>
            <w:tcW w:w="2029" w:type="dxa"/>
            <w:tcBorders/>
          </w:tcPr>
          <w:p>
            <w:pPr>
              <w:pStyle w:val="TableContents"/>
              <w:bidi w:val="0"/>
              <w:spacing w:before="0" w:after="283"/>
              <w:jc w:val="left"/>
              <w:rPr/>
            </w:pPr>
            <w:r>
              <w:rPr/>
              <w:t>PLUS THERAPEUTICS, INC. 4200 Marathon Blvd., Suite 200 Austin TX 78756, United States of America</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c>
          <w:tcPr>
            <w:tcW w:w="1119" w:type="dxa"/>
            <w:gridSpan w:val="2"/>
            <w:tcBorders/>
            <w:vAlign w:val="center"/>
          </w:tcPr>
          <w:p>
            <w:pPr>
              <w:pStyle w:val="TableContents"/>
              <w:bidi w:val="0"/>
              <w:spacing w:before="0" w:after="283"/>
              <w:jc w:val="left"/>
              <w:rPr>
                <w:sz w:val="4"/>
                <w:szCs w:val="4"/>
              </w:rPr>
            </w:pPr>
            <w:r>
              <w:rPr>
                <w:sz w:val="4"/>
                <w:szCs w:val="4"/>
              </w:rPr>
            </w:r>
          </w:p>
        </w:tc>
        <w:tc>
          <w:tcPr>
            <w:tcW w:w="2187" w:type="dxa"/>
            <w:gridSpan w:val="2"/>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2154"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20.</w:t>
            </w:r>
          </w:p>
        </w:tc>
        <w:tc>
          <w:tcPr>
            <w:tcW w:w="125"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2288012</w:t>
            </w:r>
          </w:p>
          <w:p>
            <w:pPr>
              <w:pStyle w:val="TableContents"/>
              <w:bidi w:val="0"/>
              <w:spacing w:before="0" w:after="20"/>
              <w:jc w:val="left"/>
              <w:rPr>
                <w:rFonts w:ascii="Times New Roman" w:hAnsi="Times New Roman"/>
                <w:sz w:val="20"/>
              </w:rPr>
            </w:pPr>
            <w:r>
              <w:rPr>
                <w:rFonts w:ascii="Times New Roman" w:hAnsi="Times New Roman"/>
                <w:sz w:val="20"/>
              </w:rPr>
              <w:t>AN: M2370187</w:t>
            </w:r>
          </w:p>
        </w:tc>
        <w:tc>
          <w:tcPr>
            <w:tcW w:w="125"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283"/>
              <w:jc w:val="left"/>
              <w:rPr/>
            </w:pPr>
            <w:r>
              <w:rPr/>
              <w:t>Mexico</w:t>
            </w:r>
          </w:p>
        </w:tc>
        <w:tc>
          <w:tcPr>
            <w:tcW w:w="311" w:type="dxa"/>
            <w:tcBorders/>
            <w:vAlign w:val="bottom"/>
          </w:tcPr>
          <w:p>
            <w:pPr>
              <w:pStyle w:val="TableContents"/>
              <w:bidi w:val="0"/>
              <w:spacing w:before="0" w:after="283"/>
              <w:jc w:val="left"/>
              <w:rPr/>
            </w:pPr>
            <w:r>
              <w:rPr/>
              <w:t>  </w:t>
            </w:r>
          </w:p>
        </w:tc>
        <w:tc>
          <w:tcPr>
            <w:tcW w:w="1876"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18, 2021 </w:t>
              <w:br/>
              <w:t>Expiration Date: December 11, 2029</w:t>
            </w:r>
          </w:p>
        </w:tc>
        <w:tc>
          <w:tcPr>
            <w:tcW w:w="125" w:type="dxa"/>
            <w:tcBorders/>
            <w:vAlign w:val="bottom"/>
          </w:tcPr>
          <w:p>
            <w:pPr>
              <w:pStyle w:val="TableContents"/>
              <w:bidi w:val="0"/>
              <w:spacing w:before="0" w:after="283"/>
              <w:jc w:val="left"/>
              <w:rPr/>
            </w:pPr>
            <w:r>
              <w:rPr/>
              <w:t>  </w:t>
            </w:r>
          </w:p>
        </w:tc>
        <w:tc>
          <w:tcPr>
            <w:tcW w:w="2205" w:type="dxa"/>
            <w:tcBorders/>
          </w:tcPr>
          <w:p>
            <w:pPr>
              <w:pStyle w:val="TableContents"/>
              <w:bidi w:val="0"/>
              <w:spacing w:before="0" w:after="283"/>
              <w:jc w:val="left"/>
              <w:rPr/>
            </w:pPr>
            <w:r>
              <w:rPr/>
              <w:t xml:space="preserve">Int’l Class: 42 </w:t>
              <w:br/>
              <w:t xml:space="preserve">(Translation) </w:t>
              <w:br/>
              <w:t xml:space="preserve">(Int’l Class: 42) </w:t>
              <w:br/>
              <w:t>drug discovery services; pharmaceutical research and development; research and development of nanomedicinal products; Scientific and medical research and development for nutraceutical products, pharmaceuticals, pharmaceutical substances and preparations in the fields of cancer, diabetes, infectious diseases, autoimmune diseases and disorders, orthopedic diseases and disorders, diseases and disorders of blood, mycoses, diseases and disorders of the central nervous system, oncological diseases and disorders, and ophthalmological diseases and disorders; Scientific research and development of pharmaceutical products in the form of aggregations of liposomes for topical, subcutaneous, intravenous, intratumoral, intratracheal,</w:t>
            </w:r>
          </w:p>
        </w:tc>
        <w:tc>
          <w:tcPr>
            <w:tcW w:w="125" w:type="dxa"/>
            <w:tcBorders/>
            <w:vAlign w:val="bottom"/>
          </w:tcPr>
          <w:p>
            <w:pPr>
              <w:pStyle w:val="TableContents"/>
              <w:bidi w:val="0"/>
              <w:spacing w:before="0" w:after="283"/>
              <w:jc w:val="left"/>
              <w:rPr/>
            </w:pPr>
            <w:r>
              <w:rPr/>
              <w:t>  </w:t>
            </w:r>
          </w:p>
        </w:tc>
        <w:tc>
          <w:tcPr>
            <w:tcW w:w="2029" w:type="dxa"/>
            <w:tcBorders/>
          </w:tcPr>
          <w:p>
            <w:pPr>
              <w:pStyle w:val="TableContents"/>
              <w:bidi w:val="0"/>
              <w:spacing w:before="0" w:after="283"/>
              <w:jc w:val="left"/>
              <w:rPr/>
            </w:pPr>
            <w:r>
              <w:rPr/>
              <w:t>PLUS THERAPEUTICS, INC. 4200 MARATHON BLVD., SUITE 200, 78756, AUSTIN TX,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1"/>
        <w:gridCol w:w="128"/>
        <w:gridCol w:w="1999"/>
        <w:gridCol w:w="128"/>
        <w:gridCol w:w="1009"/>
        <w:gridCol w:w="289"/>
        <w:gridCol w:w="1885"/>
        <w:gridCol w:w="128"/>
        <w:gridCol w:w="2139"/>
        <w:gridCol w:w="127"/>
        <w:gridCol w:w="2102"/>
      </w:tblGrid>
      <w:tr>
        <w:trPr/>
        <w:tc>
          <w:tcPr>
            <w:tcW w:w="2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9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89" w:type="dxa"/>
            <w:tcBorders/>
            <w:vAlign w:val="bottom"/>
          </w:tcPr>
          <w:p>
            <w:pPr>
              <w:pStyle w:val="TableContents"/>
              <w:bidi w:val="0"/>
              <w:spacing w:before="0" w:after="283"/>
              <w:jc w:val="left"/>
              <w:rPr/>
            </w:pPr>
            <w:r>
              <w:rPr/>
              <w:t>  </w:t>
            </w:r>
          </w:p>
        </w:tc>
        <w:tc>
          <w:tcPr>
            <w:tcW w:w="18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1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1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999"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pPr>
            <w:r>
              <w:rPr/>
              <w:t>intraperitoneal, intramuscular, inhalation and oral application that provide a programmed release of encapsulated pharmaceutical products, for the treatment of a wide range of diseases; provision of medical and scientific information in the aforementioned fields.</w:t>
            </w:r>
          </w:p>
        </w:tc>
        <w:tc>
          <w:tcPr>
            <w:tcW w:w="127"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sz w:val="4"/>
                <w:szCs w:val="4"/>
              </w:rPr>
            </w:pPr>
            <w:r>
              <w:rPr>
                <w:sz w:val="4"/>
                <w:szCs w:val="4"/>
              </w:rPr>
            </w:r>
          </w:p>
        </w:tc>
      </w:tr>
      <w:tr>
        <w:trPr>
          <w:trHeight w:val="120" w:hRule="atLeast"/>
        </w:trPr>
        <w:tc>
          <w:tcPr>
            <w:tcW w:w="271" w:type="dxa"/>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c>
          <w:tcPr>
            <w:tcW w:w="1137" w:type="dxa"/>
            <w:gridSpan w:val="2"/>
            <w:tcBorders/>
            <w:vAlign w:val="center"/>
          </w:tcPr>
          <w:p>
            <w:pPr>
              <w:pStyle w:val="TableContents"/>
              <w:bidi w:val="0"/>
              <w:spacing w:before="0" w:after="283"/>
              <w:jc w:val="left"/>
              <w:rPr>
                <w:sz w:val="4"/>
                <w:szCs w:val="4"/>
              </w:rPr>
            </w:pPr>
            <w:r>
              <w:rPr>
                <w:sz w:val="4"/>
                <w:szCs w:val="4"/>
              </w:rPr>
            </w:r>
          </w:p>
        </w:tc>
        <w:tc>
          <w:tcPr>
            <w:tcW w:w="2174" w:type="dxa"/>
            <w:gridSpan w:val="2"/>
            <w:tcBorders/>
            <w:vAlign w:val="center"/>
          </w:tcPr>
          <w:p>
            <w:pPr>
              <w:pStyle w:val="TableContents"/>
              <w:bidi w:val="0"/>
              <w:spacing w:before="0" w:after="283"/>
              <w:jc w:val="left"/>
              <w:rPr>
                <w:sz w:val="4"/>
                <w:szCs w:val="4"/>
              </w:rPr>
            </w:pPr>
            <w:r>
              <w:rPr>
                <w:sz w:val="4"/>
                <w:szCs w:val="4"/>
              </w:rPr>
            </w:r>
          </w:p>
        </w:tc>
        <w:tc>
          <w:tcPr>
            <w:tcW w:w="2267"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r>
      <w:tr>
        <w:trPr/>
        <w:tc>
          <w:tcPr>
            <w:tcW w:w="271" w:type="dxa"/>
            <w:tcBorders/>
          </w:tcPr>
          <w:p>
            <w:pPr>
              <w:pStyle w:val="TableContents"/>
              <w:bidi w:val="0"/>
              <w:spacing w:before="0" w:after="283"/>
              <w:jc w:val="left"/>
              <w:rPr/>
            </w:pPr>
            <w:r>
              <w:rPr/>
              <w:t>21.</w:t>
            </w:r>
          </w:p>
        </w:tc>
        <w:tc>
          <w:tcPr>
            <w:tcW w:w="128" w:type="dxa"/>
            <w:tcBorders/>
            <w:vAlign w:val="bottom"/>
          </w:tcPr>
          <w:p>
            <w:pPr>
              <w:pStyle w:val="TableContents"/>
              <w:bidi w:val="0"/>
              <w:spacing w:before="0" w:after="283"/>
              <w:jc w:val="left"/>
              <w:rPr/>
            </w:pPr>
            <w:r>
              <w:rPr/>
              <w:t>  </w:t>
            </w:r>
          </w:p>
        </w:tc>
        <w:tc>
          <w:tcPr>
            <w:tcW w:w="199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RN: 2287195 </w:t>
              <w:br/>
              <w:t>AN: M2371301</w:t>
            </w:r>
          </w:p>
          <w:p>
            <w:pPr>
              <w:pStyle w:val="TableContents"/>
              <w:bidi w:val="0"/>
              <w:spacing w:before="0" w:after="20"/>
              <w:jc w:val="left"/>
              <w:rPr/>
            </w:pPr>
            <w:r>
              <w:rPr/>
              <w:t> </w:t>
            </w:r>
          </w:p>
        </w:tc>
        <w:tc>
          <w:tcPr>
            <w:tcW w:w="128" w:type="dxa"/>
            <w:tcBorders/>
            <w:vAlign w:val="bottom"/>
          </w:tcPr>
          <w:p>
            <w:pPr>
              <w:pStyle w:val="TableContents"/>
              <w:bidi w:val="0"/>
              <w:spacing w:before="0" w:after="283"/>
              <w:jc w:val="left"/>
              <w:rPr/>
            </w:pPr>
            <w:r>
              <w:rPr/>
              <w:t>  </w:t>
            </w:r>
          </w:p>
        </w:tc>
        <w:tc>
          <w:tcPr>
            <w:tcW w:w="1009" w:type="dxa"/>
            <w:tcBorders/>
          </w:tcPr>
          <w:p>
            <w:pPr>
              <w:pStyle w:val="TableContents"/>
              <w:bidi w:val="0"/>
              <w:spacing w:before="0" w:after="283"/>
              <w:jc w:val="left"/>
              <w:rPr/>
            </w:pPr>
            <w:r>
              <w:rPr/>
              <w:t>Mexico</w:t>
            </w:r>
          </w:p>
        </w:tc>
        <w:tc>
          <w:tcPr>
            <w:tcW w:w="289" w:type="dxa"/>
            <w:tcBorders/>
            <w:vAlign w:val="bottom"/>
          </w:tcPr>
          <w:p>
            <w:pPr>
              <w:pStyle w:val="TableContents"/>
              <w:bidi w:val="0"/>
              <w:spacing w:before="0" w:after="283"/>
              <w:jc w:val="left"/>
              <w:rPr/>
            </w:pPr>
            <w:r>
              <w:rPr/>
              <w:t>  </w:t>
            </w:r>
          </w:p>
        </w:tc>
        <w:tc>
          <w:tcPr>
            <w:tcW w:w="1885"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17, 2021 </w:t>
              <w:br/>
              <w:t>Expiration Date: December 11, 2029</w:t>
            </w:r>
          </w:p>
        </w:tc>
        <w:tc>
          <w:tcPr>
            <w:tcW w:w="128" w:type="dxa"/>
            <w:tcBorders/>
            <w:vAlign w:val="bottom"/>
          </w:tcPr>
          <w:p>
            <w:pPr>
              <w:pStyle w:val="TableContents"/>
              <w:bidi w:val="0"/>
              <w:spacing w:before="0" w:after="283"/>
              <w:jc w:val="left"/>
              <w:rPr/>
            </w:pPr>
            <w:r>
              <w:rPr/>
              <w:t>  </w:t>
            </w:r>
          </w:p>
        </w:tc>
        <w:tc>
          <w:tcPr>
            <w:tcW w:w="2139" w:type="dxa"/>
            <w:tcBorders/>
          </w:tcPr>
          <w:p>
            <w:pPr>
              <w:pStyle w:val="TableContents"/>
              <w:bidi w:val="0"/>
              <w:spacing w:before="0" w:after="283"/>
              <w:jc w:val="left"/>
              <w:rPr/>
            </w:pPr>
            <w:r>
              <w:rPr/>
              <w:t xml:space="preserve">Int’l Class: 40 </w:t>
              <w:br/>
              <w:t xml:space="preserve">(Translation) </w:t>
              <w:br/>
              <w:t xml:space="preserve">(Int’l Class: 40) </w:t>
              <w:br/>
              <w:t>provision of technical information in the field of the pharmaceutical industry; custom manufacturing of pharmaceutical products; provision of information on custom manufacturing of pharmaceuticals in the form of liposome aggregations for oral, inhalation, intramuscular, intraperitoneal, intratracheal, intratumoral, intravenous, subcutaneous and topical application that provide controlled release of encapsulated pharmaceuticals according to order or the specification of third parties, for the treatment of a wide range of diseases; custom manufacturing of pharmaceutical products in the form of liposome aggregations for oral, inhalation, intramuscular, intraperitoneal, intratracheal, intratumoral, intravenous, subcutaneous and topical application that provide a controlled release of</w:t>
            </w:r>
          </w:p>
        </w:tc>
        <w:tc>
          <w:tcPr>
            <w:tcW w:w="127" w:type="dxa"/>
            <w:tcBorders/>
            <w:vAlign w:val="bottom"/>
          </w:tcPr>
          <w:p>
            <w:pPr>
              <w:pStyle w:val="TableContents"/>
              <w:bidi w:val="0"/>
              <w:spacing w:before="0" w:after="283"/>
              <w:jc w:val="left"/>
              <w:rPr/>
            </w:pPr>
            <w:r>
              <w:rPr/>
              <w:t>  </w:t>
            </w:r>
          </w:p>
        </w:tc>
        <w:tc>
          <w:tcPr>
            <w:tcW w:w="2102" w:type="dxa"/>
            <w:tcBorders/>
          </w:tcPr>
          <w:p>
            <w:pPr>
              <w:pStyle w:val="TableContents"/>
              <w:bidi w:val="0"/>
              <w:spacing w:before="0" w:after="283"/>
              <w:jc w:val="left"/>
              <w:rPr/>
            </w:pPr>
            <w:r>
              <w:rPr/>
              <w:t>PLUS THERAPEUTICS, INC. 4200 MARATHON BLVD., SUITE 200, 78756, AUSTIN TX,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0"/>
        <w:gridCol w:w="128"/>
        <w:gridCol w:w="1997"/>
        <w:gridCol w:w="128"/>
        <w:gridCol w:w="1002"/>
        <w:gridCol w:w="281"/>
        <w:gridCol w:w="1848"/>
        <w:gridCol w:w="128"/>
        <w:gridCol w:w="2200"/>
        <w:gridCol w:w="127"/>
        <w:gridCol w:w="2096"/>
      </w:tblGrid>
      <w:tr>
        <w:trPr/>
        <w:tc>
          <w:tcPr>
            <w:tcW w:w="27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2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9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81" w:type="dxa"/>
            <w:tcBorders/>
            <w:vAlign w:val="bottom"/>
          </w:tcPr>
          <w:p>
            <w:pPr>
              <w:pStyle w:val="TableContents"/>
              <w:bidi w:val="0"/>
              <w:spacing w:before="0" w:after="283"/>
              <w:jc w:val="left"/>
              <w:rPr/>
            </w:pPr>
            <w:r>
              <w:rPr/>
              <w:t>  </w:t>
            </w:r>
          </w:p>
        </w:tc>
        <w:tc>
          <w:tcPr>
            <w:tcW w:w="18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2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70"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02" w:type="dxa"/>
            <w:tcBorders/>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pPr>
            <w:r>
              <w:rPr/>
              <w:t>encapsulated pharmaceutical products according to the order or the specification of third parties , for the treatment of a wide range of diseases.</w:t>
            </w:r>
          </w:p>
        </w:tc>
        <w:tc>
          <w:tcPr>
            <w:tcW w:w="127" w:type="dxa"/>
            <w:tcBorders/>
            <w:vAlign w:val="bottom"/>
          </w:tcPr>
          <w:p>
            <w:pPr>
              <w:pStyle w:val="TableContents"/>
              <w:bidi w:val="0"/>
              <w:spacing w:before="0" w:after="283"/>
              <w:jc w:val="left"/>
              <w:rPr/>
            </w:pPr>
            <w:r>
              <w:rPr/>
              <w:t>  </w:t>
            </w:r>
          </w:p>
        </w:tc>
        <w:tc>
          <w:tcPr>
            <w:tcW w:w="2096" w:type="dxa"/>
            <w:tcBorders/>
          </w:tcPr>
          <w:p>
            <w:pPr>
              <w:pStyle w:val="TableContents"/>
              <w:bidi w:val="0"/>
              <w:spacing w:before="0" w:after="283"/>
              <w:jc w:val="left"/>
              <w:rPr>
                <w:sz w:val="4"/>
                <w:szCs w:val="4"/>
              </w:rPr>
            </w:pPr>
            <w:r>
              <w:rPr>
                <w:sz w:val="4"/>
                <w:szCs w:val="4"/>
              </w:rPr>
            </w:r>
          </w:p>
        </w:tc>
      </w:tr>
      <w:tr>
        <w:trPr>
          <w:trHeight w:val="120" w:hRule="atLeast"/>
        </w:trPr>
        <w:tc>
          <w:tcPr>
            <w:tcW w:w="270" w:type="dxa"/>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2129" w:type="dxa"/>
            <w:gridSpan w:val="2"/>
            <w:tcBorders/>
            <w:vAlign w:val="center"/>
          </w:tcPr>
          <w:p>
            <w:pPr>
              <w:pStyle w:val="TableContents"/>
              <w:bidi w:val="0"/>
              <w:spacing w:before="0" w:after="283"/>
              <w:jc w:val="left"/>
              <w:rPr>
                <w:sz w:val="4"/>
                <w:szCs w:val="4"/>
              </w:rPr>
            </w:pPr>
            <w:r>
              <w:rPr>
                <w:sz w:val="4"/>
                <w:szCs w:val="4"/>
              </w:rPr>
            </w:r>
          </w:p>
        </w:tc>
        <w:tc>
          <w:tcPr>
            <w:tcW w:w="232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r>
      <w:tr>
        <w:trPr/>
        <w:tc>
          <w:tcPr>
            <w:tcW w:w="270" w:type="dxa"/>
            <w:tcBorders/>
          </w:tcPr>
          <w:p>
            <w:pPr>
              <w:pStyle w:val="TableContents"/>
              <w:bidi w:val="0"/>
              <w:spacing w:before="0" w:after="283"/>
              <w:jc w:val="left"/>
              <w:rPr/>
            </w:pPr>
            <w:r>
              <w:rPr/>
              <w:t>22.</w:t>
            </w:r>
          </w:p>
        </w:tc>
        <w:tc>
          <w:tcPr>
            <w:tcW w:w="128"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2287194 </w:t>
              <w:br/>
              <w:t>AN: M2371300</w:t>
            </w:r>
          </w:p>
        </w:tc>
        <w:tc>
          <w:tcPr>
            <w:tcW w:w="128" w:type="dxa"/>
            <w:tcBorders/>
            <w:vAlign w:val="bottom"/>
          </w:tcPr>
          <w:p>
            <w:pPr>
              <w:pStyle w:val="TableContents"/>
              <w:bidi w:val="0"/>
              <w:spacing w:before="0" w:after="283"/>
              <w:jc w:val="left"/>
              <w:rPr/>
            </w:pPr>
            <w:r>
              <w:rPr/>
              <w:t>  </w:t>
            </w:r>
          </w:p>
        </w:tc>
        <w:tc>
          <w:tcPr>
            <w:tcW w:w="1002" w:type="dxa"/>
            <w:tcBorders/>
          </w:tcPr>
          <w:p>
            <w:pPr>
              <w:pStyle w:val="TableContents"/>
              <w:bidi w:val="0"/>
              <w:spacing w:before="0" w:after="283"/>
              <w:jc w:val="left"/>
              <w:rPr/>
            </w:pPr>
            <w:r>
              <w:rPr/>
              <w:t>Mexico</w:t>
            </w:r>
          </w:p>
        </w:tc>
        <w:tc>
          <w:tcPr>
            <w:tcW w:w="281"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17, 2021 </w:t>
              <w:br/>
              <w:t>Expiration Date: December 11, 2029</w:t>
            </w:r>
          </w:p>
        </w:tc>
        <w:tc>
          <w:tcPr>
            <w:tcW w:w="128" w:type="dxa"/>
            <w:tcBorders/>
            <w:vAlign w:val="bottom"/>
          </w:tcPr>
          <w:p>
            <w:pPr>
              <w:pStyle w:val="TableContents"/>
              <w:bidi w:val="0"/>
              <w:spacing w:before="0" w:after="283"/>
              <w:jc w:val="left"/>
              <w:rPr/>
            </w:pPr>
            <w:r>
              <w:rPr/>
              <w:t>  </w:t>
            </w:r>
          </w:p>
        </w:tc>
        <w:tc>
          <w:tcPr>
            <w:tcW w:w="2200" w:type="dxa"/>
            <w:tcBorders/>
          </w:tcPr>
          <w:p>
            <w:pPr>
              <w:pStyle w:val="TableContents"/>
              <w:bidi w:val="0"/>
              <w:spacing w:before="0" w:after="283"/>
              <w:jc w:val="left"/>
              <w:rPr/>
            </w:pPr>
            <w:r>
              <w:rPr/>
              <w:t xml:space="preserve">Int’l Class: 05 </w:t>
              <w:br/>
              <w:t xml:space="preserve">(Translation) </w:t>
              <w:br/>
              <w:t xml:space="preserve">(Int’l Class: 05) </w:t>
              <w:br/>
              <w:t>Nanomedicinal products for medical use, namely, organic and inorganic pharmaceutical preparations, nanoparticle pharmaceutical preparations, nutraceuticals, pharmaceuticals, pharmaceutical preparations and substances for the prevention and treatment of cancer, diabetes, infectious diseases, diseases and disorders autoimmune, orthopedic diseases and disorders, blood disorders and diseases, mycosis, central nervous system diseases and disorders, oncological diseases and disorders, as well as ophthalmological diseases and disorders; chemical preparations and reagents intended for pharmaceutical, medical and clinical use; drug delivery agents in the form of nanoparticle powders to facilitate the administration of pharmaceutical preparations; liposomal nanoparticle powders as drug delivery agents to facilitate the administration of genetic material and vaccines for medical purposes; all the aforementioned products intended for human or animal use.</w:t>
            </w:r>
          </w:p>
        </w:tc>
        <w:tc>
          <w:tcPr>
            <w:tcW w:w="127" w:type="dxa"/>
            <w:tcBorders/>
            <w:vAlign w:val="bottom"/>
          </w:tcPr>
          <w:p>
            <w:pPr>
              <w:pStyle w:val="TableContents"/>
              <w:bidi w:val="0"/>
              <w:spacing w:before="0" w:after="283"/>
              <w:jc w:val="left"/>
              <w:rPr/>
            </w:pPr>
            <w:r>
              <w:rPr/>
              <w:t>  </w:t>
            </w:r>
          </w:p>
        </w:tc>
        <w:tc>
          <w:tcPr>
            <w:tcW w:w="2096" w:type="dxa"/>
            <w:tcBorders/>
          </w:tcPr>
          <w:p>
            <w:pPr>
              <w:pStyle w:val="TableContents"/>
              <w:bidi w:val="0"/>
              <w:spacing w:before="0" w:after="283"/>
              <w:jc w:val="left"/>
              <w:rPr/>
            </w:pPr>
            <w:r>
              <w:rPr/>
              <w:t>PLUS THERAPEUTICS, INC. 4200 MARATHON BLVD., SUITE 200, 78756, AUSTIN TX,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1"/>
        <w:gridCol w:w="128"/>
        <w:gridCol w:w="1997"/>
        <w:gridCol w:w="128"/>
        <w:gridCol w:w="1010"/>
        <w:gridCol w:w="291"/>
        <w:gridCol w:w="1897"/>
        <w:gridCol w:w="128"/>
        <w:gridCol w:w="2125"/>
        <w:gridCol w:w="127"/>
        <w:gridCol w:w="2103"/>
      </w:tblGrid>
      <w:tr>
        <w:trPr/>
        <w:tc>
          <w:tcPr>
            <w:tcW w:w="2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9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91" w:type="dxa"/>
            <w:tcBorders/>
            <w:vAlign w:val="bottom"/>
          </w:tcPr>
          <w:p>
            <w:pPr>
              <w:pStyle w:val="TableContents"/>
              <w:bidi w:val="0"/>
              <w:spacing w:before="0" w:after="283"/>
              <w:jc w:val="left"/>
              <w:rPr/>
            </w:pPr>
            <w:r>
              <w:rPr/>
              <w:t>  </w:t>
            </w:r>
          </w:p>
        </w:tc>
        <w:tc>
          <w:tcPr>
            <w:tcW w:w="18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1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1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71" w:type="dxa"/>
            <w:tcBorders/>
          </w:tcPr>
          <w:p>
            <w:pPr>
              <w:pStyle w:val="TableContents"/>
              <w:bidi w:val="0"/>
              <w:spacing w:before="0" w:after="283"/>
              <w:jc w:val="left"/>
              <w:rPr/>
            </w:pPr>
            <w:r>
              <w:rPr/>
              <w:t>23.</w:t>
            </w:r>
          </w:p>
        </w:tc>
        <w:tc>
          <w:tcPr>
            <w:tcW w:w="128"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2287197 </w:t>
              <w:br/>
              <w:t>AN: M2371303</w:t>
            </w:r>
          </w:p>
        </w:tc>
        <w:tc>
          <w:tcPr>
            <w:tcW w:w="128"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Mexico</w:t>
            </w:r>
          </w:p>
        </w:tc>
        <w:tc>
          <w:tcPr>
            <w:tcW w:w="291"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17, 2021 </w:t>
              <w:br/>
              <w:t>Expiration Date: December 11, 2029</w:t>
            </w:r>
          </w:p>
        </w:tc>
        <w:tc>
          <w:tcPr>
            <w:tcW w:w="128" w:type="dxa"/>
            <w:tcBorders/>
            <w:vAlign w:val="bottom"/>
          </w:tcPr>
          <w:p>
            <w:pPr>
              <w:pStyle w:val="TableContents"/>
              <w:bidi w:val="0"/>
              <w:spacing w:before="0" w:after="283"/>
              <w:jc w:val="left"/>
              <w:rPr/>
            </w:pPr>
            <w:r>
              <w:rPr/>
              <w:t>  </w:t>
            </w:r>
          </w:p>
        </w:tc>
        <w:tc>
          <w:tcPr>
            <w:tcW w:w="2125" w:type="dxa"/>
            <w:tcBorders/>
          </w:tcPr>
          <w:p>
            <w:pPr>
              <w:pStyle w:val="TableContents"/>
              <w:bidi w:val="0"/>
              <w:spacing w:before="0" w:after="283"/>
              <w:jc w:val="left"/>
              <w:rPr/>
            </w:pPr>
            <w:r>
              <w:rPr/>
              <w:t xml:space="preserve">Int’l Class: 44 </w:t>
              <w:br/>
              <w:t xml:space="preserve">(Translation) </w:t>
              <w:br/>
              <w:t xml:space="preserve">(Int’l Class: 44) </w:t>
              <w:br/>
              <w:t>medical services, namely administration of nanomedicinal drugs; medical services, namely, medical consultancy on nanomedicinal products.</w:t>
            </w:r>
          </w:p>
        </w:tc>
        <w:tc>
          <w:tcPr>
            <w:tcW w:w="127" w:type="dxa"/>
            <w:tcBorders/>
            <w:vAlign w:val="bottom"/>
          </w:tcPr>
          <w:p>
            <w:pPr>
              <w:pStyle w:val="TableContents"/>
              <w:bidi w:val="0"/>
              <w:spacing w:before="0" w:after="283"/>
              <w:jc w:val="left"/>
              <w:rPr/>
            </w:pPr>
            <w:r>
              <w:rPr/>
              <w:t>  </w:t>
            </w:r>
          </w:p>
        </w:tc>
        <w:tc>
          <w:tcPr>
            <w:tcW w:w="2103" w:type="dxa"/>
            <w:tcBorders/>
          </w:tcPr>
          <w:p>
            <w:pPr>
              <w:pStyle w:val="TableContents"/>
              <w:bidi w:val="0"/>
              <w:spacing w:before="0" w:after="283"/>
              <w:jc w:val="left"/>
              <w:rPr/>
            </w:pPr>
            <w:r>
              <w:rPr/>
              <w:t>PLUS THERAPEUTICS, INC. 4200 MARATHON BLVD., SUITE 200, 78756, AUSTIN TX, United States of America</w:t>
            </w:r>
          </w:p>
        </w:tc>
      </w:tr>
      <w:tr>
        <w:trPr>
          <w:trHeight w:val="120" w:hRule="atLeast"/>
        </w:trPr>
        <w:tc>
          <w:tcPr>
            <w:tcW w:w="271" w:type="dxa"/>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c>
          <w:tcPr>
            <w:tcW w:w="2253"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271" w:type="dxa"/>
            <w:tcBorders/>
          </w:tcPr>
          <w:p>
            <w:pPr>
              <w:pStyle w:val="TableContents"/>
              <w:bidi w:val="0"/>
              <w:spacing w:before="0" w:after="283"/>
              <w:jc w:val="left"/>
              <w:rPr/>
            </w:pPr>
            <w:r>
              <w:rPr/>
              <w:t>24.</w:t>
            </w:r>
          </w:p>
        </w:tc>
        <w:tc>
          <w:tcPr>
            <w:tcW w:w="128"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2288011</w:t>
            </w:r>
          </w:p>
          <w:p>
            <w:pPr>
              <w:pStyle w:val="TableContents"/>
              <w:bidi w:val="0"/>
              <w:spacing w:before="0" w:after="20"/>
              <w:jc w:val="left"/>
              <w:rPr>
                <w:rFonts w:ascii="Times New Roman" w:hAnsi="Times New Roman"/>
                <w:sz w:val="20"/>
              </w:rPr>
            </w:pPr>
            <w:r>
              <w:rPr>
                <w:rFonts w:ascii="Times New Roman" w:hAnsi="Times New Roman"/>
                <w:sz w:val="20"/>
              </w:rPr>
              <w:t>AN: M2370185</w:t>
            </w:r>
          </w:p>
        </w:tc>
        <w:tc>
          <w:tcPr>
            <w:tcW w:w="128"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Mexico</w:t>
            </w:r>
          </w:p>
        </w:tc>
        <w:tc>
          <w:tcPr>
            <w:tcW w:w="291" w:type="dxa"/>
            <w:tcBorders/>
            <w:vAlign w:val="bottom"/>
          </w:tcPr>
          <w:p>
            <w:pPr>
              <w:pStyle w:val="TableContents"/>
              <w:bidi w:val="0"/>
              <w:spacing w:before="0" w:after="283"/>
              <w:jc w:val="left"/>
              <w:rPr/>
            </w:pPr>
            <w:r>
              <w:rPr/>
              <w:t>  </w:t>
            </w:r>
          </w:p>
        </w:tc>
        <w:tc>
          <w:tcPr>
            <w:tcW w:w="1897"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18, 2021 </w:t>
              <w:br/>
              <w:t>Expiration Date: December 11, 2029</w:t>
            </w:r>
          </w:p>
        </w:tc>
        <w:tc>
          <w:tcPr>
            <w:tcW w:w="128" w:type="dxa"/>
            <w:tcBorders/>
            <w:vAlign w:val="bottom"/>
          </w:tcPr>
          <w:p>
            <w:pPr>
              <w:pStyle w:val="TableContents"/>
              <w:bidi w:val="0"/>
              <w:spacing w:before="0" w:after="283"/>
              <w:jc w:val="left"/>
              <w:rPr/>
            </w:pPr>
            <w:r>
              <w:rPr/>
              <w:t>  </w:t>
            </w:r>
          </w:p>
        </w:tc>
        <w:tc>
          <w:tcPr>
            <w:tcW w:w="2125" w:type="dxa"/>
            <w:tcBorders/>
          </w:tcPr>
          <w:p>
            <w:pPr>
              <w:pStyle w:val="TableContents"/>
              <w:bidi w:val="0"/>
              <w:spacing w:before="0" w:after="283"/>
              <w:jc w:val="left"/>
              <w:rPr/>
            </w:pPr>
            <w:r>
              <w:rPr/>
              <w:t xml:space="preserve">Int’l Class: 05 </w:t>
              <w:br/>
              <w:t xml:space="preserve">(Translation) </w:t>
              <w:br/>
              <w:t xml:space="preserve">(Int’l Class: 05) </w:t>
              <w:br/>
              <w:t>nanomedicinal products for medical use, namely organic and inorganic pharmaceutical preparations, nanoparticle pharmaceutical preparations, nutraceutical products, pharmaceutical products, pharmaceutical substances and preparations for the prevention and treatment of cancer, diabetes, infectious diseases, diseases and disorders autoimmune, orthopedic diseases and disorders, blood diseases and disorders, mycoses, central nervous system diseases and disorders, oncological diseases and disorders, and ophthalmic diseases and disorders; chemical preparations and reagents for pharmaceutical, medical and</w:t>
            </w:r>
          </w:p>
        </w:tc>
        <w:tc>
          <w:tcPr>
            <w:tcW w:w="127" w:type="dxa"/>
            <w:tcBorders/>
            <w:vAlign w:val="bottom"/>
          </w:tcPr>
          <w:p>
            <w:pPr>
              <w:pStyle w:val="TableContents"/>
              <w:bidi w:val="0"/>
              <w:spacing w:before="0" w:after="283"/>
              <w:jc w:val="left"/>
              <w:rPr/>
            </w:pPr>
            <w:r>
              <w:rPr/>
              <w:t>  </w:t>
            </w:r>
          </w:p>
        </w:tc>
        <w:tc>
          <w:tcPr>
            <w:tcW w:w="2103" w:type="dxa"/>
            <w:tcBorders/>
          </w:tcPr>
          <w:p>
            <w:pPr>
              <w:pStyle w:val="TableContents"/>
              <w:bidi w:val="0"/>
              <w:spacing w:before="0" w:after="283"/>
              <w:jc w:val="left"/>
              <w:rPr/>
            </w:pPr>
            <w:r>
              <w:rPr/>
              <w:t>PLUS THERAPEUTICS, INC. 4200 MARATHON BLVD., SUITE 200, 78756, AUSTIN TX,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1"/>
        <w:gridCol w:w="129"/>
        <w:gridCol w:w="1996"/>
        <w:gridCol w:w="129"/>
        <w:gridCol w:w="1010"/>
        <w:gridCol w:w="292"/>
        <w:gridCol w:w="1903"/>
        <w:gridCol w:w="129"/>
        <w:gridCol w:w="2118"/>
        <w:gridCol w:w="129"/>
        <w:gridCol w:w="2099"/>
      </w:tblGrid>
      <w:tr>
        <w:trPr/>
        <w:tc>
          <w:tcPr>
            <w:tcW w:w="27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9" w:type="dxa"/>
            <w:tcBorders/>
            <w:vAlign w:val="bottom"/>
          </w:tcPr>
          <w:p>
            <w:pPr>
              <w:pStyle w:val="TableContents"/>
              <w:bidi w:val="0"/>
              <w:spacing w:before="0" w:after="283"/>
              <w:jc w:val="left"/>
              <w:rPr/>
            </w:pPr>
            <w:r>
              <w:rPr/>
              <w:t>  </w:t>
            </w:r>
          </w:p>
        </w:tc>
        <w:tc>
          <w:tcPr>
            <w:tcW w:w="19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9" w:type="dxa"/>
            <w:tcBorders/>
            <w:vAlign w:val="bottom"/>
          </w:tcPr>
          <w:p>
            <w:pPr>
              <w:pStyle w:val="TableContents"/>
              <w:bidi w:val="0"/>
              <w:spacing w:before="0" w:after="283"/>
              <w:jc w:val="left"/>
              <w:rPr/>
            </w:pPr>
            <w:r>
              <w:rPr/>
              <w:t>  </w:t>
            </w:r>
          </w:p>
        </w:tc>
        <w:tc>
          <w:tcPr>
            <w:tcW w:w="10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92" w:type="dxa"/>
            <w:tcBorders/>
            <w:vAlign w:val="bottom"/>
          </w:tcPr>
          <w:p>
            <w:pPr>
              <w:pStyle w:val="TableContents"/>
              <w:bidi w:val="0"/>
              <w:spacing w:before="0" w:after="283"/>
              <w:jc w:val="left"/>
              <w:rPr/>
            </w:pPr>
            <w:r>
              <w:rPr/>
              <w:t>  </w:t>
            </w:r>
          </w:p>
        </w:tc>
        <w:tc>
          <w:tcPr>
            <w:tcW w:w="19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9" w:type="dxa"/>
            <w:tcBorders/>
            <w:vAlign w:val="bottom"/>
          </w:tcPr>
          <w:p>
            <w:pPr>
              <w:pStyle w:val="TableContents"/>
              <w:bidi w:val="0"/>
              <w:spacing w:before="0" w:after="283"/>
              <w:jc w:val="left"/>
              <w:rPr/>
            </w:pPr>
            <w:r>
              <w:rPr/>
              <w:t>  </w:t>
            </w:r>
          </w:p>
        </w:tc>
        <w:tc>
          <w:tcPr>
            <w:tcW w:w="21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9" w:type="dxa"/>
            <w:tcBorders/>
            <w:vAlign w:val="bottom"/>
          </w:tcPr>
          <w:p>
            <w:pPr>
              <w:pStyle w:val="TableContents"/>
              <w:bidi w:val="0"/>
              <w:spacing w:before="0" w:after="283"/>
              <w:jc w:val="left"/>
              <w:rPr/>
            </w:pPr>
            <w:r>
              <w:rPr/>
              <w:t>  </w:t>
            </w:r>
          </w:p>
        </w:tc>
        <w:tc>
          <w:tcPr>
            <w:tcW w:w="20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71"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996"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903"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left"/>
              <w:rPr/>
            </w:pPr>
            <w:r>
              <w:rPr/>
              <w:t>clinical use; drug delivery agents in the form of nanoparticles in powder form to facilitate the administration of pharmaceutical preparations; powdered nanoparticles of liposomes as drug delivery agents to facilitate the distribution of vaccines and genetic material for medical use; all the aforementioned products for human or animal use.</w:t>
            </w:r>
          </w:p>
        </w:tc>
        <w:tc>
          <w:tcPr>
            <w:tcW w:w="129" w:type="dxa"/>
            <w:tcBorders/>
            <w:vAlign w:val="bottom"/>
          </w:tcPr>
          <w:p>
            <w:pPr>
              <w:pStyle w:val="TableContents"/>
              <w:bidi w:val="0"/>
              <w:spacing w:before="0" w:after="283"/>
              <w:jc w:val="left"/>
              <w:rPr/>
            </w:pPr>
            <w:r>
              <w:rPr/>
              <w:t>  </w:t>
            </w:r>
          </w:p>
        </w:tc>
        <w:tc>
          <w:tcPr>
            <w:tcW w:w="2099" w:type="dxa"/>
            <w:tcBorders/>
          </w:tcPr>
          <w:p>
            <w:pPr>
              <w:pStyle w:val="TableContents"/>
              <w:bidi w:val="0"/>
              <w:spacing w:before="0" w:after="283"/>
              <w:jc w:val="left"/>
              <w:rPr>
                <w:sz w:val="4"/>
                <w:szCs w:val="4"/>
              </w:rPr>
            </w:pPr>
            <w:r>
              <w:rPr>
                <w:sz w:val="4"/>
                <w:szCs w:val="4"/>
              </w:rPr>
            </w:r>
          </w:p>
        </w:tc>
      </w:tr>
      <w:tr>
        <w:trPr>
          <w:trHeight w:val="120" w:hRule="atLeast"/>
        </w:trPr>
        <w:tc>
          <w:tcPr>
            <w:tcW w:w="271" w:type="dxa"/>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c>
          <w:tcPr>
            <w:tcW w:w="1139" w:type="dxa"/>
            <w:gridSpan w:val="2"/>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271" w:type="dxa"/>
            <w:tcBorders/>
          </w:tcPr>
          <w:p>
            <w:pPr>
              <w:pStyle w:val="TableContents"/>
              <w:bidi w:val="0"/>
              <w:spacing w:before="0" w:after="283"/>
              <w:jc w:val="left"/>
              <w:rPr/>
            </w:pPr>
            <w:r>
              <w:rPr/>
              <w:t>25.</w:t>
            </w:r>
          </w:p>
        </w:tc>
        <w:tc>
          <w:tcPr>
            <w:tcW w:w="129" w:type="dxa"/>
            <w:tcBorders/>
            <w:vAlign w:val="bottom"/>
          </w:tcPr>
          <w:p>
            <w:pPr>
              <w:pStyle w:val="TableContents"/>
              <w:bidi w:val="0"/>
              <w:spacing w:before="0" w:after="283"/>
              <w:jc w:val="left"/>
              <w:rPr/>
            </w:pPr>
            <w:r>
              <w:rPr/>
              <w:t>  </w:t>
            </w:r>
          </w:p>
        </w:tc>
        <w:tc>
          <w:tcPr>
            <w:tcW w:w="1996"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2288013</w:t>
            </w:r>
          </w:p>
          <w:p>
            <w:pPr>
              <w:pStyle w:val="TableContents"/>
              <w:bidi w:val="0"/>
              <w:spacing w:before="0" w:after="20"/>
              <w:jc w:val="left"/>
              <w:rPr>
                <w:rFonts w:ascii="Times New Roman" w:hAnsi="Times New Roman"/>
                <w:sz w:val="20"/>
              </w:rPr>
            </w:pPr>
            <w:r>
              <w:rPr>
                <w:rFonts w:ascii="Times New Roman" w:hAnsi="Times New Roman"/>
                <w:sz w:val="20"/>
              </w:rPr>
              <w:t>AN: M2370188</w:t>
            </w:r>
          </w:p>
        </w:tc>
        <w:tc>
          <w:tcPr>
            <w:tcW w:w="129"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Mexico</w:t>
            </w:r>
          </w:p>
        </w:tc>
        <w:tc>
          <w:tcPr>
            <w:tcW w:w="292" w:type="dxa"/>
            <w:tcBorders/>
            <w:vAlign w:val="bottom"/>
          </w:tcPr>
          <w:p>
            <w:pPr>
              <w:pStyle w:val="TableContents"/>
              <w:bidi w:val="0"/>
              <w:spacing w:before="0" w:after="283"/>
              <w:jc w:val="left"/>
              <w:rPr/>
            </w:pPr>
            <w:r>
              <w:rPr/>
              <w:t>  </w:t>
            </w:r>
          </w:p>
        </w:tc>
        <w:tc>
          <w:tcPr>
            <w:tcW w:w="1903"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18, 2021 </w:t>
              <w:br/>
              <w:t>Expiration Date: December 11, 2029</w:t>
            </w:r>
          </w:p>
        </w:tc>
        <w:tc>
          <w:tcPr>
            <w:tcW w:w="129"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left"/>
              <w:rPr/>
            </w:pPr>
            <w:r>
              <w:rPr/>
              <w:t xml:space="preserve">Int’l Class: 44 </w:t>
              <w:br/>
              <w:t xml:space="preserve">(Translation) </w:t>
              <w:br/>
              <w:t xml:space="preserve">(Int’l Class: 44) </w:t>
              <w:br/>
              <w:t>medical services, namely administration of nanomedicinal drugs; medical services, namely, medical consultancy on nanomedicinal products.</w:t>
            </w:r>
          </w:p>
        </w:tc>
        <w:tc>
          <w:tcPr>
            <w:tcW w:w="129" w:type="dxa"/>
            <w:tcBorders/>
            <w:vAlign w:val="bottom"/>
          </w:tcPr>
          <w:p>
            <w:pPr>
              <w:pStyle w:val="TableContents"/>
              <w:bidi w:val="0"/>
              <w:spacing w:before="0" w:after="283"/>
              <w:jc w:val="left"/>
              <w:rPr/>
            </w:pPr>
            <w:r>
              <w:rPr/>
              <w:t>  </w:t>
            </w:r>
          </w:p>
        </w:tc>
        <w:tc>
          <w:tcPr>
            <w:tcW w:w="2099" w:type="dxa"/>
            <w:tcBorders/>
          </w:tcPr>
          <w:p>
            <w:pPr>
              <w:pStyle w:val="TableContents"/>
              <w:bidi w:val="0"/>
              <w:spacing w:before="0" w:after="283"/>
              <w:jc w:val="left"/>
              <w:rPr/>
            </w:pPr>
            <w:r>
              <w:rPr/>
              <w:t>PLUS THERAPEUTICS, INC. 4200 MARATHON BLVD., SUITE 200, 78756, AUSTIN TX, United States of America</w:t>
            </w:r>
          </w:p>
        </w:tc>
      </w:tr>
      <w:tr>
        <w:trPr>
          <w:trHeight w:val="120" w:hRule="atLeast"/>
        </w:trPr>
        <w:tc>
          <w:tcPr>
            <w:tcW w:w="271" w:type="dxa"/>
            <w:tcBorders/>
            <w:vAlign w:val="center"/>
          </w:tcPr>
          <w:p>
            <w:pPr>
              <w:pStyle w:val="TableContents"/>
              <w:bidi w:val="0"/>
              <w:spacing w:before="0" w:after="283"/>
              <w:jc w:val="left"/>
              <w:rPr>
                <w:sz w:val="4"/>
                <w:szCs w:val="4"/>
              </w:rPr>
            </w:pPr>
            <w:r>
              <w:rPr>
                <w:sz w:val="4"/>
                <w:szCs w:val="4"/>
              </w:rPr>
            </w:r>
          </w:p>
        </w:tc>
        <w:tc>
          <w:tcPr>
            <w:tcW w:w="2125" w:type="dxa"/>
            <w:gridSpan w:val="2"/>
            <w:tcBorders/>
            <w:vAlign w:val="center"/>
          </w:tcPr>
          <w:p>
            <w:pPr>
              <w:pStyle w:val="TableContents"/>
              <w:bidi w:val="0"/>
              <w:spacing w:before="0" w:after="283"/>
              <w:jc w:val="left"/>
              <w:rPr>
                <w:sz w:val="4"/>
                <w:szCs w:val="4"/>
              </w:rPr>
            </w:pPr>
            <w:r>
              <w:rPr>
                <w:sz w:val="4"/>
                <w:szCs w:val="4"/>
              </w:rPr>
            </w:r>
          </w:p>
        </w:tc>
        <w:tc>
          <w:tcPr>
            <w:tcW w:w="1139" w:type="dxa"/>
            <w:gridSpan w:val="2"/>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271" w:type="dxa"/>
            <w:tcBorders/>
          </w:tcPr>
          <w:p>
            <w:pPr>
              <w:pStyle w:val="TableContents"/>
              <w:bidi w:val="0"/>
              <w:spacing w:before="0" w:after="283"/>
              <w:jc w:val="left"/>
              <w:rPr/>
            </w:pPr>
            <w:r>
              <w:rPr/>
              <w:t>26.</w:t>
            </w:r>
          </w:p>
        </w:tc>
        <w:tc>
          <w:tcPr>
            <w:tcW w:w="129" w:type="dxa"/>
            <w:tcBorders/>
            <w:vAlign w:val="bottom"/>
          </w:tcPr>
          <w:p>
            <w:pPr>
              <w:pStyle w:val="TableContents"/>
              <w:bidi w:val="0"/>
              <w:spacing w:before="0" w:after="283"/>
              <w:jc w:val="left"/>
              <w:rPr/>
            </w:pPr>
            <w:r>
              <w:rPr/>
              <w:t>  </w:t>
            </w:r>
          </w:p>
        </w:tc>
        <w:tc>
          <w:tcPr>
            <w:tcW w:w="1996"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2287196 </w:t>
              <w:br/>
              <w:t>AN: M2371302</w:t>
            </w:r>
          </w:p>
        </w:tc>
        <w:tc>
          <w:tcPr>
            <w:tcW w:w="129" w:type="dxa"/>
            <w:tcBorders/>
            <w:vAlign w:val="bottom"/>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Mexico</w:t>
            </w:r>
          </w:p>
        </w:tc>
        <w:tc>
          <w:tcPr>
            <w:tcW w:w="292" w:type="dxa"/>
            <w:tcBorders/>
            <w:vAlign w:val="bottom"/>
          </w:tcPr>
          <w:p>
            <w:pPr>
              <w:pStyle w:val="TableContents"/>
              <w:bidi w:val="0"/>
              <w:spacing w:before="0" w:after="283"/>
              <w:jc w:val="left"/>
              <w:rPr/>
            </w:pPr>
            <w:r>
              <w:rPr/>
              <w:t>  </w:t>
            </w:r>
          </w:p>
        </w:tc>
        <w:tc>
          <w:tcPr>
            <w:tcW w:w="1903"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August 17, 2021 </w:t>
              <w:br/>
              <w:t>Expiration Date: December 11, 2029</w:t>
            </w:r>
          </w:p>
        </w:tc>
        <w:tc>
          <w:tcPr>
            <w:tcW w:w="129" w:type="dxa"/>
            <w:tcBorders/>
            <w:vAlign w:val="bottom"/>
          </w:tcPr>
          <w:p>
            <w:pPr>
              <w:pStyle w:val="TableContents"/>
              <w:bidi w:val="0"/>
              <w:spacing w:before="0" w:after="283"/>
              <w:jc w:val="left"/>
              <w:rPr/>
            </w:pPr>
            <w:r>
              <w:rPr/>
              <w:t>  </w:t>
            </w:r>
          </w:p>
        </w:tc>
        <w:tc>
          <w:tcPr>
            <w:tcW w:w="2118" w:type="dxa"/>
            <w:tcBorders/>
          </w:tcPr>
          <w:p>
            <w:pPr>
              <w:pStyle w:val="TableContents"/>
              <w:bidi w:val="0"/>
              <w:spacing w:before="0" w:after="283"/>
              <w:jc w:val="left"/>
              <w:rPr/>
            </w:pPr>
            <w:r>
              <w:rPr/>
              <w:t xml:space="preserve">Int’l Class: 42 </w:t>
              <w:br/>
              <w:t xml:space="preserve">(Translation) </w:t>
              <w:br/>
              <w:t xml:space="preserve">(Int’l Class: 42) </w:t>
              <w:br/>
              <w:t>drug discovery services; pharmaceutical research and development; research and development of nanomedicinal products; Scientific and medical research and development for nutraceuticals, pharmaceuticals, preparations and pharmaceutical substances</w:t>
            </w:r>
          </w:p>
        </w:tc>
        <w:tc>
          <w:tcPr>
            <w:tcW w:w="129" w:type="dxa"/>
            <w:tcBorders/>
            <w:vAlign w:val="bottom"/>
          </w:tcPr>
          <w:p>
            <w:pPr>
              <w:pStyle w:val="TableContents"/>
              <w:bidi w:val="0"/>
              <w:spacing w:before="0" w:after="283"/>
              <w:jc w:val="left"/>
              <w:rPr/>
            </w:pPr>
            <w:r>
              <w:rPr/>
              <w:t>  </w:t>
            </w:r>
          </w:p>
        </w:tc>
        <w:tc>
          <w:tcPr>
            <w:tcW w:w="2099" w:type="dxa"/>
            <w:tcBorders/>
          </w:tcPr>
          <w:p>
            <w:pPr>
              <w:pStyle w:val="TableContents"/>
              <w:bidi w:val="0"/>
              <w:spacing w:before="0" w:after="283"/>
              <w:jc w:val="left"/>
              <w:rPr/>
            </w:pPr>
            <w:r>
              <w:rPr/>
              <w:t>PLUS THERAPEUTICS, INC. 4200 MARATHON BLVD., SUITE 200, 78756, AUSTIN TX,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2"/>
        <w:gridCol w:w="125"/>
        <w:gridCol w:w="1569"/>
        <w:gridCol w:w="125"/>
        <w:gridCol w:w="1013"/>
        <w:gridCol w:w="347"/>
        <w:gridCol w:w="2134"/>
        <w:gridCol w:w="125"/>
        <w:gridCol w:w="2358"/>
        <w:gridCol w:w="124"/>
        <w:gridCol w:w="2023"/>
      </w:tblGrid>
      <w:tr>
        <w:trPr/>
        <w:tc>
          <w:tcPr>
            <w:tcW w:w="26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5" w:type="dxa"/>
            <w:tcBorders/>
            <w:vAlign w:val="bottom"/>
          </w:tcPr>
          <w:p>
            <w:pPr>
              <w:pStyle w:val="TableContents"/>
              <w:bidi w:val="0"/>
              <w:spacing w:before="0" w:after="283"/>
              <w:jc w:val="left"/>
              <w:rPr/>
            </w:pPr>
            <w:r>
              <w:rPr/>
              <w:t>  </w:t>
            </w:r>
          </w:p>
        </w:tc>
        <w:tc>
          <w:tcPr>
            <w:tcW w:w="15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5" w:type="dxa"/>
            <w:tcBorders/>
            <w:vAlign w:val="bottom"/>
          </w:tcPr>
          <w:p>
            <w:pPr>
              <w:pStyle w:val="TableContents"/>
              <w:bidi w:val="0"/>
              <w:spacing w:before="0" w:after="283"/>
              <w:jc w:val="left"/>
              <w:rPr/>
            </w:pPr>
            <w:r>
              <w:rPr/>
              <w:t>  </w:t>
            </w:r>
          </w:p>
        </w:tc>
        <w:tc>
          <w:tcPr>
            <w:tcW w:w="10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47" w:type="dxa"/>
            <w:tcBorders/>
            <w:vAlign w:val="bottom"/>
          </w:tcPr>
          <w:p>
            <w:pPr>
              <w:pStyle w:val="TableContents"/>
              <w:bidi w:val="0"/>
              <w:spacing w:before="0" w:after="283"/>
              <w:jc w:val="left"/>
              <w:rPr/>
            </w:pPr>
            <w:r>
              <w:rPr/>
              <w:t>  </w:t>
            </w:r>
          </w:p>
        </w:tc>
        <w:tc>
          <w:tcPr>
            <w:tcW w:w="21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5" w:type="dxa"/>
            <w:tcBorders/>
            <w:vAlign w:val="bottom"/>
          </w:tcPr>
          <w:p>
            <w:pPr>
              <w:pStyle w:val="TableContents"/>
              <w:bidi w:val="0"/>
              <w:spacing w:before="0" w:after="283"/>
              <w:jc w:val="left"/>
              <w:rPr/>
            </w:pPr>
            <w:r>
              <w:rPr/>
              <w:t>  </w:t>
            </w:r>
          </w:p>
        </w:tc>
        <w:tc>
          <w:tcPr>
            <w:tcW w:w="23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4" w:type="dxa"/>
            <w:tcBorders/>
            <w:vAlign w:val="bottom"/>
          </w:tcPr>
          <w:p>
            <w:pPr>
              <w:pStyle w:val="TableContents"/>
              <w:bidi w:val="0"/>
              <w:spacing w:before="0" w:after="283"/>
              <w:jc w:val="left"/>
              <w:rPr/>
            </w:pPr>
            <w:r>
              <w:rPr/>
              <w:t>  </w:t>
            </w:r>
          </w:p>
        </w:tc>
        <w:tc>
          <w:tcPr>
            <w:tcW w:w="20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2"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569"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2134"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pPr>
            <w:r>
              <w:rPr/>
              <w:t>in the field of cancer, diabetes, infectious diseases, autoimmune diseases and disorders, orthopedic diseases and disorders, blood disorders and diseases, mycoses, diseases and disorders of the central nervous system, oncological diseases and disorders, as well as ophthalmological diseases and disorders; scientific research and development of pharmaceutical products in the form of liposome aggregations for oral, inhalation, intramuscular, intraperitoneal, intratracheal, intratumoral, intravenous, subcutaneous and topical application that provide a controlled release of encapsulated pharmaceuticals for the treatment of a wide range of diseases ; provision of medical and scientific information in the aforementioned fields.</w:t>
            </w:r>
          </w:p>
        </w:tc>
        <w:tc>
          <w:tcPr>
            <w:tcW w:w="124"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sz w:val="4"/>
                <w:szCs w:val="4"/>
              </w:rPr>
            </w:pPr>
            <w:r>
              <w:rPr>
                <w:sz w:val="4"/>
                <w:szCs w:val="4"/>
              </w:rPr>
            </w:r>
          </w:p>
        </w:tc>
      </w:tr>
      <w:tr>
        <w:trPr>
          <w:trHeight w:val="120" w:hRule="atLeast"/>
        </w:trPr>
        <w:tc>
          <w:tcPr>
            <w:tcW w:w="262" w:type="dxa"/>
            <w:tcBorders/>
            <w:vAlign w:val="center"/>
          </w:tcPr>
          <w:p>
            <w:pPr>
              <w:pStyle w:val="TableContents"/>
              <w:bidi w:val="0"/>
              <w:spacing w:before="0" w:after="283"/>
              <w:jc w:val="left"/>
              <w:rPr>
                <w:sz w:val="4"/>
                <w:szCs w:val="4"/>
              </w:rPr>
            </w:pPr>
            <w:r>
              <w:rPr>
                <w:sz w:val="4"/>
                <w:szCs w:val="4"/>
              </w:rPr>
            </w:r>
          </w:p>
        </w:tc>
        <w:tc>
          <w:tcPr>
            <w:tcW w:w="1694" w:type="dxa"/>
            <w:gridSpan w:val="2"/>
            <w:tcBorders/>
            <w:vAlign w:val="center"/>
          </w:tcPr>
          <w:p>
            <w:pPr>
              <w:pStyle w:val="TableContents"/>
              <w:bidi w:val="0"/>
              <w:spacing w:before="0" w:after="283"/>
              <w:jc w:val="left"/>
              <w:rPr>
                <w:sz w:val="4"/>
                <w:szCs w:val="4"/>
              </w:rPr>
            </w:pPr>
            <w:r>
              <w:rPr>
                <w:sz w:val="4"/>
                <w:szCs w:val="4"/>
              </w:rPr>
            </w:r>
          </w:p>
        </w:tc>
        <w:tc>
          <w:tcPr>
            <w:tcW w:w="1138" w:type="dxa"/>
            <w:gridSpan w:val="2"/>
            <w:tcBorders/>
            <w:vAlign w:val="center"/>
          </w:tcPr>
          <w:p>
            <w:pPr>
              <w:pStyle w:val="TableContents"/>
              <w:bidi w:val="0"/>
              <w:spacing w:before="0" w:after="283"/>
              <w:jc w:val="left"/>
              <w:rPr>
                <w:sz w:val="4"/>
                <w:szCs w:val="4"/>
              </w:rPr>
            </w:pPr>
            <w:r>
              <w:rPr>
                <w:sz w:val="4"/>
                <w:szCs w:val="4"/>
              </w:rPr>
            </w:r>
          </w:p>
        </w:tc>
        <w:tc>
          <w:tcPr>
            <w:tcW w:w="2481" w:type="dxa"/>
            <w:gridSpan w:val="2"/>
            <w:tcBorders/>
            <w:vAlign w:val="center"/>
          </w:tcPr>
          <w:p>
            <w:pPr>
              <w:pStyle w:val="TableContents"/>
              <w:bidi w:val="0"/>
              <w:spacing w:before="0" w:after="283"/>
              <w:jc w:val="left"/>
              <w:rPr>
                <w:sz w:val="4"/>
                <w:szCs w:val="4"/>
              </w:rPr>
            </w:pPr>
            <w:r>
              <w:rPr>
                <w:sz w:val="4"/>
                <w:szCs w:val="4"/>
              </w:rPr>
            </w:r>
          </w:p>
        </w:tc>
        <w:tc>
          <w:tcPr>
            <w:tcW w:w="2483"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262" w:type="dxa"/>
            <w:tcBorders/>
          </w:tcPr>
          <w:p>
            <w:pPr>
              <w:pStyle w:val="TableContents"/>
              <w:bidi w:val="0"/>
              <w:spacing w:before="0" w:after="283"/>
              <w:jc w:val="left"/>
              <w:rPr/>
            </w:pPr>
            <w:r>
              <w:rPr/>
              <w:t>27.</w:t>
            </w:r>
          </w:p>
        </w:tc>
        <w:tc>
          <w:tcPr>
            <w:tcW w:w="125" w:type="dxa"/>
            <w:tcBorders/>
            <w:vAlign w:val="bottom"/>
          </w:tcPr>
          <w:p>
            <w:pPr>
              <w:pStyle w:val="TableContents"/>
              <w:bidi w:val="0"/>
              <w:spacing w:before="0" w:after="283"/>
              <w:jc w:val="left"/>
              <w:rPr/>
            </w:pPr>
            <w:r>
              <w:rPr/>
              <w:t>  </w:t>
            </w:r>
          </w:p>
        </w:tc>
        <w:tc>
          <w:tcPr>
            <w:tcW w:w="156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2369781</w:t>
            </w:r>
          </w:p>
          <w:p>
            <w:pPr>
              <w:pStyle w:val="TableContents"/>
              <w:bidi w:val="0"/>
              <w:spacing w:before="0" w:after="20"/>
              <w:jc w:val="left"/>
              <w:rPr>
                <w:rFonts w:ascii="Times New Roman" w:hAnsi="Times New Roman"/>
                <w:sz w:val="20"/>
              </w:rPr>
            </w:pPr>
            <w:r>
              <w:rPr>
                <w:rFonts w:ascii="Times New Roman" w:hAnsi="Times New Roman"/>
                <w:sz w:val="20"/>
              </w:rPr>
              <w:t>AN: M2370186</w:t>
            </w:r>
          </w:p>
        </w:tc>
        <w:tc>
          <w:tcPr>
            <w:tcW w:w="125"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pPr>
            <w:r>
              <w:rPr/>
              <w:t>Mexico</w:t>
            </w:r>
          </w:p>
        </w:tc>
        <w:tc>
          <w:tcPr>
            <w:tcW w:w="347" w:type="dxa"/>
            <w:tcBorders/>
            <w:vAlign w:val="bottom"/>
          </w:tcPr>
          <w:p>
            <w:pPr>
              <w:pStyle w:val="TableContents"/>
              <w:bidi w:val="0"/>
              <w:spacing w:before="0" w:after="283"/>
              <w:jc w:val="left"/>
              <w:rPr/>
            </w:pPr>
            <w:r>
              <w:rPr/>
              <w:t>  </w:t>
            </w:r>
          </w:p>
        </w:tc>
        <w:tc>
          <w:tcPr>
            <w:tcW w:w="2134" w:type="dxa"/>
            <w:tcBorders/>
          </w:tcPr>
          <w:p>
            <w:pPr>
              <w:pStyle w:val="TableContents"/>
              <w:bidi w:val="0"/>
              <w:spacing w:before="0" w:after="283"/>
              <w:jc w:val="left"/>
              <w:rPr/>
            </w:pPr>
            <w:r>
              <w:rPr/>
              <w:t xml:space="preserve">Mexico </w:t>
              <w:br/>
              <w:t xml:space="preserve">Registered </w:t>
              <w:br/>
              <w:t xml:space="preserve">Last Status Received: Registered </w:t>
              <w:br/>
              <w:t xml:space="preserve">Filed: December 11, 2019 </w:t>
              <w:br/>
              <w:t xml:space="preserve">Registered: March 14, 2022 </w:t>
              <w:br/>
              <w:t>Expiration Date: December 11, 2029</w:t>
            </w:r>
          </w:p>
        </w:tc>
        <w:tc>
          <w:tcPr>
            <w:tcW w:w="125"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pPr>
            <w:r>
              <w:rPr/>
              <w:t xml:space="preserve">Int’l Class: 40 </w:t>
              <w:br/>
              <w:t xml:space="preserve">(Translation) </w:t>
              <w:br/>
              <w:t xml:space="preserve">(Int’l Class: 40) </w:t>
              <w:br/>
              <w:t>provision of technical information in the field of the pharmaceutical industry; custom manufacturing of pharmaceutical products; provision of information on custom manufacturing of pharmaceuticals in the form of liposome aggregations for topical, subcutaneous, intravenous, intratumoral,</w:t>
            </w:r>
          </w:p>
        </w:tc>
        <w:tc>
          <w:tcPr>
            <w:tcW w:w="124"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pPr>
            <w:r>
              <w:rPr/>
              <w:t>PLUS THERAPEUTICS, INC. 4200 MARATHON BLVD., SUITE 200, 78756, AUSTIN TX,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7"/>
        <w:gridCol w:w="126"/>
        <w:gridCol w:w="1909"/>
        <w:gridCol w:w="126"/>
        <w:gridCol w:w="1235"/>
        <w:gridCol w:w="271"/>
        <w:gridCol w:w="1886"/>
        <w:gridCol w:w="126"/>
        <w:gridCol w:w="2063"/>
        <w:gridCol w:w="126"/>
        <w:gridCol w:w="2070"/>
      </w:tblGrid>
      <w:tr>
        <w:trPr/>
        <w:tc>
          <w:tcPr>
            <w:tcW w:w="26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2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9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6" w:type="dxa"/>
            <w:tcBorders/>
            <w:vAlign w:val="bottom"/>
          </w:tcPr>
          <w:p>
            <w:pPr>
              <w:pStyle w:val="TableContents"/>
              <w:bidi w:val="0"/>
              <w:spacing w:before="0" w:after="283"/>
              <w:jc w:val="left"/>
              <w:rPr/>
            </w:pPr>
            <w:r>
              <w:rPr/>
              <w:t>  </w:t>
            </w:r>
          </w:p>
        </w:tc>
        <w:tc>
          <w:tcPr>
            <w:tcW w:w="12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71"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6" w:type="dxa"/>
            <w:tcBorders/>
            <w:vAlign w:val="bottom"/>
          </w:tcPr>
          <w:p>
            <w:pPr>
              <w:pStyle w:val="TableContents"/>
              <w:bidi w:val="0"/>
              <w:spacing w:before="0" w:after="283"/>
              <w:jc w:val="left"/>
              <w:rPr/>
            </w:pPr>
            <w:r>
              <w:rPr/>
              <w:t>  </w:t>
            </w:r>
          </w:p>
        </w:tc>
        <w:tc>
          <w:tcPr>
            <w:tcW w:w="20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6" w:type="dxa"/>
            <w:tcBorders/>
            <w:vAlign w:val="bottom"/>
          </w:tcPr>
          <w:p>
            <w:pPr>
              <w:pStyle w:val="TableContents"/>
              <w:bidi w:val="0"/>
              <w:spacing w:before="0" w:after="283"/>
              <w:jc w:val="left"/>
              <w:rPr/>
            </w:pPr>
            <w:r>
              <w:rPr/>
              <w:t>  </w:t>
            </w:r>
          </w:p>
        </w:tc>
        <w:tc>
          <w:tcPr>
            <w:tcW w:w="20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909"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88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063" w:type="dxa"/>
            <w:tcBorders/>
          </w:tcPr>
          <w:p>
            <w:pPr>
              <w:pStyle w:val="TableContents"/>
              <w:bidi w:val="0"/>
              <w:spacing w:before="0" w:after="283"/>
              <w:jc w:val="left"/>
              <w:rPr/>
            </w:pPr>
            <w:r>
              <w:rPr/>
              <w:t>intratracheal, intraperitoneal, intramuscular, inhalation and oral application that provide timed release of encapsulated pharmaceuticals according to order or the specification of third parties, for the treatment of a wide range of diseases; custom manufacturing of pharmaceutical products in the form of topical, subcutaneous, intravenous, intratumoral, intratracheal, intraperitoneal, intramuscular, inhalational and oral application liposome aggregations that provide timed release of encapsulated pharmaceuticals according to order or third party specification , for the treatment of a wide range of diseases.</w:t>
            </w:r>
          </w:p>
        </w:tc>
        <w:tc>
          <w:tcPr>
            <w:tcW w:w="126" w:type="dxa"/>
            <w:tcBorders/>
            <w:vAlign w:val="bottom"/>
          </w:tcPr>
          <w:p>
            <w:pPr>
              <w:pStyle w:val="TableContents"/>
              <w:bidi w:val="0"/>
              <w:spacing w:before="0" w:after="283"/>
              <w:jc w:val="left"/>
              <w:rPr/>
            </w:pPr>
            <w:r>
              <w:rPr/>
              <w:t>  </w:t>
            </w:r>
          </w:p>
        </w:tc>
        <w:tc>
          <w:tcPr>
            <w:tcW w:w="2070" w:type="dxa"/>
            <w:tcBorders/>
          </w:tcPr>
          <w:p>
            <w:pPr>
              <w:pStyle w:val="TableContents"/>
              <w:bidi w:val="0"/>
              <w:spacing w:before="0" w:after="283"/>
              <w:jc w:val="left"/>
              <w:rPr>
                <w:sz w:val="4"/>
                <w:szCs w:val="4"/>
              </w:rPr>
            </w:pPr>
            <w:r>
              <w:rPr>
                <w:sz w:val="4"/>
                <w:szCs w:val="4"/>
              </w:rPr>
            </w:r>
          </w:p>
        </w:tc>
      </w:tr>
      <w:tr>
        <w:trPr>
          <w:trHeight w:val="120" w:hRule="atLeast"/>
        </w:trPr>
        <w:tc>
          <w:tcPr>
            <w:tcW w:w="26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c>
          <w:tcPr>
            <w:tcW w:w="1361" w:type="dxa"/>
            <w:gridSpan w:val="2"/>
            <w:tcBorders/>
            <w:vAlign w:val="center"/>
          </w:tcPr>
          <w:p>
            <w:pPr>
              <w:pStyle w:val="TableContents"/>
              <w:bidi w:val="0"/>
              <w:spacing w:before="0" w:after="283"/>
              <w:jc w:val="left"/>
              <w:rPr>
                <w:sz w:val="4"/>
                <w:szCs w:val="4"/>
              </w:rPr>
            </w:pPr>
            <w:r>
              <w:rPr>
                <w:sz w:val="4"/>
                <w:szCs w:val="4"/>
              </w:rPr>
            </w:r>
          </w:p>
        </w:tc>
        <w:tc>
          <w:tcPr>
            <w:tcW w:w="2157" w:type="dxa"/>
            <w:gridSpan w:val="2"/>
            <w:tcBorders/>
            <w:vAlign w:val="center"/>
          </w:tcPr>
          <w:p>
            <w:pPr>
              <w:pStyle w:val="TableContents"/>
              <w:bidi w:val="0"/>
              <w:spacing w:before="0" w:after="283"/>
              <w:jc w:val="left"/>
              <w:rPr>
                <w:sz w:val="4"/>
                <w:szCs w:val="4"/>
              </w:rPr>
            </w:pPr>
            <w:r>
              <w:rPr>
                <w:sz w:val="4"/>
                <w:szCs w:val="4"/>
              </w:rPr>
            </w:r>
          </w:p>
        </w:tc>
        <w:tc>
          <w:tcPr>
            <w:tcW w:w="2189"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r>
      <w:tr>
        <w:trPr/>
        <w:tc>
          <w:tcPr>
            <w:tcW w:w="267" w:type="dxa"/>
            <w:tcBorders/>
          </w:tcPr>
          <w:p>
            <w:pPr>
              <w:pStyle w:val="TableContents"/>
              <w:bidi w:val="0"/>
              <w:spacing w:before="0" w:after="283"/>
              <w:jc w:val="left"/>
              <w:rPr/>
            </w:pPr>
            <w:r>
              <w:rPr/>
              <w:t>28.</w:t>
            </w:r>
          </w:p>
        </w:tc>
        <w:tc>
          <w:tcPr>
            <w:tcW w:w="126" w:type="dxa"/>
            <w:tcBorders/>
            <w:vAlign w:val="bottom"/>
          </w:tcPr>
          <w:p>
            <w:pPr>
              <w:pStyle w:val="TableContents"/>
              <w:bidi w:val="0"/>
              <w:spacing w:before="0" w:after="283"/>
              <w:jc w:val="left"/>
              <w:rPr/>
            </w:pPr>
            <w:r>
              <w:rPr/>
              <w:t>  </w:t>
            </w:r>
          </w:p>
        </w:tc>
        <w:tc>
          <w:tcPr>
            <w:tcW w:w="190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CEE-SURE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9675" cy="295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09675" cy="2952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1609009</w:t>
            </w:r>
          </w:p>
        </w:tc>
        <w:tc>
          <w:tcPr>
            <w:tcW w:w="126"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International</w:t>
            </w:r>
          </w:p>
        </w:tc>
        <w:tc>
          <w:tcPr>
            <w:tcW w:w="271" w:type="dxa"/>
            <w:tcBorders/>
            <w:vAlign w:val="bottom"/>
          </w:tcPr>
          <w:p>
            <w:pPr>
              <w:pStyle w:val="TableContents"/>
              <w:bidi w:val="0"/>
              <w:spacing w:before="0" w:after="283"/>
              <w:jc w:val="left"/>
              <w:rPr/>
            </w:pPr>
            <w:r>
              <w:rPr/>
              <w:t>  </w:t>
            </w:r>
          </w:p>
        </w:tc>
        <w:tc>
          <w:tcPr>
            <w:tcW w:w="1886" w:type="dxa"/>
            <w:tcBorders/>
          </w:tcPr>
          <w:p>
            <w:pPr>
              <w:pStyle w:val="TableContents"/>
              <w:bidi w:val="0"/>
              <w:spacing w:before="0" w:after="283"/>
              <w:jc w:val="left"/>
              <w:rPr/>
            </w:pPr>
            <w:r>
              <w:rPr/>
              <w:t xml:space="preserve">International </w:t>
              <w:br/>
              <w:t xml:space="preserve">Registered </w:t>
              <w:br/>
              <w:t xml:space="preserve">Last Status Received: Registered, June 16, 2022 </w:t>
              <w:br/>
              <w:t xml:space="preserve">Registered: July 6, 2021 </w:t>
              <w:br/>
              <w:t>Expiration Date: July 6, 2031</w:t>
            </w:r>
          </w:p>
        </w:tc>
        <w:tc>
          <w:tcPr>
            <w:tcW w:w="126" w:type="dxa"/>
            <w:tcBorders/>
            <w:vAlign w:val="bottom"/>
          </w:tcPr>
          <w:p>
            <w:pPr>
              <w:pStyle w:val="TableContents"/>
              <w:bidi w:val="0"/>
              <w:spacing w:before="0" w:after="283"/>
              <w:jc w:val="left"/>
              <w:rPr/>
            </w:pPr>
            <w:r>
              <w:rPr/>
              <w:t>  </w:t>
            </w:r>
          </w:p>
        </w:tc>
        <w:tc>
          <w:tcPr>
            <w:tcW w:w="2063" w:type="dxa"/>
            <w:tcBorders/>
          </w:tcPr>
          <w:p>
            <w:pPr>
              <w:pStyle w:val="TableContents"/>
              <w:bidi w:val="0"/>
              <w:spacing w:before="0" w:after="283"/>
              <w:jc w:val="left"/>
              <w:rPr/>
            </w:pPr>
            <w:r>
              <w:rPr/>
              <w:t xml:space="preserve">Int’l Class: 10 </w:t>
              <w:br/>
              <w:t xml:space="preserve">(Int’l Class: 10) </w:t>
              <w:br/>
              <w:t>Blood testing apparatus, namely, blood collection tubes.</w:t>
            </w:r>
          </w:p>
        </w:tc>
        <w:tc>
          <w:tcPr>
            <w:tcW w:w="126" w:type="dxa"/>
            <w:tcBorders/>
            <w:vAlign w:val="bottom"/>
          </w:tcPr>
          <w:p>
            <w:pPr>
              <w:pStyle w:val="TableContents"/>
              <w:bidi w:val="0"/>
              <w:spacing w:before="0" w:after="283"/>
              <w:jc w:val="left"/>
              <w:rPr/>
            </w:pPr>
            <w:r>
              <w:rPr/>
              <w:t>  </w:t>
            </w:r>
          </w:p>
        </w:tc>
        <w:tc>
          <w:tcPr>
            <w:tcW w:w="2070" w:type="dxa"/>
            <w:tcBorders/>
          </w:tcPr>
          <w:p>
            <w:pPr>
              <w:pStyle w:val="TableContents"/>
              <w:bidi w:val="0"/>
              <w:spacing w:before="0" w:after="283"/>
              <w:jc w:val="left"/>
              <w:rPr/>
            </w:pPr>
            <w:r>
              <w:rPr/>
              <w:t>Plus Therapeutics, Inc. (Corporation Delaware (United States of America)) 2710 Reed Rd, Suite 160 Houston TX 77051,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2"/>
        <w:gridCol w:w="125"/>
        <w:gridCol w:w="1555"/>
        <w:gridCol w:w="125"/>
        <w:gridCol w:w="1209"/>
        <w:gridCol w:w="317"/>
        <w:gridCol w:w="2071"/>
        <w:gridCol w:w="125"/>
        <w:gridCol w:w="2265"/>
        <w:gridCol w:w="125"/>
        <w:gridCol w:w="2026"/>
      </w:tblGrid>
      <w:tr>
        <w:trPr/>
        <w:tc>
          <w:tcPr>
            <w:tcW w:w="26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5" w:type="dxa"/>
            <w:tcBorders/>
            <w:vAlign w:val="bottom"/>
          </w:tcPr>
          <w:p>
            <w:pPr>
              <w:pStyle w:val="TableContents"/>
              <w:bidi w:val="0"/>
              <w:spacing w:before="0" w:after="283"/>
              <w:jc w:val="left"/>
              <w:rPr/>
            </w:pPr>
            <w:r>
              <w:rPr/>
              <w:t>  </w:t>
            </w:r>
          </w:p>
        </w:tc>
        <w:tc>
          <w:tcPr>
            <w:tcW w:w="1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5" w:type="dxa"/>
            <w:tcBorders/>
            <w:vAlign w:val="bottom"/>
          </w:tcPr>
          <w:p>
            <w:pPr>
              <w:pStyle w:val="TableContents"/>
              <w:bidi w:val="0"/>
              <w:spacing w:before="0" w:after="283"/>
              <w:jc w:val="left"/>
              <w:rPr/>
            </w:pPr>
            <w:r>
              <w:rPr/>
              <w:t>  </w:t>
            </w:r>
          </w:p>
        </w:tc>
        <w:tc>
          <w:tcPr>
            <w:tcW w:w="12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17" w:type="dxa"/>
            <w:tcBorders/>
            <w:vAlign w:val="bottom"/>
          </w:tcPr>
          <w:p>
            <w:pPr>
              <w:pStyle w:val="TableContents"/>
              <w:bidi w:val="0"/>
              <w:spacing w:before="0" w:after="283"/>
              <w:jc w:val="left"/>
              <w:rPr/>
            </w:pPr>
            <w:r>
              <w:rPr/>
              <w:t>  </w:t>
            </w:r>
          </w:p>
        </w:tc>
        <w:tc>
          <w:tcPr>
            <w:tcW w:w="20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5" w:type="dxa"/>
            <w:tcBorders/>
            <w:vAlign w:val="bottom"/>
          </w:tcPr>
          <w:p>
            <w:pPr>
              <w:pStyle w:val="TableContents"/>
              <w:bidi w:val="0"/>
              <w:spacing w:before="0" w:after="283"/>
              <w:jc w:val="left"/>
              <w:rPr/>
            </w:pPr>
            <w:r>
              <w:rPr/>
              <w:t>  </w:t>
            </w:r>
          </w:p>
        </w:tc>
        <w:tc>
          <w:tcPr>
            <w:tcW w:w="2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5" w:type="dxa"/>
            <w:tcBorders/>
            <w:vAlign w:val="bottom"/>
          </w:tcPr>
          <w:p>
            <w:pPr>
              <w:pStyle w:val="TableContents"/>
              <w:bidi w:val="0"/>
              <w:spacing w:before="0" w:after="283"/>
              <w:jc w:val="left"/>
              <w:rPr/>
            </w:pPr>
            <w:r>
              <w:rPr/>
              <w:t>  </w:t>
            </w:r>
          </w:p>
        </w:tc>
        <w:tc>
          <w:tcPr>
            <w:tcW w:w="20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2" w:type="dxa"/>
            <w:tcBorders/>
          </w:tcPr>
          <w:p>
            <w:pPr>
              <w:pStyle w:val="TableContents"/>
              <w:bidi w:val="0"/>
              <w:spacing w:before="0" w:after="283"/>
              <w:jc w:val="left"/>
              <w:rPr/>
            </w:pPr>
            <w:r>
              <w:rPr/>
              <w:t>29.</w:t>
            </w:r>
          </w:p>
        </w:tc>
        <w:tc>
          <w:tcPr>
            <w:tcW w:w="125" w:type="dxa"/>
            <w:tcBorders/>
            <w:vAlign w:val="bottom"/>
          </w:tcPr>
          <w:p>
            <w:pPr>
              <w:pStyle w:val="TableContents"/>
              <w:bidi w:val="0"/>
              <w:spacing w:before="0" w:after="283"/>
              <w:jc w:val="left"/>
              <w:rPr/>
            </w:pPr>
            <w:r>
              <w:rPr/>
              <w:t>  </w:t>
            </w:r>
          </w:p>
        </w:tc>
        <w:tc>
          <w:tcPr>
            <w:tcW w:w="155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20"/>
              <w:jc w:val="left"/>
              <w:rPr>
                <w:rFonts w:ascii="Times New Roman" w:hAnsi="Times New Roman"/>
                <w:sz w:val="20"/>
              </w:rPr>
            </w:pPr>
            <w:r>
              <w:rPr>
                <w:rFonts w:ascii="Times New Roman" w:hAnsi="Times New Roman"/>
                <w:sz w:val="20"/>
              </w:rPr>
              <w:t>RN: 1524663</w:t>
            </w:r>
          </w:p>
        </w:tc>
        <w:tc>
          <w:tcPr>
            <w:tcW w:w="125" w:type="dxa"/>
            <w:tcBorders/>
            <w:vAlign w:val="bottom"/>
          </w:tcPr>
          <w:p>
            <w:pPr>
              <w:pStyle w:val="TableContents"/>
              <w:bidi w:val="0"/>
              <w:spacing w:before="0" w:after="283"/>
              <w:jc w:val="left"/>
              <w:rPr/>
            </w:pPr>
            <w:r>
              <w:rPr/>
              <w:t>  </w:t>
            </w:r>
          </w:p>
        </w:tc>
        <w:tc>
          <w:tcPr>
            <w:tcW w:w="1209" w:type="dxa"/>
            <w:tcBorders/>
          </w:tcPr>
          <w:p>
            <w:pPr>
              <w:pStyle w:val="TableContents"/>
              <w:bidi w:val="0"/>
              <w:spacing w:before="0" w:after="283"/>
              <w:jc w:val="left"/>
              <w:rPr/>
            </w:pPr>
            <w:r>
              <w:rPr/>
              <w:t>International</w:t>
            </w:r>
          </w:p>
        </w:tc>
        <w:tc>
          <w:tcPr>
            <w:tcW w:w="317" w:type="dxa"/>
            <w:tcBorders/>
            <w:vAlign w:val="bottom"/>
          </w:tcPr>
          <w:p>
            <w:pPr>
              <w:pStyle w:val="TableContents"/>
              <w:bidi w:val="0"/>
              <w:spacing w:before="0" w:after="283"/>
              <w:jc w:val="left"/>
              <w:rPr/>
            </w:pPr>
            <w:r>
              <w:rPr/>
              <w:t>  </w:t>
            </w:r>
          </w:p>
        </w:tc>
        <w:tc>
          <w:tcPr>
            <w:tcW w:w="2071" w:type="dxa"/>
            <w:tcBorders/>
          </w:tcPr>
          <w:p>
            <w:pPr>
              <w:pStyle w:val="TableContents"/>
              <w:bidi w:val="0"/>
              <w:spacing w:before="0" w:after="283"/>
              <w:jc w:val="left"/>
              <w:rPr/>
            </w:pPr>
            <w:r>
              <w:rPr/>
              <w:t xml:space="preserve">International </w:t>
              <w:br/>
              <w:t xml:space="preserve">Registered </w:t>
              <w:br/>
              <w:t xml:space="preserve">Last Status Received: Registered, July 4, 2023 </w:t>
              <w:br/>
              <w:t xml:space="preserve">Registered: December 11, 2019 </w:t>
              <w:br/>
              <w:t>Expiration Date: December 11, 2029</w:t>
            </w:r>
          </w:p>
        </w:tc>
        <w:tc>
          <w:tcPr>
            <w:tcW w:w="125" w:type="dxa"/>
            <w:tcBorders/>
            <w:vAlign w:val="bottom"/>
          </w:tcPr>
          <w:p>
            <w:pPr>
              <w:pStyle w:val="TableContents"/>
              <w:bidi w:val="0"/>
              <w:spacing w:before="0" w:after="283"/>
              <w:jc w:val="left"/>
              <w:rPr/>
            </w:pPr>
            <w:r>
              <w:rPr/>
              <w:t>  </w:t>
            </w:r>
          </w:p>
        </w:tc>
        <w:tc>
          <w:tcPr>
            <w:tcW w:w="2265"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(Int’l Class: 40) 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w:t>
            </w:r>
          </w:p>
        </w:tc>
        <w:tc>
          <w:tcPr>
            <w:tcW w:w="125" w:type="dxa"/>
            <w:tcBorders/>
            <w:vAlign w:val="bottom"/>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PLUS THERAPEUTICS, INC. (Corporation Delaware) 4200 Marathon Blvd., Suite 200 Austin TX 78756,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providing time-release of 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(Int’l Class: 42) 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9"/>
        <w:gridCol w:w="126"/>
        <w:gridCol w:w="1971"/>
        <w:gridCol w:w="126"/>
        <w:gridCol w:w="1240"/>
        <w:gridCol w:w="250"/>
        <w:gridCol w:w="1767"/>
        <w:gridCol w:w="126"/>
        <w:gridCol w:w="2095"/>
        <w:gridCol w:w="126"/>
        <w:gridCol w:w="2079"/>
      </w:tblGrid>
      <w:tr>
        <w:trPr/>
        <w:tc>
          <w:tcPr>
            <w:tcW w:w="29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29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9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6" w:type="dxa"/>
            <w:tcBorders/>
            <w:vAlign w:val="bottom"/>
          </w:tcPr>
          <w:p>
            <w:pPr>
              <w:pStyle w:val="TableContents"/>
              <w:bidi w:val="0"/>
              <w:spacing w:before="0" w:after="283"/>
              <w:jc w:val="left"/>
              <w:rPr/>
            </w:pPr>
            <w:r>
              <w:rPr/>
              <w:t>  </w:t>
            </w:r>
          </w:p>
        </w:tc>
        <w:tc>
          <w:tcPr>
            <w:tcW w:w="1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50" w:type="dxa"/>
            <w:tcBorders/>
            <w:vAlign w:val="bottom"/>
          </w:tcPr>
          <w:p>
            <w:pPr>
              <w:pStyle w:val="TableContents"/>
              <w:bidi w:val="0"/>
              <w:spacing w:before="0" w:after="283"/>
              <w:jc w:val="left"/>
              <w:rPr/>
            </w:pPr>
            <w:r>
              <w:rPr/>
              <w:t>  </w:t>
            </w:r>
          </w:p>
        </w:tc>
        <w:tc>
          <w:tcPr>
            <w:tcW w:w="17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6" w:type="dxa"/>
            <w:tcBorders/>
            <w:vAlign w:val="bottom"/>
          </w:tcPr>
          <w:p>
            <w:pPr>
              <w:pStyle w:val="TableContents"/>
              <w:bidi w:val="0"/>
              <w:spacing w:before="0" w:after="283"/>
              <w:jc w:val="left"/>
              <w:rPr/>
            </w:pPr>
            <w:r>
              <w:rPr/>
              <w:t>  </w:t>
            </w:r>
          </w:p>
        </w:tc>
        <w:tc>
          <w:tcPr>
            <w:tcW w:w="20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6" w:type="dxa"/>
            <w:tcBorders/>
            <w:vAlign w:val="bottom"/>
          </w:tcPr>
          <w:p>
            <w:pPr>
              <w:pStyle w:val="TableContents"/>
              <w:bidi w:val="0"/>
              <w:spacing w:before="0" w:after="283"/>
              <w:jc w:val="left"/>
              <w:rPr/>
            </w:pPr>
            <w:r>
              <w:rPr/>
              <w:t>  </w:t>
            </w:r>
          </w:p>
        </w:tc>
        <w:tc>
          <w:tcPr>
            <w:tcW w:w="20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99" w:type="dxa"/>
            <w:tcBorders/>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240" w:type="dxa"/>
            <w:tcBorders/>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767"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095" w:type="dxa"/>
            <w:tcBorders/>
          </w:tcPr>
          <w:p>
            <w:pPr>
              <w:pStyle w:val="TableContents"/>
              <w:bidi w:val="0"/>
              <w:spacing w:before="0" w:after="283"/>
              <w:jc w:val="left"/>
              <w:rPr/>
            </w:pPr>
            <w:r>
              <w:rPr/>
              <w:t xml:space="preserve">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6" w:type="dxa"/>
            <w:tcBorders/>
            <w:vAlign w:val="bottom"/>
          </w:tcPr>
          <w:p>
            <w:pPr>
              <w:pStyle w:val="TableContents"/>
              <w:bidi w:val="0"/>
              <w:spacing w:before="0" w:after="283"/>
              <w:jc w:val="left"/>
              <w:rPr/>
            </w:pPr>
            <w:r>
              <w:rPr/>
              <w:t>  </w:t>
            </w:r>
          </w:p>
        </w:tc>
        <w:tc>
          <w:tcPr>
            <w:tcW w:w="2079" w:type="dxa"/>
            <w:tcBorders/>
          </w:tcPr>
          <w:p>
            <w:pPr>
              <w:pStyle w:val="TableContents"/>
              <w:bidi w:val="0"/>
              <w:spacing w:before="0" w:after="283"/>
              <w:jc w:val="left"/>
              <w:rPr>
                <w:sz w:val="4"/>
                <w:szCs w:val="4"/>
              </w:rPr>
            </w:pPr>
            <w:r>
              <w:rPr>
                <w:sz w:val="4"/>
                <w:szCs w:val="4"/>
              </w:rPr>
            </w:r>
          </w:p>
        </w:tc>
      </w:tr>
      <w:tr>
        <w:trPr>
          <w:trHeight w:val="120" w:hRule="atLeast"/>
        </w:trPr>
        <w:tc>
          <w:tcPr>
            <w:tcW w:w="299" w:type="dxa"/>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c>
          <w:tcPr>
            <w:tcW w:w="1366" w:type="dxa"/>
            <w:gridSpan w:val="2"/>
            <w:tcBorders/>
            <w:vAlign w:val="center"/>
          </w:tcPr>
          <w:p>
            <w:pPr>
              <w:pStyle w:val="TableContents"/>
              <w:bidi w:val="0"/>
              <w:spacing w:before="0" w:after="283"/>
              <w:jc w:val="left"/>
              <w:rPr>
                <w:sz w:val="4"/>
                <w:szCs w:val="4"/>
              </w:rPr>
            </w:pPr>
            <w:r>
              <w:rPr>
                <w:sz w:val="4"/>
                <w:szCs w:val="4"/>
              </w:rPr>
            </w:r>
          </w:p>
        </w:tc>
        <w:tc>
          <w:tcPr>
            <w:tcW w:w="2017" w:type="dxa"/>
            <w:gridSpan w:val="2"/>
            <w:tcBorders/>
            <w:vAlign w:val="center"/>
          </w:tcPr>
          <w:p>
            <w:pPr>
              <w:pStyle w:val="TableContents"/>
              <w:bidi w:val="0"/>
              <w:spacing w:before="0" w:after="283"/>
              <w:jc w:val="left"/>
              <w:rPr>
                <w:sz w:val="4"/>
                <w:szCs w:val="4"/>
              </w:rPr>
            </w:pPr>
            <w:r>
              <w:rPr>
                <w:sz w:val="4"/>
                <w:szCs w:val="4"/>
              </w:rPr>
            </w:r>
          </w:p>
        </w:tc>
        <w:tc>
          <w:tcPr>
            <w:tcW w:w="2221" w:type="dxa"/>
            <w:gridSpan w:val="2"/>
            <w:tcBorders/>
            <w:vAlign w:val="center"/>
          </w:tcPr>
          <w:p>
            <w:pPr>
              <w:pStyle w:val="TableContents"/>
              <w:bidi w:val="0"/>
              <w:spacing w:before="0" w:after="283"/>
              <w:jc w:val="left"/>
              <w:rPr>
                <w:sz w:val="4"/>
                <w:szCs w:val="4"/>
              </w:rPr>
            </w:pPr>
            <w:r>
              <w:rPr>
                <w:sz w:val="4"/>
                <w:szCs w:val="4"/>
              </w:rPr>
            </w:r>
          </w:p>
        </w:tc>
        <w:tc>
          <w:tcPr>
            <w:tcW w:w="2205" w:type="dxa"/>
            <w:gridSpan w:val="2"/>
            <w:tcBorders/>
            <w:vAlign w:val="center"/>
          </w:tcPr>
          <w:p>
            <w:pPr>
              <w:pStyle w:val="TableContents"/>
              <w:bidi w:val="0"/>
              <w:spacing w:before="0" w:after="283"/>
              <w:jc w:val="left"/>
              <w:rPr>
                <w:sz w:val="4"/>
                <w:szCs w:val="4"/>
              </w:rPr>
            </w:pPr>
            <w:r>
              <w:rPr>
                <w:sz w:val="4"/>
                <w:szCs w:val="4"/>
              </w:rPr>
            </w:r>
          </w:p>
        </w:tc>
      </w:tr>
      <w:tr>
        <w:trPr/>
        <w:tc>
          <w:tcPr>
            <w:tcW w:w="299" w:type="dxa"/>
            <w:tcBorders/>
          </w:tcPr>
          <w:p>
            <w:pPr>
              <w:pStyle w:val="TableContents"/>
              <w:bidi w:val="0"/>
              <w:spacing w:before="0" w:after="283"/>
              <w:jc w:val="left"/>
              <w:rPr/>
            </w:pPr>
            <w:r>
              <w:rPr/>
              <w:t>30.</w:t>
            </w:r>
          </w:p>
        </w:tc>
        <w:tc>
          <w:tcPr>
            <w:tcW w:w="126" w:type="dxa"/>
            <w:tcBorders/>
            <w:vAlign w:val="bottom"/>
          </w:tcPr>
          <w:p>
            <w:pPr>
              <w:pStyle w:val="TableContents"/>
              <w:bidi w:val="0"/>
              <w:spacing w:before="0" w:after="283"/>
              <w:jc w:val="left"/>
              <w:rPr/>
            </w:pPr>
            <w:r>
              <w:rPr/>
              <w:t>  </w:t>
            </w:r>
          </w:p>
        </w:tc>
        <w:tc>
          <w:tcPr>
            <w:tcW w:w="1971"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47775" cy="514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47775" cy="5143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1525871</w:t>
            </w:r>
          </w:p>
        </w:tc>
        <w:tc>
          <w:tcPr>
            <w:tcW w:w="126" w:type="dxa"/>
            <w:tcBorders/>
            <w:vAlign w:val="bottom"/>
          </w:tcPr>
          <w:p>
            <w:pPr>
              <w:pStyle w:val="TableContents"/>
              <w:bidi w:val="0"/>
              <w:spacing w:before="0" w:after="283"/>
              <w:jc w:val="left"/>
              <w:rPr/>
            </w:pPr>
            <w:r>
              <w:rPr/>
              <w:t>  </w:t>
            </w:r>
          </w:p>
        </w:tc>
        <w:tc>
          <w:tcPr>
            <w:tcW w:w="1240" w:type="dxa"/>
            <w:tcBorders/>
          </w:tcPr>
          <w:p>
            <w:pPr>
              <w:pStyle w:val="TableContents"/>
              <w:bidi w:val="0"/>
              <w:spacing w:before="0" w:after="283"/>
              <w:jc w:val="left"/>
              <w:rPr/>
            </w:pPr>
            <w:r>
              <w:rPr/>
              <w:t>International</w:t>
            </w:r>
          </w:p>
        </w:tc>
        <w:tc>
          <w:tcPr>
            <w:tcW w:w="250" w:type="dxa"/>
            <w:tcBorders/>
            <w:vAlign w:val="bottom"/>
          </w:tcPr>
          <w:p>
            <w:pPr>
              <w:pStyle w:val="TableContents"/>
              <w:bidi w:val="0"/>
              <w:spacing w:before="0" w:after="283"/>
              <w:jc w:val="left"/>
              <w:rPr/>
            </w:pPr>
            <w:r>
              <w:rPr/>
              <w:t>  </w:t>
            </w:r>
          </w:p>
        </w:tc>
        <w:tc>
          <w:tcPr>
            <w:tcW w:w="1767" w:type="dxa"/>
            <w:tcBorders/>
          </w:tcPr>
          <w:p>
            <w:pPr>
              <w:pStyle w:val="TableContents"/>
              <w:bidi w:val="0"/>
              <w:spacing w:before="0" w:after="283"/>
              <w:jc w:val="left"/>
              <w:rPr/>
            </w:pPr>
            <w:r>
              <w:rPr/>
              <w:t xml:space="preserve">International </w:t>
              <w:br/>
              <w:t xml:space="preserve">Registered </w:t>
              <w:br/>
              <w:t xml:space="preserve">Last Status Received: Registered, July 4, 2023 </w:t>
              <w:br/>
              <w:t xml:space="preserve">Registered: December 11, 2019 </w:t>
              <w:br/>
              <w:t>Expiration Date: December 11, 2029</w:t>
            </w:r>
          </w:p>
        </w:tc>
        <w:tc>
          <w:tcPr>
            <w:tcW w:w="126" w:type="dxa"/>
            <w:tcBorders/>
            <w:vAlign w:val="bottom"/>
          </w:tcPr>
          <w:p>
            <w:pPr>
              <w:pStyle w:val="TableContents"/>
              <w:bidi w:val="0"/>
              <w:spacing w:before="0" w:after="283"/>
              <w:jc w:val="left"/>
              <w:rPr/>
            </w:pPr>
            <w:r>
              <w:rPr/>
              <w:t>  </w:t>
            </w:r>
          </w:p>
        </w:tc>
        <w:tc>
          <w:tcPr>
            <w:tcW w:w="2095"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w:t>
            </w:r>
          </w:p>
        </w:tc>
        <w:tc>
          <w:tcPr>
            <w:tcW w:w="126" w:type="dxa"/>
            <w:tcBorders/>
            <w:vAlign w:val="bottom"/>
          </w:tcPr>
          <w:p>
            <w:pPr>
              <w:pStyle w:val="TableContents"/>
              <w:bidi w:val="0"/>
              <w:spacing w:before="0" w:after="283"/>
              <w:jc w:val="left"/>
              <w:rPr/>
            </w:pPr>
            <w:r>
              <w:rPr/>
              <w:t>  </w:t>
            </w:r>
          </w:p>
        </w:tc>
        <w:tc>
          <w:tcPr>
            <w:tcW w:w="2079" w:type="dxa"/>
            <w:tcBorders/>
          </w:tcPr>
          <w:p>
            <w:pPr>
              <w:pStyle w:val="TableContents"/>
              <w:bidi w:val="0"/>
              <w:spacing w:before="0" w:after="283"/>
              <w:jc w:val="left"/>
              <w:rPr/>
            </w:pPr>
            <w:r>
              <w:rPr/>
              <w:t>PLUS THERAPEUTICS, INC. (Corporation Delaware) 4200 Marathon Blvd., Suite 200 Austin TX 78756,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4"/>
        <w:gridCol w:w="128"/>
        <w:gridCol w:w="1313"/>
        <w:gridCol w:w="128"/>
        <w:gridCol w:w="1053"/>
        <w:gridCol w:w="403"/>
        <w:gridCol w:w="2042"/>
        <w:gridCol w:w="128"/>
        <w:gridCol w:w="2511"/>
        <w:gridCol w:w="128"/>
        <w:gridCol w:w="2037"/>
      </w:tblGrid>
      <w:tr>
        <w:trPr/>
        <w:tc>
          <w:tcPr>
            <w:tcW w:w="33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3"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5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8"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4"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3" w:type="dxa"/>
            <w:tcBorders/>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511" w:type="dxa"/>
            <w:tcBorders/>
          </w:tcPr>
          <w:p>
            <w:pPr>
              <w:pStyle w:val="TableContents"/>
              <w:bidi w:val="0"/>
              <w:spacing w:before="0" w:after="283"/>
              <w:jc w:val="left"/>
              <w:rPr/>
            </w:pPr>
            <w:r>
              <w:rPr/>
              <w:t xml:space="preserve">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w:t>
            </w:r>
          </w:p>
        </w:tc>
        <w:tc>
          <w:tcPr>
            <w:tcW w:w="128"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made to the order or specification of others, for treatment of a wide variety of diseases. (Int’l Class: 42) </w:t>
              <w:br/>
              <w:t xml:space="preserve">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8"/>
        <w:gridCol w:w="127"/>
        <w:gridCol w:w="1953"/>
        <w:gridCol w:w="127"/>
        <w:gridCol w:w="1240"/>
        <w:gridCol w:w="263"/>
        <w:gridCol w:w="1855"/>
        <w:gridCol w:w="127"/>
        <w:gridCol w:w="2042"/>
        <w:gridCol w:w="127"/>
        <w:gridCol w:w="2076"/>
      </w:tblGrid>
      <w:tr>
        <w:trPr/>
        <w:tc>
          <w:tcPr>
            <w:tcW w:w="26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9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63"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8" w:type="dxa"/>
            <w:tcBorders/>
          </w:tcPr>
          <w:p>
            <w:pPr>
              <w:pStyle w:val="TableContents"/>
              <w:bidi w:val="0"/>
              <w:spacing w:before="0" w:after="283"/>
              <w:jc w:val="left"/>
              <w:rPr/>
            </w:pPr>
            <w:r>
              <w:rPr/>
              <w:t>31.</w:t>
            </w:r>
          </w:p>
        </w:tc>
        <w:tc>
          <w:tcPr>
            <w:tcW w:w="127" w:type="dxa"/>
            <w:tcBorders/>
            <w:vAlign w:val="bottom"/>
          </w:tcPr>
          <w:p>
            <w:pPr>
              <w:pStyle w:val="TableContents"/>
              <w:bidi w:val="0"/>
              <w:spacing w:before="0" w:after="283"/>
              <w:jc w:val="left"/>
              <w:rPr/>
            </w:pPr>
            <w:r>
              <w:rPr/>
              <w:t>  </w:t>
            </w:r>
          </w:p>
        </w:tc>
        <w:tc>
          <w:tcPr>
            <w:tcW w:w="195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RESPECT</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0150" cy="314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1579951</w:t>
            </w:r>
          </w:p>
        </w:tc>
        <w:tc>
          <w:tcPr>
            <w:tcW w:w="127" w:type="dxa"/>
            <w:tcBorders/>
            <w:vAlign w:val="bottom"/>
          </w:tcPr>
          <w:p>
            <w:pPr>
              <w:pStyle w:val="TableContents"/>
              <w:bidi w:val="0"/>
              <w:spacing w:before="0" w:after="283"/>
              <w:jc w:val="left"/>
              <w:rPr/>
            </w:pPr>
            <w:r>
              <w:rPr/>
              <w:t>  </w:t>
            </w:r>
          </w:p>
        </w:tc>
        <w:tc>
          <w:tcPr>
            <w:tcW w:w="1240" w:type="dxa"/>
            <w:tcBorders/>
          </w:tcPr>
          <w:p>
            <w:pPr>
              <w:pStyle w:val="TableContents"/>
              <w:bidi w:val="0"/>
              <w:spacing w:before="0" w:after="283"/>
              <w:jc w:val="left"/>
              <w:rPr/>
            </w:pPr>
            <w:r>
              <w:rPr/>
              <w:t>International</w:t>
            </w:r>
          </w:p>
        </w:tc>
        <w:tc>
          <w:tcPr>
            <w:tcW w:w="263"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pPr>
            <w:r>
              <w:rPr/>
              <w:t xml:space="preserve">International </w:t>
              <w:br/>
              <w:t xml:space="preserve">Registered </w:t>
              <w:br/>
              <w:t xml:space="preserve">Last Status Received: Registered, July 26, 2023 </w:t>
              <w:br/>
              <w:t xml:space="preserve">Registered: January 13, 2021 </w:t>
              <w:br/>
              <w:t>Expiration Date: January 13, 2031</w:t>
            </w:r>
          </w:p>
        </w:tc>
        <w:tc>
          <w:tcPr>
            <w:tcW w:w="127"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pPr>
            <w:r>
              <w:rPr/>
              <w:t xml:space="preserve">Int’l Class: 44 </w:t>
              <w:br/>
              <w:t xml:space="preserve">(Int’l Class: 44) </w:t>
              <w:br/>
              <w:t>Medical information; providing medical information relating to oncology; providing medical information from a website relating to clinical trials of radiotherapeutic products.</w:t>
            </w:r>
          </w:p>
        </w:tc>
        <w:tc>
          <w:tcPr>
            <w:tcW w:w="127"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left"/>
              <w:rPr/>
            </w:pPr>
            <w:r>
              <w:rPr/>
              <w:t>Plus Therapeutics, Inc. 4200 Marathon Blvd., Suite 200 Austin TX 78756, United States of America</w:t>
            </w:r>
          </w:p>
        </w:tc>
      </w:tr>
      <w:tr>
        <w:trPr>
          <w:trHeight w:val="120" w:hRule="atLeast"/>
        </w:trPr>
        <w:tc>
          <w:tcPr>
            <w:tcW w:w="268" w:type="dxa"/>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c>
          <w:tcPr>
            <w:tcW w:w="1367"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c>
          <w:tcPr>
            <w:tcW w:w="2169" w:type="dxa"/>
            <w:gridSpan w:val="2"/>
            <w:tcBorders/>
            <w:vAlign w:val="center"/>
          </w:tcPr>
          <w:p>
            <w:pPr>
              <w:pStyle w:val="TableContents"/>
              <w:bidi w:val="0"/>
              <w:spacing w:before="0" w:after="283"/>
              <w:jc w:val="left"/>
              <w:rPr>
                <w:sz w:val="4"/>
                <w:szCs w:val="4"/>
              </w:rPr>
            </w:pPr>
            <w:r>
              <w:rPr>
                <w:sz w:val="4"/>
                <w:szCs w:val="4"/>
              </w:rPr>
            </w:r>
          </w:p>
        </w:tc>
        <w:tc>
          <w:tcPr>
            <w:tcW w:w="2203" w:type="dxa"/>
            <w:gridSpan w:val="2"/>
            <w:tcBorders/>
            <w:vAlign w:val="center"/>
          </w:tcPr>
          <w:p>
            <w:pPr>
              <w:pStyle w:val="TableContents"/>
              <w:bidi w:val="0"/>
              <w:spacing w:before="0" w:after="283"/>
              <w:jc w:val="left"/>
              <w:rPr>
                <w:sz w:val="4"/>
                <w:szCs w:val="4"/>
              </w:rPr>
            </w:pPr>
            <w:r>
              <w:rPr>
                <w:sz w:val="4"/>
                <w:szCs w:val="4"/>
              </w:rPr>
            </w:r>
          </w:p>
        </w:tc>
      </w:tr>
      <w:tr>
        <w:trPr/>
        <w:tc>
          <w:tcPr>
            <w:tcW w:w="268" w:type="dxa"/>
            <w:tcBorders/>
          </w:tcPr>
          <w:p>
            <w:pPr>
              <w:pStyle w:val="TableContents"/>
              <w:bidi w:val="0"/>
              <w:spacing w:before="0" w:after="283"/>
              <w:jc w:val="left"/>
              <w:rPr/>
            </w:pPr>
            <w:r>
              <w:rPr/>
              <w:t>32.</w:t>
            </w:r>
          </w:p>
        </w:tc>
        <w:tc>
          <w:tcPr>
            <w:tcW w:w="127" w:type="dxa"/>
            <w:tcBorders/>
            <w:vAlign w:val="bottom"/>
          </w:tcPr>
          <w:p>
            <w:pPr>
              <w:pStyle w:val="TableContents"/>
              <w:bidi w:val="0"/>
              <w:spacing w:before="0" w:after="283"/>
              <w:jc w:val="left"/>
              <w:rPr/>
            </w:pPr>
            <w:r>
              <w:rPr/>
              <w:t>  </w:t>
            </w:r>
          </w:p>
        </w:tc>
        <w:tc>
          <w:tcPr>
            <w:tcW w:w="195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ReSPECT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38250" cy="47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38250" cy="4762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1576154</w:t>
            </w:r>
          </w:p>
        </w:tc>
        <w:tc>
          <w:tcPr>
            <w:tcW w:w="127" w:type="dxa"/>
            <w:tcBorders/>
            <w:vAlign w:val="bottom"/>
          </w:tcPr>
          <w:p>
            <w:pPr>
              <w:pStyle w:val="TableContents"/>
              <w:bidi w:val="0"/>
              <w:spacing w:before="0" w:after="283"/>
              <w:jc w:val="left"/>
              <w:rPr/>
            </w:pPr>
            <w:r>
              <w:rPr/>
              <w:t>  </w:t>
            </w:r>
          </w:p>
        </w:tc>
        <w:tc>
          <w:tcPr>
            <w:tcW w:w="1240" w:type="dxa"/>
            <w:tcBorders/>
          </w:tcPr>
          <w:p>
            <w:pPr>
              <w:pStyle w:val="TableContents"/>
              <w:bidi w:val="0"/>
              <w:spacing w:before="0" w:after="283"/>
              <w:jc w:val="left"/>
              <w:rPr/>
            </w:pPr>
            <w:r>
              <w:rPr/>
              <w:t>International</w:t>
            </w:r>
          </w:p>
        </w:tc>
        <w:tc>
          <w:tcPr>
            <w:tcW w:w="263"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pPr>
            <w:r>
              <w:rPr/>
              <w:t xml:space="preserve">International </w:t>
              <w:br/>
              <w:t xml:space="preserve">Registered </w:t>
              <w:br/>
              <w:t xml:space="preserve">Last Status Received: Registered, July 26, 2023 </w:t>
              <w:br/>
              <w:t xml:space="preserve">Registered: January 13, 2021 </w:t>
              <w:br/>
              <w:t>Expiration Date: January 13, 2031</w:t>
            </w:r>
          </w:p>
        </w:tc>
        <w:tc>
          <w:tcPr>
            <w:tcW w:w="127"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pPr>
            <w:r>
              <w:rPr/>
              <w:t xml:space="preserve">Int’l Class: 44 </w:t>
              <w:br/>
              <w:t xml:space="preserve">(Int’l Class: 44) </w:t>
              <w:br/>
              <w:t>Medical information; providing medical information relating to oncology; providing medical information from a website relating to clinical trials of radiotherapeutic products.</w:t>
            </w:r>
          </w:p>
        </w:tc>
        <w:tc>
          <w:tcPr>
            <w:tcW w:w="127"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left"/>
              <w:rPr/>
            </w:pPr>
            <w:r>
              <w:rPr/>
              <w:t>PLUS THERAPEUTICS, INC. 4200 Marathon Blvd., Suite 200 Austin TX 78756, United States of America</w:t>
            </w:r>
          </w:p>
        </w:tc>
      </w:tr>
      <w:tr>
        <w:trPr>
          <w:trHeight w:val="120" w:hRule="atLeast"/>
        </w:trPr>
        <w:tc>
          <w:tcPr>
            <w:tcW w:w="268" w:type="dxa"/>
            <w:tcBorders/>
            <w:vAlign w:val="center"/>
          </w:tcPr>
          <w:p>
            <w:pPr>
              <w:pStyle w:val="TableContents"/>
              <w:bidi w:val="0"/>
              <w:spacing w:before="0" w:after="283"/>
              <w:jc w:val="left"/>
              <w:rPr>
                <w:sz w:val="4"/>
                <w:szCs w:val="4"/>
              </w:rPr>
            </w:pPr>
            <w:r>
              <w:rPr>
                <w:sz w:val="4"/>
                <w:szCs w:val="4"/>
              </w:rPr>
            </w:r>
          </w:p>
        </w:tc>
        <w:tc>
          <w:tcPr>
            <w:tcW w:w="2080" w:type="dxa"/>
            <w:gridSpan w:val="2"/>
            <w:tcBorders/>
            <w:vAlign w:val="center"/>
          </w:tcPr>
          <w:p>
            <w:pPr>
              <w:pStyle w:val="TableContents"/>
              <w:bidi w:val="0"/>
              <w:spacing w:before="0" w:after="283"/>
              <w:jc w:val="left"/>
              <w:rPr>
                <w:sz w:val="4"/>
                <w:szCs w:val="4"/>
              </w:rPr>
            </w:pPr>
            <w:r>
              <w:rPr>
                <w:sz w:val="4"/>
                <w:szCs w:val="4"/>
              </w:rPr>
            </w:r>
          </w:p>
        </w:tc>
        <w:tc>
          <w:tcPr>
            <w:tcW w:w="1367" w:type="dxa"/>
            <w:gridSpan w:val="2"/>
            <w:tcBorders/>
            <w:vAlign w:val="center"/>
          </w:tcPr>
          <w:p>
            <w:pPr>
              <w:pStyle w:val="TableContents"/>
              <w:bidi w:val="0"/>
              <w:spacing w:before="0" w:after="283"/>
              <w:jc w:val="left"/>
              <w:rPr>
                <w:sz w:val="4"/>
                <w:szCs w:val="4"/>
              </w:rPr>
            </w:pPr>
            <w:r>
              <w:rPr>
                <w:sz w:val="4"/>
                <w:szCs w:val="4"/>
              </w:rPr>
            </w:r>
          </w:p>
        </w:tc>
        <w:tc>
          <w:tcPr>
            <w:tcW w:w="2118" w:type="dxa"/>
            <w:gridSpan w:val="2"/>
            <w:tcBorders/>
            <w:vAlign w:val="center"/>
          </w:tcPr>
          <w:p>
            <w:pPr>
              <w:pStyle w:val="TableContents"/>
              <w:bidi w:val="0"/>
              <w:spacing w:before="0" w:after="283"/>
              <w:jc w:val="left"/>
              <w:rPr>
                <w:sz w:val="4"/>
                <w:szCs w:val="4"/>
              </w:rPr>
            </w:pPr>
            <w:r>
              <w:rPr>
                <w:sz w:val="4"/>
                <w:szCs w:val="4"/>
              </w:rPr>
            </w:r>
          </w:p>
        </w:tc>
        <w:tc>
          <w:tcPr>
            <w:tcW w:w="2169" w:type="dxa"/>
            <w:gridSpan w:val="2"/>
            <w:tcBorders/>
            <w:vAlign w:val="center"/>
          </w:tcPr>
          <w:p>
            <w:pPr>
              <w:pStyle w:val="TableContents"/>
              <w:bidi w:val="0"/>
              <w:spacing w:before="0" w:after="283"/>
              <w:jc w:val="left"/>
              <w:rPr>
                <w:sz w:val="4"/>
                <w:szCs w:val="4"/>
              </w:rPr>
            </w:pPr>
            <w:r>
              <w:rPr>
                <w:sz w:val="4"/>
                <w:szCs w:val="4"/>
              </w:rPr>
            </w:r>
          </w:p>
        </w:tc>
        <w:tc>
          <w:tcPr>
            <w:tcW w:w="2203" w:type="dxa"/>
            <w:gridSpan w:val="2"/>
            <w:tcBorders/>
            <w:vAlign w:val="center"/>
          </w:tcPr>
          <w:p>
            <w:pPr>
              <w:pStyle w:val="TableContents"/>
              <w:bidi w:val="0"/>
              <w:spacing w:before="0" w:after="283"/>
              <w:jc w:val="left"/>
              <w:rPr>
                <w:sz w:val="4"/>
                <w:szCs w:val="4"/>
              </w:rPr>
            </w:pPr>
            <w:r>
              <w:rPr>
                <w:sz w:val="4"/>
                <w:szCs w:val="4"/>
              </w:rPr>
            </w:r>
          </w:p>
        </w:tc>
      </w:tr>
      <w:tr>
        <w:trPr/>
        <w:tc>
          <w:tcPr>
            <w:tcW w:w="268" w:type="dxa"/>
            <w:tcBorders/>
          </w:tcPr>
          <w:p>
            <w:pPr>
              <w:pStyle w:val="TableContents"/>
              <w:bidi w:val="0"/>
              <w:spacing w:before="0" w:after="283"/>
              <w:jc w:val="left"/>
              <w:rPr/>
            </w:pPr>
            <w:r>
              <w:rPr/>
              <w:t>33.</w:t>
            </w:r>
          </w:p>
        </w:tc>
        <w:tc>
          <w:tcPr>
            <w:tcW w:w="127" w:type="dxa"/>
            <w:tcBorders/>
            <w:vAlign w:val="bottom"/>
          </w:tcPr>
          <w:p>
            <w:pPr>
              <w:pStyle w:val="TableContents"/>
              <w:bidi w:val="0"/>
              <w:spacing w:before="0" w:after="283"/>
              <w:jc w:val="left"/>
              <w:rPr/>
            </w:pPr>
            <w:r>
              <w:rPr/>
              <w:t>  </w:t>
            </w:r>
          </w:p>
        </w:tc>
        <w:tc>
          <w:tcPr>
            <w:tcW w:w="195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9675" cy="171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09675" cy="1714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2020/39820</w:t>
            </w:r>
          </w:p>
        </w:tc>
        <w:tc>
          <w:tcPr>
            <w:tcW w:w="127" w:type="dxa"/>
            <w:tcBorders/>
            <w:vAlign w:val="bottom"/>
          </w:tcPr>
          <w:p>
            <w:pPr>
              <w:pStyle w:val="TableContents"/>
              <w:bidi w:val="0"/>
              <w:spacing w:before="0" w:after="283"/>
              <w:jc w:val="left"/>
              <w:rPr/>
            </w:pPr>
            <w:r>
              <w:rPr/>
              <w:t>  </w:t>
            </w:r>
          </w:p>
        </w:tc>
        <w:tc>
          <w:tcPr>
            <w:tcW w:w="1240" w:type="dxa"/>
            <w:tcBorders/>
          </w:tcPr>
          <w:p>
            <w:pPr>
              <w:pStyle w:val="TableContents"/>
              <w:bidi w:val="0"/>
              <w:spacing w:before="0" w:after="283"/>
              <w:jc w:val="left"/>
              <w:rPr/>
            </w:pPr>
            <w:r>
              <w:rPr/>
              <w:t>Turkey</w:t>
            </w:r>
          </w:p>
        </w:tc>
        <w:tc>
          <w:tcPr>
            <w:tcW w:w="263"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pPr>
            <w:r>
              <w:rPr/>
              <w:t xml:space="preserve">Turkey </w:t>
              <w:br/>
              <w:t xml:space="preserve">Published </w:t>
              <w:br/>
              <w:t xml:space="preserve">Last Status Received: Published </w:t>
              <w:br/>
              <w:t>Filed: December 11, 2019</w:t>
            </w:r>
          </w:p>
        </w:tc>
        <w:tc>
          <w:tcPr>
            <w:tcW w:w="127"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 and inorganic pharmaceutical preparations, nanoparticle pharmaceutical preparations, nutraceuticals, pharmaceuticals, pharmaceutical preparations and substances for the prevention and treatment of</w:t>
            </w:r>
          </w:p>
        </w:tc>
        <w:tc>
          <w:tcPr>
            <w:tcW w:w="127"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left"/>
              <w:rPr/>
            </w:pPr>
            <w:r>
              <w:rPr/>
              <w:t>PLUS THERAPEUTICS, INC. 12526 HIGH BLUFF DRIVE, SUITE 300 SAN DIEGO CA 92130,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7"/>
        <w:gridCol w:w="128"/>
        <w:gridCol w:w="2055"/>
        <w:gridCol w:w="128"/>
        <w:gridCol w:w="1000"/>
        <w:gridCol w:w="273"/>
        <w:gridCol w:w="1776"/>
        <w:gridCol w:w="128"/>
        <w:gridCol w:w="2179"/>
        <w:gridCol w:w="127"/>
        <w:gridCol w:w="2104"/>
      </w:tblGrid>
      <w:tr>
        <w:trPr/>
        <w:tc>
          <w:tcPr>
            <w:tcW w:w="30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3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2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73" w:type="dxa"/>
            <w:tcBorders/>
            <w:vAlign w:val="bottom"/>
          </w:tcPr>
          <w:p>
            <w:pPr>
              <w:pStyle w:val="TableContents"/>
              <w:bidi w:val="0"/>
              <w:spacing w:before="0" w:after="283"/>
              <w:jc w:val="left"/>
              <w:rPr/>
            </w:pPr>
            <w:r>
              <w:rPr/>
              <w:t>  </w:t>
            </w:r>
          </w:p>
        </w:tc>
        <w:tc>
          <w:tcPr>
            <w:tcW w:w="1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1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1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07"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776"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179" w:type="dxa"/>
            <w:tcBorders/>
          </w:tcPr>
          <w:p>
            <w:pPr>
              <w:pStyle w:val="TableContents"/>
              <w:bidi w:val="0"/>
              <w:spacing w:before="0" w:after="283"/>
              <w:jc w:val="left"/>
              <w:rPr/>
            </w:pPr>
            <w:r>
              <w:rPr/>
              <w:t xml:space="preserve">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left"/>
              <w:rPr>
                <w:sz w:val="4"/>
                <w:szCs w:val="4"/>
              </w:rPr>
            </w:pPr>
            <w:r>
              <w:rPr>
                <w:sz w:val="4"/>
                <w:szCs w:val="4"/>
              </w:rPr>
            </w:r>
          </w:p>
        </w:tc>
      </w:tr>
      <w:tr>
        <w:trPr>
          <w:trHeight w:val="120" w:hRule="atLeast"/>
        </w:trPr>
        <w:tc>
          <w:tcPr>
            <w:tcW w:w="307" w:type="dxa"/>
            <w:tcBorders/>
            <w:vAlign w:val="center"/>
          </w:tcPr>
          <w:p>
            <w:pPr>
              <w:pStyle w:val="TableContents"/>
              <w:bidi w:val="0"/>
              <w:spacing w:before="0" w:after="283"/>
              <w:jc w:val="left"/>
              <w:rPr>
                <w:sz w:val="4"/>
                <w:szCs w:val="4"/>
              </w:rPr>
            </w:pPr>
            <w:r>
              <w:rPr>
                <w:sz w:val="4"/>
                <w:szCs w:val="4"/>
              </w:rPr>
            </w:r>
          </w:p>
        </w:tc>
        <w:tc>
          <w:tcPr>
            <w:tcW w:w="2183" w:type="dxa"/>
            <w:gridSpan w:val="2"/>
            <w:tcBorders/>
            <w:vAlign w:val="center"/>
          </w:tcPr>
          <w:p>
            <w:pPr>
              <w:pStyle w:val="TableContents"/>
              <w:bidi w:val="0"/>
              <w:spacing w:before="0" w:after="283"/>
              <w:jc w:val="left"/>
              <w:rPr>
                <w:sz w:val="4"/>
                <w:szCs w:val="4"/>
              </w:rPr>
            </w:pPr>
            <w:r>
              <w:rPr>
                <w:sz w:val="4"/>
                <w:szCs w:val="4"/>
              </w:rPr>
            </w:r>
          </w:p>
        </w:tc>
        <w:tc>
          <w:tcPr>
            <w:tcW w:w="1128" w:type="dxa"/>
            <w:gridSpan w:val="2"/>
            <w:tcBorders/>
            <w:vAlign w:val="center"/>
          </w:tcPr>
          <w:p>
            <w:pPr>
              <w:pStyle w:val="TableContents"/>
              <w:bidi w:val="0"/>
              <w:spacing w:before="0" w:after="283"/>
              <w:jc w:val="left"/>
              <w:rPr>
                <w:sz w:val="4"/>
                <w:szCs w:val="4"/>
              </w:rPr>
            </w:pPr>
            <w:r>
              <w:rPr>
                <w:sz w:val="4"/>
                <w:szCs w:val="4"/>
              </w:rPr>
            </w:r>
          </w:p>
        </w:tc>
        <w:tc>
          <w:tcPr>
            <w:tcW w:w="2049" w:type="dxa"/>
            <w:gridSpan w:val="2"/>
            <w:tcBorders/>
            <w:vAlign w:val="center"/>
          </w:tcPr>
          <w:p>
            <w:pPr>
              <w:pStyle w:val="TableContents"/>
              <w:bidi w:val="0"/>
              <w:spacing w:before="0" w:after="283"/>
              <w:jc w:val="left"/>
              <w:rPr>
                <w:sz w:val="4"/>
                <w:szCs w:val="4"/>
              </w:rPr>
            </w:pPr>
            <w:r>
              <w:rPr>
                <w:sz w:val="4"/>
                <w:szCs w:val="4"/>
              </w:rPr>
            </w:r>
          </w:p>
        </w:tc>
        <w:tc>
          <w:tcPr>
            <w:tcW w:w="2307"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34.</w:t>
            </w:r>
          </w:p>
        </w:tc>
        <w:tc>
          <w:tcPr>
            <w:tcW w:w="128"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04925" cy="533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04925" cy="5334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RN: 2020 41833</w:t>
            </w:r>
          </w:p>
          <w:p>
            <w:pPr>
              <w:pStyle w:val="TableContents"/>
              <w:bidi w:val="0"/>
              <w:spacing w:before="0" w:after="20"/>
              <w:jc w:val="left"/>
              <w:rPr>
                <w:rFonts w:ascii="Times New Roman" w:hAnsi="Times New Roman"/>
                <w:sz w:val="20"/>
              </w:rPr>
            </w:pPr>
            <w:r>
              <w:rPr>
                <w:rFonts w:ascii="Times New Roman" w:hAnsi="Times New Roman"/>
                <w:sz w:val="20"/>
              </w:rPr>
              <w:t>AN: 2020/41833</w:t>
            </w:r>
          </w:p>
        </w:tc>
        <w:tc>
          <w:tcPr>
            <w:tcW w:w="128"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Turkey</w:t>
            </w:r>
          </w:p>
        </w:tc>
        <w:tc>
          <w:tcPr>
            <w:tcW w:w="273" w:type="dxa"/>
            <w:tcBorders/>
            <w:vAlign w:val="bottom"/>
          </w:tcPr>
          <w:p>
            <w:pPr>
              <w:pStyle w:val="TableContents"/>
              <w:bidi w:val="0"/>
              <w:spacing w:before="0" w:after="283"/>
              <w:jc w:val="left"/>
              <w:rPr/>
            </w:pPr>
            <w:r>
              <w:rPr/>
              <w:t>  </w:t>
            </w:r>
          </w:p>
        </w:tc>
        <w:tc>
          <w:tcPr>
            <w:tcW w:w="1776" w:type="dxa"/>
            <w:tcBorders/>
          </w:tcPr>
          <w:p>
            <w:pPr>
              <w:pStyle w:val="TableContents"/>
              <w:bidi w:val="0"/>
              <w:spacing w:before="0" w:after="283"/>
              <w:jc w:val="left"/>
              <w:rPr/>
            </w:pPr>
            <w:r>
              <w:rPr/>
              <w:t xml:space="preserve">Turkey </w:t>
              <w:br/>
              <w:t xml:space="preserve">Registered </w:t>
              <w:br/>
              <w:t xml:space="preserve">Last Status Received: Registered </w:t>
              <w:br/>
              <w:t xml:space="preserve">Filed: December 10, 2019 </w:t>
              <w:br/>
              <w:t>Registered: May 24, 2023</w:t>
            </w:r>
          </w:p>
        </w:tc>
        <w:tc>
          <w:tcPr>
            <w:tcW w:w="128" w:type="dxa"/>
            <w:tcBorders/>
            <w:vAlign w:val="bottom"/>
          </w:tcPr>
          <w:p>
            <w:pPr>
              <w:pStyle w:val="TableContents"/>
              <w:bidi w:val="0"/>
              <w:spacing w:before="0" w:after="283"/>
              <w:jc w:val="left"/>
              <w:rPr/>
            </w:pPr>
            <w:r>
              <w:rPr/>
              <w:t>  </w:t>
            </w:r>
          </w:p>
        </w:tc>
        <w:tc>
          <w:tcPr>
            <w:tcW w:w="2179"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w:t>
            </w:r>
          </w:p>
        </w:tc>
        <w:tc>
          <w:tcPr>
            <w:tcW w:w="127"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left"/>
              <w:rPr/>
            </w:pPr>
            <w:r>
              <w:rPr/>
              <w:t>PLUS THERAPEUTICS, INC. 12526 HIGH BLUFF DRIVE, SUITE 300 SAN DIEGO CA 92130,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4"/>
        <w:gridCol w:w="128"/>
        <w:gridCol w:w="1313"/>
        <w:gridCol w:w="128"/>
        <w:gridCol w:w="1053"/>
        <w:gridCol w:w="403"/>
        <w:gridCol w:w="2042"/>
        <w:gridCol w:w="128"/>
        <w:gridCol w:w="2511"/>
        <w:gridCol w:w="128"/>
        <w:gridCol w:w="2037"/>
      </w:tblGrid>
      <w:tr>
        <w:trPr/>
        <w:tc>
          <w:tcPr>
            <w:tcW w:w="33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3"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5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8"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4"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3" w:type="dxa"/>
            <w:tcBorders/>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511" w:type="dxa"/>
            <w:tcBorders/>
          </w:tcPr>
          <w:p>
            <w:pPr>
              <w:pStyle w:val="TableContents"/>
              <w:bidi w:val="0"/>
              <w:spacing w:before="0" w:after="283"/>
              <w:jc w:val="left"/>
              <w:rPr/>
            </w:pPr>
            <w:r>
              <w:rPr/>
              <w:t xml:space="preserve">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w:t>
            </w:r>
          </w:p>
        </w:tc>
        <w:tc>
          <w:tcPr>
            <w:tcW w:w="128"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 xml:space="preserve">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1"/>
        <w:gridCol w:w="128"/>
        <w:gridCol w:w="2057"/>
        <w:gridCol w:w="128"/>
        <w:gridCol w:w="1032"/>
        <w:gridCol w:w="269"/>
        <w:gridCol w:w="1793"/>
        <w:gridCol w:w="128"/>
        <w:gridCol w:w="2167"/>
        <w:gridCol w:w="127"/>
        <w:gridCol w:w="2105"/>
      </w:tblGrid>
      <w:tr>
        <w:trPr/>
        <w:tc>
          <w:tcPr>
            <w:tcW w:w="2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20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69" w:type="dxa"/>
            <w:tcBorders/>
            <w:vAlign w:val="bottom"/>
          </w:tcPr>
          <w:p>
            <w:pPr>
              <w:pStyle w:val="TableContents"/>
              <w:bidi w:val="0"/>
              <w:spacing w:before="0" w:after="283"/>
              <w:jc w:val="left"/>
              <w:rPr/>
            </w:pPr>
            <w:r>
              <w:rPr/>
              <w:t>  </w:t>
            </w:r>
          </w:p>
        </w:tc>
        <w:tc>
          <w:tcPr>
            <w:tcW w:w="17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1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71" w:type="dxa"/>
            <w:tcBorders/>
          </w:tcPr>
          <w:p>
            <w:pPr>
              <w:pStyle w:val="TableContents"/>
              <w:bidi w:val="0"/>
              <w:spacing w:before="0" w:after="283"/>
              <w:jc w:val="left"/>
              <w:rPr/>
            </w:pPr>
            <w:r>
              <w:rPr/>
              <w:t>35.</w:t>
            </w:r>
          </w:p>
        </w:tc>
        <w:tc>
          <w:tcPr>
            <w:tcW w:w="128"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04925" cy="533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04925" cy="5334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UK00003685759</w:t>
            </w:r>
          </w:p>
        </w:tc>
        <w:tc>
          <w:tcPr>
            <w:tcW w:w="128" w:type="dxa"/>
            <w:tcBorders/>
            <w:vAlign w:val="bottom"/>
          </w:tcPr>
          <w:p>
            <w:pPr>
              <w:pStyle w:val="TableContents"/>
              <w:bidi w:val="0"/>
              <w:spacing w:before="0" w:after="283"/>
              <w:jc w:val="left"/>
              <w:rPr/>
            </w:pPr>
            <w:r>
              <w:rPr/>
              <w:t>  </w:t>
            </w:r>
          </w:p>
        </w:tc>
        <w:tc>
          <w:tcPr>
            <w:tcW w:w="1032" w:type="dxa"/>
            <w:tcBorders/>
          </w:tcPr>
          <w:p>
            <w:pPr>
              <w:pStyle w:val="TableContents"/>
              <w:bidi w:val="0"/>
              <w:spacing w:before="0" w:after="283"/>
              <w:jc w:val="left"/>
              <w:rPr/>
            </w:pPr>
            <w:r>
              <w:rPr/>
              <w:t>United Kingdom</w:t>
            </w:r>
          </w:p>
        </w:tc>
        <w:tc>
          <w:tcPr>
            <w:tcW w:w="269" w:type="dxa"/>
            <w:tcBorders/>
            <w:vAlign w:val="bottom"/>
          </w:tcPr>
          <w:p>
            <w:pPr>
              <w:pStyle w:val="TableContents"/>
              <w:bidi w:val="0"/>
              <w:spacing w:before="0" w:after="283"/>
              <w:jc w:val="left"/>
              <w:rPr/>
            </w:pPr>
            <w:r>
              <w:rPr/>
              <w:t>  </w:t>
            </w:r>
          </w:p>
        </w:tc>
        <w:tc>
          <w:tcPr>
            <w:tcW w:w="1793" w:type="dxa"/>
            <w:tcBorders/>
          </w:tcPr>
          <w:p>
            <w:pPr>
              <w:pStyle w:val="TableContents"/>
              <w:bidi w:val="0"/>
              <w:spacing w:before="0" w:after="283"/>
              <w:jc w:val="left"/>
              <w:rPr/>
            </w:pPr>
            <w:r>
              <w:rPr/>
              <w:t xml:space="preserve">United Kingdom Registered </w:t>
              <w:br/>
              <w:t xml:space="preserve">Last Status Received: Registered, December 31, 2021 Filed: August 24, 2021 </w:t>
              <w:br/>
              <w:t>Registered: December 31, 2021 Expiration Date: August 24, 2031</w:t>
            </w:r>
          </w:p>
        </w:tc>
        <w:tc>
          <w:tcPr>
            <w:tcW w:w="128" w:type="dxa"/>
            <w:tcBorders/>
            <w:vAlign w:val="bottom"/>
          </w:tcPr>
          <w:p>
            <w:pPr>
              <w:pStyle w:val="TableContents"/>
              <w:bidi w:val="0"/>
              <w:spacing w:before="0" w:after="283"/>
              <w:jc w:val="left"/>
              <w:rPr/>
            </w:pPr>
            <w:r>
              <w:rPr/>
              <w:t>  </w:t>
            </w:r>
          </w:p>
        </w:tc>
        <w:tc>
          <w:tcPr>
            <w:tcW w:w="2167" w:type="dxa"/>
            <w:tcBorders/>
          </w:tcPr>
          <w:p>
            <w:pPr>
              <w:pStyle w:val="TableContents"/>
              <w:bidi w:val="0"/>
              <w:spacing w:before="0" w:after="283"/>
              <w:jc w:val="left"/>
              <w:rPr/>
            </w:pPr>
            <w:r>
              <w:rPr/>
              <w:t xml:space="preserve">Int’l Class: 05, 40, 42, 44 </w:t>
              <w:br/>
              <w:t xml:space="preserve">(Int’l Class: 05) </w:t>
              <w:br/>
              <w:t xml:space="preserve">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w:t>
            </w:r>
          </w:p>
        </w:tc>
        <w:tc>
          <w:tcPr>
            <w:tcW w:w="127"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pPr>
            <w:r>
              <w:rPr/>
              <w:t>PLUS THERAPEUTICS, INC. (Company or Organisation Delaware) 4200 Marathon Blvd., Suite 200, 78756, Austin, Texas,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4"/>
        <w:gridCol w:w="128"/>
        <w:gridCol w:w="1313"/>
        <w:gridCol w:w="128"/>
        <w:gridCol w:w="1053"/>
        <w:gridCol w:w="403"/>
        <w:gridCol w:w="2042"/>
        <w:gridCol w:w="128"/>
        <w:gridCol w:w="2511"/>
        <w:gridCol w:w="128"/>
        <w:gridCol w:w="2037"/>
      </w:tblGrid>
      <w:tr>
        <w:trPr/>
        <w:tc>
          <w:tcPr>
            <w:tcW w:w="33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3"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5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8"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4"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3" w:type="dxa"/>
            <w:tcBorders/>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511" w:type="dxa"/>
            <w:tcBorders/>
          </w:tcPr>
          <w:p>
            <w:pPr>
              <w:pStyle w:val="TableContents"/>
              <w:bidi w:val="0"/>
              <w:spacing w:before="0" w:after="283"/>
              <w:jc w:val="left"/>
              <w:rPr/>
            </w:pPr>
            <w:r>
              <w:rPr/>
              <w:t xml:space="preserve">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w:t>
            </w:r>
          </w:p>
        </w:tc>
        <w:tc>
          <w:tcPr>
            <w:tcW w:w="128"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2"/>
        <w:gridCol w:w="125"/>
        <w:gridCol w:w="1569"/>
        <w:gridCol w:w="125"/>
        <w:gridCol w:w="1013"/>
        <w:gridCol w:w="347"/>
        <w:gridCol w:w="2134"/>
        <w:gridCol w:w="125"/>
        <w:gridCol w:w="2358"/>
        <w:gridCol w:w="124"/>
        <w:gridCol w:w="2023"/>
      </w:tblGrid>
      <w:tr>
        <w:trPr/>
        <w:tc>
          <w:tcPr>
            <w:tcW w:w="26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5" w:type="dxa"/>
            <w:tcBorders/>
            <w:vAlign w:val="bottom"/>
          </w:tcPr>
          <w:p>
            <w:pPr>
              <w:pStyle w:val="TableContents"/>
              <w:bidi w:val="0"/>
              <w:spacing w:before="0" w:after="283"/>
              <w:jc w:val="left"/>
              <w:rPr/>
            </w:pPr>
            <w:r>
              <w:rPr/>
              <w:t>  </w:t>
            </w:r>
          </w:p>
        </w:tc>
        <w:tc>
          <w:tcPr>
            <w:tcW w:w="15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5" w:type="dxa"/>
            <w:tcBorders/>
            <w:vAlign w:val="bottom"/>
          </w:tcPr>
          <w:p>
            <w:pPr>
              <w:pStyle w:val="TableContents"/>
              <w:bidi w:val="0"/>
              <w:spacing w:before="0" w:after="283"/>
              <w:jc w:val="left"/>
              <w:rPr/>
            </w:pPr>
            <w:r>
              <w:rPr/>
              <w:t>  </w:t>
            </w:r>
          </w:p>
        </w:tc>
        <w:tc>
          <w:tcPr>
            <w:tcW w:w="10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47" w:type="dxa"/>
            <w:tcBorders/>
            <w:vAlign w:val="bottom"/>
          </w:tcPr>
          <w:p>
            <w:pPr>
              <w:pStyle w:val="TableContents"/>
              <w:bidi w:val="0"/>
              <w:spacing w:before="0" w:after="283"/>
              <w:jc w:val="left"/>
              <w:rPr/>
            </w:pPr>
            <w:r>
              <w:rPr/>
              <w:t>  </w:t>
            </w:r>
          </w:p>
        </w:tc>
        <w:tc>
          <w:tcPr>
            <w:tcW w:w="21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5" w:type="dxa"/>
            <w:tcBorders/>
            <w:vAlign w:val="bottom"/>
          </w:tcPr>
          <w:p>
            <w:pPr>
              <w:pStyle w:val="TableContents"/>
              <w:bidi w:val="0"/>
              <w:spacing w:before="0" w:after="283"/>
              <w:jc w:val="left"/>
              <w:rPr/>
            </w:pPr>
            <w:r>
              <w:rPr/>
              <w:t>  </w:t>
            </w:r>
          </w:p>
        </w:tc>
        <w:tc>
          <w:tcPr>
            <w:tcW w:w="23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4" w:type="dxa"/>
            <w:tcBorders/>
            <w:vAlign w:val="bottom"/>
          </w:tcPr>
          <w:p>
            <w:pPr>
              <w:pStyle w:val="TableContents"/>
              <w:bidi w:val="0"/>
              <w:spacing w:before="0" w:after="283"/>
              <w:jc w:val="left"/>
              <w:rPr/>
            </w:pPr>
            <w:r>
              <w:rPr/>
              <w:t>  </w:t>
            </w:r>
          </w:p>
        </w:tc>
        <w:tc>
          <w:tcPr>
            <w:tcW w:w="20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2" w:type="dxa"/>
            <w:tcBorders/>
          </w:tcPr>
          <w:p>
            <w:pPr>
              <w:pStyle w:val="TableContents"/>
              <w:bidi w:val="0"/>
              <w:spacing w:before="0" w:after="283"/>
              <w:jc w:val="left"/>
              <w:rPr/>
            </w:pPr>
            <w:r>
              <w:rPr/>
              <w:t>36.</w:t>
            </w:r>
          </w:p>
        </w:tc>
        <w:tc>
          <w:tcPr>
            <w:tcW w:w="125" w:type="dxa"/>
            <w:tcBorders/>
            <w:vAlign w:val="bottom"/>
          </w:tcPr>
          <w:p>
            <w:pPr>
              <w:pStyle w:val="TableContents"/>
              <w:bidi w:val="0"/>
              <w:spacing w:before="0" w:after="283"/>
              <w:jc w:val="left"/>
              <w:rPr/>
            </w:pPr>
            <w:r>
              <w:rPr/>
              <w:t>  </w:t>
            </w:r>
          </w:p>
        </w:tc>
        <w:tc>
          <w:tcPr>
            <w:tcW w:w="156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2080576</w:t>
            </w:r>
          </w:p>
          <w:p>
            <w:pPr>
              <w:pStyle w:val="TableContents"/>
              <w:bidi w:val="0"/>
              <w:spacing w:before="0" w:after="20"/>
              <w:jc w:val="left"/>
              <w:rPr>
                <w:rFonts w:ascii="Times New Roman" w:hAnsi="Times New Roman"/>
                <w:sz w:val="20"/>
              </w:rPr>
            </w:pPr>
            <w:r>
              <w:rPr>
                <w:rFonts w:ascii="Times New Roman" w:hAnsi="Times New Roman"/>
                <w:sz w:val="20"/>
              </w:rPr>
              <w:t>AN: 2080576</w:t>
            </w:r>
          </w:p>
        </w:tc>
        <w:tc>
          <w:tcPr>
            <w:tcW w:w="125"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pPr>
            <w:r>
              <w:rPr/>
              <w:t>Australia</w:t>
            </w:r>
          </w:p>
        </w:tc>
        <w:tc>
          <w:tcPr>
            <w:tcW w:w="347" w:type="dxa"/>
            <w:tcBorders/>
            <w:vAlign w:val="bottom"/>
          </w:tcPr>
          <w:p>
            <w:pPr>
              <w:pStyle w:val="TableContents"/>
              <w:bidi w:val="0"/>
              <w:spacing w:before="0" w:after="283"/>
              <w:jc w:val="left"/>
              <w:rPr/>
            </w:pPr>
            <w:r>
              <w:rPr/>
              <w:t>  </w:t>
            </w:r>
          </w:p>
        </w:tc>
        <w:tc>
          <w:tcPr>
            <w:tcW w:w="2134" w:type="dxa"/>
            <w:tcBorders/>
          </w:tcPr>
          <w:p>
            <w:pPr>
              <w:pStyle w:val="TableContents"/>
              <w:bidi w:val="0"/>
              <w:spacing w:before="0" w:after="283"/>
              <w:jc w:val="left"/>
              <w:rPr/>
            </w:pPr>
            <w:r>
              <w:rPr/>
              <w:t xml:space="preserve">Australia </w:t>
              <w:br/>
              <w:t xml:space="preserve">Registered </w:t>
              <w:br/>
              <w:t xml:space="preserve">Last Status Received: Registered </w:t>
              <w:br/>
              <w:t xml:space="preserve">Office Status: Protected: Registered/protected </w:t>
              <w:br/>
              <w:t xml:space="preserve">Filed: December 11, 2019 </w:t>
              <w:br/>
              <w:t xml:space="preserve">Registered: December 11, 2019 </w:t>
              <w:br/>
              <w:t xml:space="preserve">Int’l Reg Date: December 11, 2019 </w:t>
              <w:br/>
              <w:t>Expiration Date: December 11, 2029</w:t>
            </w:r>
          </w:p>
        </w:tc>
        <w:tc>
          <w:tcPr>
            <w:tcW w:w="125" w:type="dxa"/>
            <w:tcBorders/>
            <w:vAlign w:val="bottom"/>
          </w:tcPr>
          <w:p>
            <w:pPr>
              <w:pStyle w:val="TableContents"/>
              <w:bidi w:val="0"/>
              <w:spacing w:before="0" w:after="283"/>
              <w:jc w:val="left"/>
              <w:rPr/>
            </w:pPr>
            <w:r>
              <w:rPr/>
              <w:t>  </w:t>
            </w:r>
          </w:p>
        </w:tc>
        <w:tc>
          <w:tcPr>
            <w:tcW w:w="2358" w:type="dxa"/>
            <w:tcBorders/>
          </w:tcPr>
          <w:p>
            <w:pPr>
              <w:pStyle w:val="TableContents"/>
              <w:bidi w:val="0"/>
              <w:spacing w:before="0" w:after="283"/>
              <w:jc w:val="left"/>
              <w:rPr/>
            </w:pPr>
            <w:r>
              <w:rPr/>
              <w:t xml:space="preserve">Int’l Class: 05, 40, 42, 44 </w:t>
              <w:br/>
              <w:t xml:space="preserve">(Int’l Class: 05) </w:t>
              <w:br/>
              <w:t xml:space="preserve">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w:t>
            </w:r>
          </w:p>
        </w:tc>
        <w:tc>
          <w:tcPr>
            <w:tcW w:w="124"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pPr>
            <w:r>
              <w:rPr/>
              <w:t>PLUS THERAPEUTICS, INC.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time-release of 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1"/>
        <w:gridCol w:w="128"/>
        <w:gridCol w:w="2055"/>
        <w:gridCol w:w="128"/>
        <w:gridCol w:w="1000"/>
        <w:gridCol w:w="273"/>
        <w:gridCol w:w="1812"/>
        <w:gridCol w:w="128"/>
        <w:gridCol w:w="2179"/>
        <w:gridCol w:w="127"/>
        <w:gridCol w:w="2104"/>
      </w:tblGrid>
      <w:tr>
        <w:trPr/>
        <w:tc>
          <w:tcPr>
            <w:tcW w:w="27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2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73" w:type="dxa"/>
            <w:tcBorders/>
            <w:vAlign w:val="bottom"/>
          </w:tcPr>
          <w:p>
            <w:pPr>
              <w:pStyle w:val="TableContents"/>
              <w:bidi w:val="0"/>
              <w:spacing w:before="0" w:after="283"/>
              <w:jc w:val="left"/>
              <w:rPr/>
            </w:pPr>
            <w:r>
              <w:rPr/>
              <w:t>  </w:t>
            </w:r>
          </w:p>
        </w:tc>
        <w:tc>
          <w:tcPr>
            <w:tcW w:w="18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1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1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7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81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179" w:type="dxa"/>
            <w:tcBorders/>
          </w:tcPr>
          <w:p>
            <w:pPr>
              <w:pStyle w:val="TableContents"/>
              <w:bidi w:val="0"/>
              <w:spacing w:before="0" w:after="283"/>
              <w:jc w:val="left"/>
              <w:rPr/>
            </w:pPr>
            <w:r>
              <w:rPr/>
              <w:t xml:space="preserve">intratracheal, intratumoral intravenous, subcutaneous, and topical applied aggregations of liposomes providing time- 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left"/>
              <w:rPr>
                <w:sz w:val="4"/>
                <w:szCs w:val="4"/>
              </w:rPr>
            </w:pPr>
            <w:r>
              <w:rPr>
                <w:sz w:val="4"/>
                <w:szCs w:val="4"/>
              </w:rPr>
            </w:r>
          </w:p>
        </w:tc>
      </w:tr>
      <w:tr>
        <w:trPr>
          <w:trHeight w:val="120" w:hRule="atLeast"/>
        </w:trPr>
        <w:tc>
          <w:tcPr>
            <w:tcW w:w="271" w:type="dxa"/>
            <w:tcBorders/>
            <w:vAlign w:val="center"/>
          </w:tcPr>
          <w:p>
            <w:pPr>
              <w:pStyle w:val="TableContents"/>
              <w:bidi w:val="0"/>
              <w:spacing w:before="0" w:after="283"/>
              <w:jc w:val="left"/>
              <w:rPr>
                <w:sz w:val="4"/>
                <w:szCs w:val="4"/>
              </w:rPr>
            </w:pPr>
            <w:r>
              <w:rPr>
                <w:sz w:val="4"/>
                <w:szCs w:val="4"/>
              </w:rPr>
            </w:r>
          </w:p>
        </w:tc>
        <w:tc>
          <w:tcPr>
            <w:tcW w:w="2183" w:type="dxa"/>
            <w:gridSpan w:val="2"/>
            <w:tcBorders/>
            <w:vAlign w:val="center"/>
          </w:tcPr>
          <w:p>
            <w:pPr>
              <w:pStyle w:val="TableContents"/>
              <w:bidi w:val="0"/>
              <w:spacing w:before="0" w:after="283"/>
              <w:jc w:val="left"/>
              <w:rPr>
                <w:sz w:val="4"/>
                <w:szCs w:val="4"/>
              </w:rPr>
            </w:pPr>
            <w:r>
              <w:rPr>
                <w:sz w:val="4"/>
                <w:szCs w:val="4"/>
              </w:rPr>
            </w:r>
          </w:p>
        </w:tc>
        <w:tc>
          <w:tcPr>
            <w:tcW w:w="1128" w:type="dxa"/>
            <w:gridSpan w:val="2"/>
            <w:tcBorders/>
            <w:vAlign w:val="center"/>
          </w:tcPr>
          <w:p>
            <w:pPr>
              <w:pStyle w:val="TableContents"/>
              <w:bidi w:val="0"/>
              <w:spacing w:before="0" w:after="283"/>
              <w:jc w:val="left"/>
              <w:rPr>
                <w:sz w:val="4"/>
                <w:szCs w:val="4"/>
              </w:rPr>
            </w:pPr>
            <w:r>
              <w:rPr>
                <w:sz w:val="4"/>
                <w:szCs w:val="4"/>
              </w:rPr>
            </w:r>
          </w:p>
        </w:tc>
        <w:tc>
          <w:tcPr>
            <w:tcW w:w="2085" w:type="dxa"/>
            <w:gridSpan w:val="2"/>
            <w:tcBorders/>
            <w:vAlign w:val="center"/>
          </w:tcPr>
          <w:p>
            <w:pPr>
              <w:pStyle w:val="TableContents"/>
              <w:bidi w:val="0"/>
              <w:spacing w:before="0" w:after="283"/>
              <w:jc w:val="left"/>
              <w:rPr>
                <w:sz w:val="4"/>
                <w:szCs w:val="4"/>
              </w:rPr>
            </w:pPr>
            <w:r>
              <w:rPr>
                <w:sz w:val="4"/>
                <w:szCs w:val="4"/>
              </w:rPr>
            </w:r>
          </w:p>
        </w:tc>
        <w:tc>
          <w:tcPr>
            <w:tcW w:w="2307"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r>
      <w:tr>
        <w:trPr/>
        <w:tc>
          <w:tcPr>
            <w:tcW w:w="271" w:type="dxa"/>
            <w:tcBorders/>
          </w:tcPr>
          <w:p>
            <w:pPr>
              <w:pStyle w:val="TableContents"/>
              <w:bidi w:val="0"/>
              <w:spacing w:before="0" w:after="283"/>
              <w:jc w:val="left"/>
              <w:rPr/>
            </w:pPr>
            <w:r>
              <w:rPr/>
              <w:t>37.</w:t>
            </w:r>
          </w:p>
        </w:tc>
        <w:tc>
          <w:tcPr>
            <w:tcW w:w="128" w:type="dxa"/>
            <w:tcBorders/>
            <w:vAlign w:val="bottom"/>
          </w:tcPr>
          <w:p>
            <w:pPr>
              <w:pStyle w:val="TableContents"/>
              <w:bidi w:val="0"/>
              <w:spacing w:before="0" w:after="283"/>
              <w:jc w:val="left"/>
              <w:rPr/>
            </w:pPr>
            <w:r>
              <w:rPr/>
              <w:t>  </w:t>
            </w:r>
          </w:p>
        </w:tc>
        <w:tc>
          <w:tcPr>
            <w:tcW w:w="205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04925" cy="533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304925" cy="5334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2081900 </w:t>
              <w:br/>
              <w:t>AN: 2081900</w:t>
            </w:r>
          </w:p>
        </w:tc>
        <w:tc>
          <w:tcPr>
            <w:tcW w:w="128" w:type="dxa"/>
            <w:tcBorders/>
            <w:vAlign w:val="bottom"/>
          </w:tcPr>
          <w:p>
            <w:pPr>
              <w:pStyle w:val="TableContents"/>
              <w:bidi w:val="0"/>
              <w:spacing w:before="0" w:after="283"/>
              <w:jc w:val="left"/>
              <w:rPr/>
            </w:pPr>
            <w:r>
              <w:rPr/>
              <w:t>  </w:t>
            </w:r>
          </w:p>
        </w:tc>
        <w:tc>
          <w:tcPr>
            <w:tcW w:w="1000" w:type="dxa"/>
            <w:tcBorders/>
          </w:tcPr>
          <w:p>
            <w:pPr>
              <w:pStyle w:val="TableContents"/>
              <w:bidi w:val="0"/>
              <w:spacing w:before="0" w:after="283"/>
              <w:jc w:val="left"/>
              <w:rPr/>
            </w:pPr>
            <w:r>
              <w:rPr/>
              <w:t>Australia</w:t>
            </w:r>
          </w:p>
        </w:tc>
        <w:tc>
          <w:tcPr>
            <w:tcW w:w="273" w:type="dxa"/>
            <w:tcBorders/>
            <w:vAlign w:val="bottom"/>
          </w:tcPr>
          <w:p>
            <w:pPr>
              <w:pStyle w:val="TableContents"/>
              <w:bidi w:val="0"/>
              <w:spacing w:before="0" w:after="283"/>
              <w:jc w:val="left"/>
              <w:rPr/>
            </w:pPr>
            <w:r>
              <w:rPr/>
              <w:t>  </w:t>
            </w:r>
          </w:p>
        </w:tc>
        <w:tc>
          <w:tcPr>
            <w:tcW w:w="1812" w:type="dxa"/>
            <w:tcBorders/>
          </w:tcPr>
          <w:p>
            <w:pPr>
              <w:pStyle w:val="TableContents"/>
              <w:bidi w:val="0"/>
              <w:spacing w:before="0" w:after="283"/>
              <w:jc w:val="left"/>
              <w:rPr/>
            </w:pPr>
            <w:r>
              <w:rPr/>
              <w:t xml:space="preserve">Australia </w:t>
              <w:br/>
              <w:t xml:space="preserve">Registered </w:t>
              <w:br/>
              <w:t xml:space="preserve">Last Status Received: Registered </w:t>
              <w:br/>
              <w:t xml:space="preserve">Office Status: Protected: Registered/protected </w:t>
              <w:br/>
              <w:t xml:space="preserve">Filed: December 11, 2019 </w:t>
              <w:br/>
              <w:t xml:space="preserve">Registered: December 11, 2019 </w:t>
              <w:br/>
              <w:t xml:space="preserve">Int’l Reg Date: December 11, 2019 </w:t>
              <w:br/>
              <w:t>Expiration Date: December 11, 2029</w:t>
            </w:r>
          </w:p>
        </w:tc>
        <w:tc>
          <w:tcPr>
            <w:tcW w:w="128" w:type="dxa"/>
            <w:tcBorders/>
            <w:vAlign w:val="bottom"/>
          </w:tcPr>
          <w:p>
            <w:pPr>
              <w:pStyle w:val="TableContents"/>
              <w:bidi w:val="0"/>
              <w:spacing w:before="0" w:after="283"/>
              <w:jc w:val="left"/>
              <w:rPr/>
            </w:pPr>
            <w:r>
              <w:rPr/>
              <w:t>  </w:t>
            </w:r>
          </w:p>
        </w:tc>
        <w:tc>
          <w:tcPr>
            <w:tcW w:w="2179"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w:t>
            </w:r>
          </w:p>
        </w:tc>
        <w:tc>
          <w:tcPr>
            <w:tcW w:w="127" w:type="dxa"/>
            <w:tcBorders/>
            <w:vAlign w:val="bottom"/>
          </w:tcPr>
          <w:p>
            <w:pPr>
              <w:pStyle w:val="TableContents"/>
              <w:bidi w:val="0"/>
              <w:spacing w:before="0" w:after="283"/>
              <w:jc w:val="left"/>
              <w:rPr/>
            </w:pPr>
            <w:r>
              <w:rPr/>
              <w:t>  </w:t>
            </w:r>
          </w:p>
        </w:tc>
        <w:tc>
          <w:tcPr>
            <w:tcW w:w="2104" w:type="dxa"/>
            <w:tcBorders/>
          </w:tcPr>
          <w:p>
            <w:pPr>
              <w:pStyle w:val="TableContents"/>
              <w:bidi w:val="0"/>
              <w:spacing w:before="0" w:after="283"/>
              <w:jc w:val="left"/>
              <w:rPr/>
            </w:pPr>
            <w:r>
              <w:rPr/>
              <w:t>PLUS THERAPEUTICS, INC.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4"/>
        <w:gridCol w:w="128"/>
        <w:gridCol w:w="1313"/>
        <w:gridCol w:w="128"/>
        <w:gridCol w:w="1053"/>
        <w:gridCol w:w="403"/>
        <w:gridCol w:w="2042"/>
        <w:gridCol w:w="128"/>
        <w:gridCol w:w="2511"/>
        <w:gridCol w:w="128"/>
        <w:gridCol w:w="2037"/>
      </w:tblGrid>
      <w:tr>
        <w:trPr/>
        <w:tc>
          <w:tcPr>
            <w:tcW w:w="33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3"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5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8"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4"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3" w:type="dxa"/>
            <w:tcBorders/>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511" w:type="dxa"/>
            <w:tcBorders/>
          </w:tcPr>
          <w:p>
            <w:pPr>
              <w:pStyle w:val="TableContents"/>
              <w:bidi w:val="0"/>
              <w:spacing w:before="0" w:after="283"/>
              <w:jc w:val="left"/>
              <w:rPr/>
            </w:pPr>
            <w:r>
              <w:rPr/>
              <w:t xml:space="preserve">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w:t>
            </w:r>
          </w:p>
        </w:tc>
        <w:tc>
          <w:tcPr>
            <w:tcW w:w="128"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2"/>
        <w:gridCol w:w="127"/>
        <w:gridCol w:w="1309"/>
        <w:gridCol w:w="127"/>
        <w:gridCol w:w="1049"/>
        <w:gridCol w:w="402"/>
        <w:gridCol w:w="2042"/>
        <w:gridCol w:w="127"/>
        <w:gridCol w:w="2533"/>
        <w:gridCol w:w="127"/>
        <w:gridCol w:w="2030"/>
      </w:tblGrid>
      <w:tr>
        <w:trPr/>
        <w:tc>
          <w:tcPr>
            <w:tcW w:w="33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2"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33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0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49" w:type="dxa"/>
            <w:tcBorders/>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33" w:type="dxa"/>
            <w:tcBorders/>
          </w:tcPr>
          <w:p>
            <w:pPr>
              <w:pStyle w:val="TableContents"/>
              <w:bidi w:val="0"/>
              <w:spacing w:before="0" w:after="283"/>
              <w:jc w:val="left"/>
              <w:rPr/>
            </w:pPr>
            <w:r>
              <w:rPr/>
              <w:t xml:space="preserve">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 xml:space="preserve">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3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3"/>
        <w:gridCol w:w="122"/>
        <w:gridCol w:w="1978"/>
        <w:gridCol w:w="122"/>
        <w:gridCol w:w="908"/>
        <w:gridCol w:w="157"/>
        <w:gridCol w:w="2061"/>
        <w:gridCol w:w="122"/>
        <w:gridCol w:w="1787"/>
        <w:gridCol w:w="122"/>
        <w:gridCol w:w="2563"/>
      </w:tblGrid>
      <w:tr>
        <w:trPr/>
        <w:tc>
          <w:tcPr>
            <w:tcW w:w="26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r>
      <w:tr>
        <w:trPr/>
        <w:tc>
          <w:tcPr>
            <w:tcW w:w="2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2" w:type="dxa"/>
            <w:tcBorders/>
            <w:vAlign w:val="bottom"/>
          </w:tcPr>
          <w:p>
            <w:pPr>
              <w:pStyle w:val="TableContents"/>
              <w:bidi w:val="0"/>
              <w:spacing w:before="0" w:after="283"/>
              <w:jc w:val="left"/>
              <w:rPr/>
            </w:pPr>
            <w:r>
              <w:rPr/>
              <w:t>  </w:t>
            </w:r>
          </w:p>
        </w:tc>
        <w:tc>
          <w:tcPr>
            <w:tcW w:w="19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2" w:type="dxa"/>
            <w:tcBorders/>
            <w:vAlign w:val="bottom"/>
          </w:tcPr>
          <w:p>
            <w:pPr>
              <w:pStyle w:val="TableContents"/>
              <w:bidi w:val="0"/>
              <w:spacing w:before="0" w:after="283"/>
              <w:jc w:val="left"/>
              <w:rPr/>
            </w:pPr>
            <w:r>
              <w:rPr/>
              <w:t>  </w:t>
            </w:r>
          </w:p>
        </w:tc>
        <w:tc>
          <w:tcPr>
            <w:tcW w:w="9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157" w:type="dxa"/>
            <w:tcBorders/>
            <w:vAlign w:val="bottom"/>
          </w:tcPr>
          <w:p>
            <w:pPr>
              <w:pStyle w:val="TableContents"/>
              <w:bidi w:val="0"/>
              <w:spacing w:before="0" w:after="283"/>
              <w:jc w:val="left"/>
              <w:rPr/>
            </w:pPr>
            <w:r>
              <w:rPr/>
              <w:t>  </w:t>
            </w:r>
          </w:p>
        </w:tc>
        <w:tc>
          <w:tcPr>
            <w:tcW w:w="20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2" w:type="dxa"/>
            <w:tcBorders/>
            <w:vAlign w:val="bottom"/>
          </w:tcPr>
          <w:p>
            <w:pPr>
              <w:pStyle w:val="TableContents"/>
              <w:bidi w:val="0"/>
              <w:spacing w:before="0" w:after="283"/>
              <w:jc w:val="left"/>
              <w:rPr/>
            </w:pPr>
            <w:r>
              <w:rPr/>
              <w:t>  </w:t>
            </w:r>
          </w:p>
        </w:tc>
        <w:tc>
          <w:tcPr>
            <w:tcW w:w="17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2" w:type="dxa"/>
            <w:tcBorders/>
            <w:vAlign w:val="bottom"/>
          </w:tcPr>
          <w:p>
            <w:pPr>
              <w:pStyle w:val="TableContents"/>
              <w:bidi w:val="0"/>
              <w:spacing w:before="0" w:after="283"/>
              <w:jc w:val="left"/>
              <w:rPr/>
            </w:pPr>
            <w:r>
              <w:rPr/>
              <w:t>  </w:t>
            </w:r>
          </w:p>
        </w:tc>
        <w:tc>
          <w:tcPr>
            <w:tcW w:w="25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3" w:type="dxa"/>
            <w:tcBorders/>
          </w:tcPr>
          <w:p>
            <w:pPr>
              <w:pStyle w:val="TableContents"/>
              <w:bidi w:val="0"/>
              <w:spacing w:before="0" w:after="283"/>
              <w:jc w:val="left"/>
              <w:rPr/>
            </w:pPr>
            <w:r>
              <w:rPr/>
              <w:t>38.</w:t>
            </w:r>
          </w:p>
        </w:tc>
        <w:tc>
          <w:tcPr>
            <w:tcW w:w="122"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47775" cy="257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47775" cy="2571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4504865</w:t>
            </w:r>
          </w:p>
        </w:tc>
        <w:tc>
          <w:tcPr>
            <w:tcW w:w="122" w:type="dxa"/>
            <w:tcBorders/>
            <w:vAlign w:val="bottom"/>
          </w:tcPr>
          <w:p>
            <w:pPr>
              <w:pStyle w:val="TableContents"/>
              <w:bidi w:val="0"/>
              <w:spacing w:before="0" w:after="283"/>
              <w:jc w:val="left"/>
              <w:rPr/>
            </w:pPr>
            <w:r>
              <w:rPr/>
              <w:t>  </w:t>
            </w:r>
          </w:p>
        </w:tc>
        <w:tc>
          <w:tcPr>
            <w:tcW w:w="908" w:type="dxa"/>
            <w:tcBorders/>
          </w:tcPr>
          <w:p>
            <w:pPr>
              <w:pStyle w:val="TableContents"/>
              <w:bidi w:val="0"/>
              <w:spacing w:before="0" w:after="283"/>
              <w:jc w:val="left"/>
              <w:rPr/>
            </w:pPr>
            <w:r>
              <w:rPr/>
              <w:t>India</w:t>
            </w:r>
          </w:p>
        </w:tc>
        <w:tc>
          <w:tcPr>
            <w:tcW w:w="157"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pPr>
            <w:r>
              <w:rPr/>
              <w:t xml:space="preserve">India </w:t>
              <w:br/>
              <w:t xml:space="preserve">Filed </w:t>
              <w:br/>
              <w:t xml:space="preserve">Last Status Received: Filed </w:t>
              <w:br/>
              <w:t xml:space="preserve">Filed: December 11, 2019 </w:t>
              <w:br/>
              <w:t>Expiration</w:t>
              <w:br/>
              <w:t>Date: December 11, 2029</w:t>
            </w:r>
          </w:p>
        </w:tc>
        <w:tc>
          <w:tcPr>
            <w:tcW w:w="122" w:type="dxa"/>
            <w:tcBorders/>
            <w:vAlign w:val="bottom"/>
          </w:tcPr>
          <w:p>
            <w:pPr>
              <w:pStyle w:val="TableContents"/>
              <w:bidi w:val="0"/>
              <w:spacing w:before="0" w:after="283"/>
              <w:jc w:val="left"/>
              <w:rPr/>
            </w:pPr>
            <w:r>
              <w:rPr/>
              <w:t>  </w:t>
            </w:r>
          </w:p>
        </w:tc>
        <w:tc>
          <w:tcPr>
            <w:tcW w:w="1787"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 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w:t>
            </w:r>
          </w:p>
        </w:tc>
        <w:tc>
          <w:tcPr>
            <w:tcW w:w="122" w:type="dxa"/>
            <w:tcBorders/>
            <w:vAlign w:val="bottom"/>
          </w:tcPr>
          <w:p>
            <w:pPr>
              <w:pStyle w:val="TableContents"/>
              <w:bidi w:val="0"/>
              <w:spacing w:before="0" w:after="283"/>
              <w:jc w:val="left"/>
              <w:rPr/>
            </w:pPr>
            <w:r>
              <w:rPr/>
              <w:t>  </w:t>
            </w:r>
          </w:p>
        </w:tc>
        <w:tc>
          <w:tcPr>
            <w:tcW w:w="2563" w:type="dxa"/>
            <w:tcBorders/>
          </w:tcPr>
          <w:p>
            <w:pPr>
              <w:pStyle w:val="TableContents"/>
              <w:bidi w:val="0"/>
              <w:spacing w:before="0" w:after="283"/>
              <w:jc w:val="left"/>
              <w:rPr/>
            </w:pPr>
            <w:r>
              <w:rPr/>
              <w:t>PLUS THERAPEUTICS, INC ; Body Incorporate 12526 HIGH BLUFF DRIVE, SUITE 300 SAN DIEGO CA 92130 United States of America,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5"/>
        <w:gridCol w:w="128"/>
        <w:gridCol w:w="1313"/>
        <w:gridCol w:w="128"/>
        <w:gridCol w:w="1053"/>
        <w:gridCol w:w="403"/>
        <w:gridCol w:w="2111"/>
        <w:gridCol w:w="128"/>
        <w:gridCol w:w="2511"/>
        <w:gridCol w:w="128"/>
        <w:gridCol w:w="2037"/>
      </w:tblGrid>
      <w:tr>
        <w:trPr/>
        <w:tc>
          <w:tcPr>
            <w:tcW w:w="26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8"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8" w:type="dxa"/>
            <w:tcBorders/>
            <w:vAlign w:val="bottom"/>
          </w:tcPr>
          <w:p>
            <w:pPr>
              <w:pStyle w:val="TableContents"/>
              <w:bidi w:val="0"/>
              <w:spacing w:before="0" w:after="283"/>
              <w:jc w:val="left"/>
              <w:rPr/>
            </w:pPr>
            <w:r>
              <w:rPr/>
              <w:t>  </w:t>
            </w:r>
          </w:p>
        </w:tc>
        <w:tc>
          <w:tcPr>
            <w:tcW w:w="1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3" w:type="dxa"/>
            <w:tcBorders/>
            <w:vAlign w:val="bottom"/>
          </w:tcPr>
          <w:p>
            <w:pPr>
              <w:pStyle w:val="TableContents"/>
              <w:bidi w:val="0"/>
              <w:spacing w:before="0" w:after="283"/>
              <w:jc w:val="left"/>
              <w:rPr/>
            </w:pPr>
            <w:r>
              <w:rPr/>
              <w:t>  </w:t>
            </w:r>
          </w:p>
        </w:tc>
        <w:tc>
          <w:tcPr>
            <w:tcW w:w="21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8" w:type="dxa"/>
            <w:tcBorders/>
            <w:vAlign w:val="bottom"/>
          </w:tcPr>
          <w:p>
            <w:pPr>
              <w:pStyle w:val="TableContents"/>
              <w:bidi w:val="0"/>
              <w:spacing w:before="0" w:after="283"/>
              <w:jc w:val="left"/>
              <w:rPr/>
            </w:pPr>
            <w:r>
              <w:rPr/>
              <w:t>  </w:t>
            </w:r>
          </w:p>
        </w:tc>
        <w:tc>
          <w:tcPr>
            <w:tcW w:w="25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8"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5" w:type="dxa"/>
            <w:tcBorders/>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313"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1053" w:type="dxa"/>
            <w:tcBorders/>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2111" w:type="dxa"/>
            <w:tcBorders/>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511" w:type="dxa"/>
            <w:tcBorders/>
          </w:tcPr>
          <w:p>
            <w:pPr>
              <w:pStyle w:val="TableContents"/>
              <w:bidi w:val="0"/>
              <w:spacing w:before="0" w:after="283"/>
              <w:jc w:val="left"/>
              <w:rPr/>
            </w:pPr>
            <w:r>
              <w:rPr/>
              <w:t xml:space="preserve">aforementioned for human or animal use </w:t>
              <w:br/>
              <w:t xml:space="preserve">(Int’l Class: 40) </w:t>
              <w:br/>
              <w:t xml:space="preserve">providing technical information in the field of pharmaceutical manufacturing; custom manufacture of pharmaceuticals; providing information about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drug discovery services; pharmaceutical research and development; research and development of nanomedicinal products; scientific and medical research and development for</w:t>
            </w:r>
          </w:p>
        </w:tc>
        <w:tc>
          <w:tcPr>
            <w:tcW w:w="128"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7"/>
        <w:gridCol w:w="127"/>
        <w:gridCol w:w="1837"/>
        <w:gridCol w:w="127"/>
        <w:gridCol w:w="1014"/>
        <w:gridCol w:w="324"/>
        <w:gridCol w:w="1883"/>
        <w:gridCol w:w="127"/>
        <w:gridCol w:w="2313"/>
        <w:gridCol w:w="127"/>
        <w:gridCol w:w="2059"/>
      </w:tblGrid>
      <w:tr>
        <w:trPr/>
        <w:tc>
          <w:tcPr>
            <w:tcW w:w="26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2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8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324" w:type="dxa"/>
            <w:tcBorders/>
            <w:vAlign w:val="bottom"/>
          </w:tcPr>
          <w:p>
            <w:pPr>
              <w:pStyle w:val="TableContents"/>
              <w:bidi w:val="0"/>
              <w:spacing w:before="0" w:after="283"/>
              <w:jc w:val="left"/>
              <w:rPr/>
            </w:pPr>
            <w:r>
              <w:rPr/>
              <w:t>  </w:t>
            </w:r>
          </w:p>
        </w:tc>
        <w:tc>
          <w:tcPr>
            <w:tcW w:w="18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26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14"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883"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t xml:space="preserve">nutraceuticals, pharmaceuticals, pharmaceutical preparations and substances in the field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59" w:type="dxa"/>
            <w:tcBorders/>
          </w:tcPr>
          <w:p>
            <w:pPr>
              <w:pStyle w:val="TableContents"/>
              <w:bidi w:val="0"/>
              <w:spacing w:before="0" w:after="283"/>
              <w:jc w:val="left"/>
              <w:rPr>
                <w:sz w:val="4"/>
                <w:szCs w:val="4"/>
              </w:rPr>
            </w:pPr>
            <w:r>
              <w:rPr>
                <w:sz w:val="4"/>
                <w:szCs w:val="4"/>
              </w:rPr>
            </w:r>
          </w:p>
        </w:tc>
      </w:tr>
      <w:tr>
        <w:trPr>
          <w:trHeight w:val="120" w:hRule="atLeast"/>
        </w:trPr>
        <w:tc>
          <w:tcPr>
            <w:tcW w:w="267" w:type="dxa"/>
            <w:tcBorders/>
            <w:vAlign w:val="center"/>
          </w:tcPr>
          <w:p>
            <w:pPr>
              <w:pStyle w:val="TableContents"/>
              <w:bidi w:val="0"/>
              <w:spacing w:before="0" w:after="283"/>
              <w:jc w:val="left"/>
              <w:rPr>
                <w:sz w:val="4"/>
                <w:szCs w:val="4"/>
              </w:rPr>
            </w:pPr>
            <w:r>
              <w:rPr>
                <w:sz w:val="4"/>
                <w:szCs w:val="4"/>
              </w:rPr>
            </w:r>
          </w:p>
        </w:tc>
        <w:tc>
          <w:tcPr>
            <w:tcW w:w="1964"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2207" w:type="dxa"/>
            <w:gridSpan w:val="2"/>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c>
          <w:tcPr>
            <w:tcW w:w="2186" w:type="dxa"/>
            <w:gridSpan w:val="2"/>
            <w:tcBorders/>
            <w:vAlign w:val="center"/>
          </w:tcPr>
          <w:p>
            <w:pPr>
              <w:pStyle w:val="TableContents"/>
              <w:bidi w:val="0"/>
              <w:spacing w:before="0" w:after="283"/>
              <w:jc w:val="left"/>
              <w:rPr>
                <w:sz w:val="4"/>
                <w:szCs w:val="4"/>
              </w:rPr>
            </w:pPr>
            <w:r>
              <w:rPr>
                <w:sz w:val="4"/>
                <w:szCs w:val="4"/>
              </w:rPr>
            </w:r>
          </w:p>
        </w:tc>
      </w:tr>
      <w:tr>
        <w:trPr/>
        <w:tc>
          <w:tcPr>
            <w:tcW w:w="267" w:type="dxa"/>
            <w:tcBorders/>
          </w:tcPr>
          <w:p>
            <w:pPr>
              <w:pStyle w:val="TableContents"/>
              <w:bidi w:val="0"/>
              <w:spacing w:before="0" w:after="283"/>
              <w:jc w:val="left"/>
              <w:rPr/>
            </w:pPr>
            <w:r>
              <w:rPr/>
              <w:t>39.</w:t>
            </w:r>
          </w:p>
        </w:tc>
        <w:tc>
          <w:tcPr>
            <w:tcW w:w="127"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u w:val="single"/>
              </w:rPr>
            </w:pPr>
            <w:r>
              <w:rPr>
                <w:u w:val="single"/>
              </w:rPr>
              <w:t>PLUS THERAPEUTICS and Design</w:t>
            </w:r>
          </w:p>
        </w:tc>
        <w:tc>
          <w:tcPr>
            <w:tcW w:w="127" w:type="dxa"/>
            <w:tcBorders/>
            <w:vAlign w:val="bottom"/>
          </w:tcPr>
          <w:p>
            <w:pPr>
              <w:pStyle w:val="TableContents"/>
              <w:bidi w:val="0"/>
              <w:spacing w:before="0" w:after="283"/>
              <w:jc w:val="left"/>
              <w:rPr/>
            </w:pPr>
            <w:r>
              <w:rPr/>
              <w:t>  </w:t>
            </w:r>
          </w:p>
        </w:tc>
        <w:tc>
          <w:tcPr>
            <w:tcW w:w="1014" w:type="dxa"/>
            <w:tcBorders/>
          </w:tcPr>
          <w:p>
            <w:pPr>
              <w:pStyle w:val="TableContents"/>
              <w:bidi w:val="0"/>
              <w:spacing w:before="0" w:after="283"/>
              <w:jc w:val="left"/>
              <w:rPr/>
            </w:pPr>
            <w:r>
              <w:rPr/>
              <w:t>India</w:t>
            </w:r>
          </w:p>
        </w:tc>
        <w:tc>
          <w:tcPr>
            <w:tcW w:w="324" w:type="dxa"/>
            <w:tcBorders/>
            <w:vAlign w:val="bottom"/>
          </w:tcPr>
          <w:p>
            <w:pPr>
              <w:pStyle w:val="TableContents"/>
              <w:bidi w:val="0"/>
              <w:spacing w:before="0" w:after="283"/>
              <w:jc w:val="left"/>
              <w:rPr/>
            </w:pPr>
            <w:r>
              <w:rPr/>
              <w:t>  </w:t>
            </w:r>
          </w:p>
        </w:tc>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p>
            <w:pPr>
              <w:pStyle w:val="TableContents"/>
              <w:bidi w:val="0"/>
              <w:spacing w:before="0" w:after="20"/>
              <w:jc w:val="left"/>
              <w:rPr>
                <w:rFonts w:ascii="Times New Roman" w:hAnsi="Times New Roman"/>
                <w:sz w:val="20"/>
              </w:rPr>
            </w:pPr>
            <w:r>
              <w:rPr>
                <w:rFonts w:ascii="Times New Roman" w:hAnsi="Times New Roman"/>
                <w:sz w:val="20"/>
              </w:rPr>
              <w:t xml:space="preserve">Filed </w:t>
              <w:br/>
              <w:t xml:space="preserve">Last Status Received: Filed </w:t>
            </w:r>
          </w:p>
        </w:tc>
        <w:tc>
          <w:tcPr>
            <w:tcW w:w="127"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t xml:space="preserve">Int’l Class: 05, 40, 42, 44 </w:t>
              <w:br/>
              <w:t xml:space="preserve">(Int’l Class: 05) </w:t>
              <w:br/>
              <w:t>nanomedicinal products for medical purposes, namely organic</w:t>
            </w:r>
          </w:p>
        </w:tc>
        <w:tc>
          <w:tcPr>
            <w:tcW w:w="127" w:type="dxa"/>
            <w:tcBorders/>
            <w:vAlign w:val="bottom"/>
          </w:tcPr>
          <w:p>
            <w:pPr>
              <w:pStyle w:val="TableContents"/>
              <w:bidi w:val="0"/>
              <w:spacing w:before="0" w:after="283"/>
              <w:jc w:val="left"/>
              <w:rPr/>
            </w:pPr>
            <w:r>
              <w:rPr/>
              <w:t>  </w:t>
            </w:r>
          </w:p>
        </w:tc>
        <w:tc>
          <w:tcPr>
            <w:tcW w:w="2059" w:type="dxa"/>
            <w:tcBorders/>
          </w:tcPr>
          <w:p>
            <w:pPr>
              <w:pStyle w:val="TableContents"/>
              <w:bidi w:val="0"/>
              <w:spacing w:before="0" w:after="283"/>
              <w:jc w:val="left"/>
              <w:rPr/>
            </w:pPr>
            <w:r>
              <w:rPr/>
              <w:t>PLUS THERAPEUTICS, INC ; Body Incorporate 12526 HIGH BLUFF DRIVE, SUITE 300 SAN DIEGO</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0"/>
        <w:gridCol w:w="129"/>
        <w:gridCol w:w="2003"/>
        <w:gridCol w:w="129"/>
        <w:gridCol w:w="1015"/>
        <w:gridCol w:w="295"/>
        <w:gridCol w:w="1859"/>
        <w:gridCol w:w="129"/>
        <w:gridCol w:w="2292"/>
        <w:gridCol w:w="129"/>
        <w:gridCol w:w="2105"/>
      </w:tblGrid>
      <w:tr>
        <w:trPr/>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1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9" w:type="dxa"/>
            <w:tcBorders/>
            <w:vAlign w:val="bottom"/>
          </w:tcPr>
          <w:p>
            <w:pPr>
              <w:pStyle w:val="TableContents"/>
              <w:bidi w:val="0"/>
              <w:spacing w:before="0" w:after="283"/>
              <w:jc w:val="left"/>
              <w:rPr/>
            </w:pPr>
            <w:r>
              <w:rPr/>
              <w:t>  </w:t>
            </w:r>
          </w:p>
        </w:tc>
        <w:tc>
          <w:tcPr>
            <w:tcW w:w="20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9" w:type="dxa"/>
            <w:tcBorders/>
            <w:vAlign w:val="bottom"/>
          </w:tcPr>
          <w:p>
            <w:pPr>
              <w:pStyle w:val="TableContents"/>
              <w:bidi w:val="0"/>
              <w:spacing w:before="0" w:after="283"/>
              <w:jc w:val="left"/>
              <w:rPr/>
            </w:pPr>
            <w:r>
              <w:rPr/>
              <w:t>  </w:t>
            </w:r>
          </w:p>
        </w:tc>
        <w:tc>
          <w:tcPr>
            <w:tcW w:w="10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295" w:type="dxa"/>
            <w:tcBorders/>
            <w:vAlign w:val="bottom"/>
          </w:tcPr>
          <w:p>
            <w:pPr>
              <w:pStyle w:val="TableContents"/>
              <w:bidi w:val="0"/>
              <w:spacing w:before="0" w:after="283"/>
              <w:jc w:val="left"/>
              <w:rPr/>
            </w:pPr>
            <w:r>
              <w:rPr/>
              <w:t>  </w:t>
            </w:r>
          </w:p>
        </w:tc>
        <w:tc>
          <w:tcPr>
            <w:tcW w:w="18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9" w:type="dxa"/>
            <w:tcBorders/>
            <w:vAlign w:val="bottom"/>
          </w:tcPr>
          <w:p>
            <w:pPr>
              <w:pStyle w:val="TableContents"/>
              <w:bidi w:val="0"/>
              <w:spacing w:before="0" w:after="283"/>
              <w:jc w:val="left"/>
              <w:rPr/>
            </w:pPr>
            <w:r>
              <w:rPr/>
              <w:t>  </w:t>
            </w:r>
          </w:p>
        </w:tc>
        <w:tc>
          <w:tcPr>
            <w:tcW w:w="22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9"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20"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003" w:type="dxa"/>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4506737</w:t>
            </w:r>
          </w:p>
        </w:tc>
        <w:tc>
          <w:tcPr>
            <w:tcW w:w="129" w:type="dxa"/>
            <w:tcBorders/>
            <w:vAlign w:val="bottom"/>
          </w:tcPr>
          <w:p>
            <w:pPr>
              <w:pStyle w:val="TableContents"/>
              <w:bidi w:val="0"/>
              <w:spacing w:before="0" w:after="283"/>
              <w:jc w:val="left"/>
              <w:rPr/>
            </w:pPr>
            <w:r>
              <w:rPr/>
              <w:t>  </w:t>
            </w:r>
          </w:p>
        </w:tc>
        <w:tc>
          <w:tcPr>
            <w:tcW w:w="1015" w:type="dxa"/>
            <w:tcBorders/>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859" w:type="dxa"/>
            <w:tcBorders/>
          </w:tcPr>
          <w:p>
            <w:pPr>
              <w:pStyle w:val="TableContents"/>
              <w:bidi w:val="0"/>
              <w:spacing w:before="0" w:after="283"/>
              <w:jc w:val="left"/>
              <w:rPr/>
            </w:pPr>
            <w:r>
              <w:rPr/>
              <w:t xml:space="preserve">Filed: December 11, 2019 </w:t>
              <w:br/>
              <w:t>Expiration Date: December 11, 2029</w:t>
            </w:r>
          </w:p>
        </w:tc>
        <w:tc>
          <w:tcPr>
            <w:tcW w:w="129" w:type="dxa"/>
            <w:tcBorders/>
            <w:vAlign w:val="bottom"/>
          </w:tcPr>
          <w:p>
            <w:pPr>
              <w:pStyle w:val="TableContents"/>
              <w:bidi w:val="0"/>
              <w:spacing w:before="0" w:after="283"/>
              <w:jc w:val="left"/>
              <w:rPr/>
            </w:pPr>
            <w:r>
              <w:rPr/>
              <w:t>  </w:t>
            </w:r>
          </w:p>
        </w:tc>
        <w:tc>
          <w:tcPr>
            <w:tcW w:w="2292" w:type="dxa"/>
            <w:tcBorders/>
          </w:tcPr>
          <w:p>
            <w:pPr>
              <w:pStyle w:val="TableContents"/>
              <w:bidi w:val="0"/>
              <w:spacing w:before="0" w:after="283"/>
              <w:jc w:val="left"/>
              <w:rPr/>
            </w:pPr>
            <w:r>
              <w:rPr/>
              <w:t xml:space="preserve">and inorganic pharmaceutical preparations, nanoparticle pharmaceutical preparations, nutraceuticals, pharmaceuticals, pharmaceutical preparations and substances for the prevention and treatment of cancer, diabetes, infectious diseases, autoimmune diseases and disorders, orthopedic diseases and disorders, blood diseases and disorders, fungal infections, diseases and disorders of the central nervous system, oncological diseases and disorders, and ophthalmological diseases and disorders; chemical preparations and reagents for pharmaceutical, medical, and clinical purposes; drug delivery agents in the form of nanoparticle powders that facilitate the delivery of pharmaceutical preparations; liposomal nanoparticle powders being drug delivery agents to facilitate delivery of genetic material and vaccines for medical purposes; all of the aforementioned for human or animal use </w:t>
              <w:br/>
              <w:t xml:space="preserve">(Int’l Class: 40) </w:t>
              <w:br/>
              <w:t>providing technical information in the field of pharmaceutical manufacturing; custom manufacture of pharmaceuticals; providing information about custom manufacturing of</w:t>
            </w:r>
          </w:p>
        </w:tc>
        <w:tc>
          <w:tcPr>
            <w:tcW w:w="129" w:type="dxa"/>
            <w:tcBorders/>
            <w:vAlign w:val="bottom"/>
          </w:tcPr>
          <w:p>
            <w:pPr>
              <w:pStyle w:val="TableContents"/>
              <w:bidi w:val="0"/>
              <w:spacing w:before="0" w:after="283"/>
              <w:jc w:val="left"/>
              <w:rPr/>
            </w:pPr>
            <w:r>
              <w:rPr/>
              <w:t>  </w:t>
            </w:r>
          </w:p>
        </w:tc>
        <w:tc>
          <w:tcPr>
            <w:tcW w:w="2105" w:type="dxa"/>
            <w:tcBorders/>
          </w:tcPr>
          <w:p>
            <w:pPr>
              <w:pStyle w:val="TableContents"/>
              <w:bidi w:val="0"/>
              <w:spacing w:before="0" w:after="283"/>
              <w:jc w:val="left"/>
              <w:rPr/>
            </w:pPr>
            <w:r>
              <w:rPr/>
              <w:t>CA 92130 United States of America, United States of America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
        <w:gridCol w:w="127"/>
        <w:gridCol w:w="1327"/>
        <w:gridCol w:w="127"/>
        <w:gridCol w:w="1055"/>
        <w:gridCol w:w="413"/>
        <w:gridCol w:w="2170"/>
        <w:gridCol w:w="127"/>
        <w:gridCol w:w="2581"/>
        <w:gridCol w:w="127"/>
        <w:gridCol w:w="2029"/>
      </w:tblGrid>
      <w:tr>
        <w:trPr/>
        <w:tc>
          <w:tcPr>
            <w:tcW w:w="1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13" w:type="dxa"/>
            <w:tcBorders/>
            <w:vAlign w:val="bottom"/>
          </w:tcPr>
          <w:p>
            <w:pPr>
              <w:pStyle w:val="TableContents"/>
              <w:bidi w:val="0"/>
              <w:spacing w:before="0" w:after="283"/>
              <w:jc w:val="left"/>
              <w:rPr/>
            </w:pPr>
            <w:r>
              <w:rPr/>
              <w:t>  </w:t>
            </w:r>
          </w:p>
        </w:tc>
        <w:tc>
          <w:tcPr>
            <w:tcW w:w="21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5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2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55" w:type="dxa"/>
            <w:tcBorders/>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217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581" w:type="dxa"/>
            <w:tcBorders/>
          </w:tcPr>
          <w:p>
            <w:pPr>
              <w:pStyle w:val="TableContents"/>
              <w:bidi w:val="0"/>
              <w:spacing w:before="0" w:after="283"/>
              <w:jc w:val="left"/>
              <w:rPr/>
            </w:pPr>
            <w:r>
              <w:rPr/>
              <w:t xml:space="preserve">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custom manufacturing of pharmaceuticals in the nature of oral, inhalatory, intramuscular, intraperitoneal, intratracheal, intratumoral, intravenous, subcutaneous, and topical applied aggregations of liposomes providing time-release of encapsulated pharmaceuticals made to the order or specification of others, for treatment of a wide variety of diseases </w:t>
              <w:br/>
              <w:t xml:space="preserve">(Int’l Class: 42) </w:t>
              <w:br/>
              <w:t>drug discovery services; pharmaceutical research and development; research and development of nanomedicinal products; scientific and medical research and development for nutraceuticals, pharmaceuticals, pharmaceutical preparations and substances in the field of cancer, diabetes, infectious diseases, autoimmune diseases and disorders, orthopedic</w:t>
            </w:r>
          </w:p>
        </w:tc>
        <w:tc>
          <w:tcPr>
            <w:tcW w:w="127" w:type="dxa"/>
            <w:tcBorders/>
            <w:vAlign w:val="bottom"/>
          </w:tcPr>
          <w:p>
            <w:pPr>
              <w:pStyle w:val="TableContents"/>
              <w:bidi w:val="0"/>
              <w:spacing w:before="0" w:after="283"/>
              <w:jc w:val="left"/>
              <w:rPr/>
            </w:pPr>
            <w:r>
              <w:rPr/>
              <w:t>  </w:t>
            </w:r>
          </w:p>
        </w:tc>
        <w:tc>
          <w:tcPr>
            <w:tcW w:w="20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
        <w:gridCol w:w="127"/>
        <w:gridCol w:w="1319"/>
        <w:gridCol w:w="127"/>
        <w:gridCol w:w="1052"/>
        <w:gridCol w:w="409"/>
        <w:gridCol w:w="2147"/>
        <w:gridCol w:w="127"/>
        <w:gridCol w:w="2622"/>
        <w:gridCol w:w="127"/>
        <w:gridCol w:w="2026"/>
      </w:tblGrid>
      <w:tr>
        <w:trPr/>
        <w:tc>
          <w:tcPr>
            <w:tcW w:w="1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7" w:type="dxa"/>
            <w:tcBorders/>
            <w:vAlign w:val="bottom"/>
          </w:tcPr>
          <w:p>
            <w:pPr>
              <w:pStyle w:val="TableContents"/>
              <w:bidi w:val="0"/>
              <w:spacing w:before="0" w:after="283"/>
              <w:jc w:val="left"/>
              <w:rPr/>
            </w:pPr>
            <w:r>
              <w:rPr/>
              <w:t>  </w:t>
            </w:r>
          </w:p>
        </w:tc>
        <w:tc>
          <w:tcPr>
            <w:tcW w:w="13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7" w:type="dxa"/>
            <w:tcBorders/>
            <w:vAlign w:val="bottom"/>
          </w:tcPr>
          <w:p>
            <w:pPr>
              <w:pStyle w:val="TableContents"/>
              <w:bidi w:val="0"/>
              <w:spacing w:before="0" w:after="283"/>
              <w:jc w:val="left"/>
              <w:rPr/>
            </w:pPr>
            <w:r>
              <w:rPr/>
              <w:t>  </w:t>
            </w:r>
          </w:p>
        </w:tc>
        <w:tc>
          <w:tcPr>
            <w:tcW w:w="10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409" w:type="dxa"/>
            <w:tcBorders/>
            <w:vAlign w:val="bottom"/>
          </w:tcPr>
          <w:p>
            <w:pPr>
              <w:pStyle w:val="TableContents"/>
              <w:bidi w:val="0"/>
              <w:spacing w:before="0" w:after="283"/>
              <w:jc w:val="left"/>
              <w:rPr/>
            </w:pPr>
            <w:r>
              <w:rPr/>
              <w:t>  </w:t>
            </w:r>
          </w:p>
        </w:tc>
        <w:tc>
          <w:tcPr>
            <w:tcW w:w="21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Status/Key Dates</w:t>
            </w:r>
          </w:p>
        </w:tc>
        <w:tc>
          <w:tcPr>
            <w:tcW w:w="127" w:type="dxa"/>
            <w:tcBorders/>
            <w:vAlign w:val="bottom"/>
          </w:tcPr>
          <w:p>
            <w:pPr>
              <w:pStyle w:val="TableContents"/>
              <w:bidi w:val="0"/>
              <w:spacing w:before="0" w:after="283"/>
              <w:jc w:val="left"/>
              <w:rPr/>
            </w:pPr>
            <w:r>
              <w:rPr/>
              <w:t>  </w:t>
            </w:r>
          </w:p>
        </w:tc>
        <w:tc>
          <w:tcPr>
            <w:tcW w:w="26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Goods/Services</w:t>
            </w:r>
          </w:p>
        </w:tc>
        <w:tc>
          <w:tcPr>
            <w:tcW w:w="127" w:type="dxa"/>
            <w:tcBorders/>
            <w:vAlign w:val="bottom"/>
          </w:tcPr>
          <w:p>
            <w:pPr>
              <w:pStyle w:val="TableContents"/>
              <w:bidi w:val="0"/>
              <w:spacing w:before="0" w:after="283"/>
              <w:jc w:val="left"/>
              <w:rPr/>
            </w:pPr>
            <w:r>
              <w:rPr/>
              <w:t>  </w:t>
            </w:r>
          </w:p>
        </w:tc>
        <w:tc>
          <w:tcPr>
            <w:tcW w:w="20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12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319"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052" w:type="dxa"/>
            <w:tcBorders/>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7"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22" w:type="dxa"/>
            <w:tcBorders/>
          </w:tcPr>
          <w:p>
            <w:pPr>
              <w:pStyle w:val="TableContents"/>
              <w:bidi w:val="0"/>
              <w:spacing w:before="0" w:after="283"/>
              <w:jc w:val="left"/>
              <w:rPr/>
            </w:pPr>
            <w:r>
              <w:rPr/>
              <w:t xml:space="preserve">diseases and disorders, blood diseases and disorders, fungal infections, diseases and disorders of the central nervous system, oncological diseases and disorders, and ophthalmological diseases and disorders; scientific research and development for pharmaceuticals in the nature of oral, inhalatory, intramuscular, intraperitoneal, intratracheal, intratumoral intravenous, subcutaneous, and topical applied aggregations of liposomes providing time-release of encapsulated pharmaceuticals, for treatment of a wide variety of diseases; providing medical and scientific information in the aforementioned fields </w:t>
              <w:br/>
              <w:t xml:space="preserve">(Int’l Class: 44) </w:t>
              <w:br/>
              <w:t>medical services, namely, administration of nanomedicinal medications; medical services, namely, medical consultancy relating to nanomedicinal products</w:t>
            </w:r>
          </w:p>
        </w:tc>
        <w:tc>
          <w:tcPr>
            <w:tcW w:w="127" w:type="dxa"/>
            <w:tcBorders/>
            <w:vAlign w:val="bottom"/>
          </w:tcPr>
          <w:p>
            <w:pPr>
              <w:pStyle w:val="TableContents"/>
              <w:bidi w:val="0"/>
              <w:spacing w:before="0" w:after="283"/>
              <w:jc w:val="left"/>
              <w:rPr/>
            </w:pPr>
            <w:r>
              <w:rPr/>
              <w:t>  </w:t>
            </w:r>
          </w:p>
        </w:tc>
        <w:tc>
          <w:tcPr>
            <w:tcW w:w="202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Copyrights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Licenses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and Know-How License Agreement, dated March 29, 2020, by and between Cerenome, Inc. (formerly Plus Therapeutics, Inc.) and NanoTx,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&amp; Technology License Agreement, dated December 31, 2021, by and between Plus Therapeutics, Inc. and the University of Texas Health Science Center at San Antonio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Trade Names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Locations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2"/>
        <w:gridCol w:w="1939"/>
        <w:gridCol w:w="102"/>
        <w:gridCol w:w="2041"/>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Grantor’s Name</w:t>
            </w:r>
          </w:p>
        </w:tc>
        <w:tc>
          <w:tcPr>
            <w:tcW w:w="102" w:type="dxa"/>
            <w:tcBorders/>
            <w:vAlign w:val="bottom"/>
          </w:tcPr>
          <w:p>
            <w:pPr>
              <w:pStyle w:val="TableContents"/>
              <w:bidi w:val="0"/>
              <w:spacing w:before="0" w:after="283"/>
              <w:jc w:val="left"/>
              <w:rPr/>
            </w:pPr>
            <w:r>
              <w:rPr/>
              <w:t> </w:t>
            </w:r>
          </w:p>
        </w:tc>
        <w:tc>
          <w:tcPr>
            <w:tcW w:w="1939"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Chief Executive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Office</w:t>
            </w:r>
          </w:p>
        </w:tc>
        <w:tc>
          <w:tcPr>
            <w:tcW w:w="102"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Chief Place 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Business</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Books and Records</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Inventory,</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Equipment, Etc.</w:t>
            </w:r>
          </w:p>
        </w:tc>
      </w:tr>
      <w:tr>
        <w:trPr/>
        <w:tc>
          <w:tcPr>
            <w:tcW w:w="1837" w:type="dxa"/>
            <w:tcBorders/>
          </w:tcPr>
          <w:p>
            <w:pPr>
              <w:pStyle w:val="TableContents"/>
              <w:bidi w:val="0"/>
              <w:spacing w:before="0" w:after="283"/>
              <w:jc w:val="left"/>
              <w:rPr/>
            </w:pPr>
            <w:r>
              <w:rPr/>
              <w:t>Cerenome, Inc.</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6420 Levit Green Blvd,</w:t>
            </w:r>
          </w:p>
          <w:p>
            <w:pPr>
              <w:pStyle w:val="TableContents"/>
              <w:bidi w:val="0"/>
              <w:spacing w:before="0" w:after="0"/>
              <w:jc w:val="left"/>
              <w:rPr>
                <w:rFonts w:ascii="Times New Roman" w:hAnsi="Times New Roman"/>
                <w:sz w:val="20"/>
              </w:rPr>
            </w:pPr>
            <w:r>
              <w:rPr>
                <w:rFonts w:ascii="Times New Roman" w:hAnsi="Times New Roman"/>
                <w:sz w:val="20"/>
              </w:rPr>
              <w:t>Suite 210</w:t>
            </w:r>
          </w:p>
          <w:p>
            <w:pPr>
              <w:pStyle w:val="TableContents"/>
              <w:bidi w:val="0"/>
              <w:spacing w:before="0" w:after="20"/>
              <w:jc w:val="left"/>
              <w:rPr>
                <w:rFonts w:ascii="Times New Roman" w:hAnsi="Times New Roman"/>
                <w:sz w:val="20"/>
              </w:rPr>
            </w:pPr>
            <w:r>
              <w:rPr>
                <w:rFonts w:ascii="Times New Roman" w:hAnsi="Times New Roman"/>
                <w:sz w:val="20"/>
              </w:rPr>
              <w:t>Houston, TX 77021</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0"/>
              <w:jc w:val="left"/>
              <w:rPr>
                <w:rFonts w:ascii="Times New Roman" w:hAnsi="Times New Roman"/>
                <w:sz w:val="20"/>
              </w:rPr>
            </w:pPr>
            <w:r>
              <w:rPr>
                <w:rFonts w:ascii="Times New Roman" w:hAnsi="Times New Roman"/>
                <w:sz w:val="20"/>
              </w:rPr>
              <w:t>6420 Levit Green Blvd,</w:t>
            </w:r>
          </w:p>
          <w:p>
            <w:pPr>
              <w:pStyle w:val="TableContents"/>
              <w:bidi w:val="0"/>
              <w:spacing w:before="0" w:after="0"/>
              <w:jc w:val="left"/>
              <w:rPr>
                <w:rFonts w:ascii="Times New Roman" w:hAnsi="Times New Roman"/>
                <w:sz w:val="20"/>
              </w:rPr>
            </w:pPr>
            <w:r>
              <w:rPr>
                <w:rFonts w:ascii="Times New Roman" w:hAnsi="Times New Roman"/>
                <w:sz w:val="20"/>
              </w:rPr>
              <w:t>Suite 210</w:t>
            </w:r>
          </w:p>
          <w:p>
            <w:pPr>
              <w:pStyle w:val="TableContents"/>
              <w:bidi w:val="0"/>
              <w:spacing w:before="0" w:after="20"/>
              <w:jc w:val="left"/>
              <w:rPr>
                <w:rFonts w:ascii="Times New Roman" w:hAnsi="Times New Roman"/>
                <w:sz w:val="20"/>
              </w:rPr>
            </w:pPr>
            <w:r>
              <w:rPr>
                <w:rFonts w:ascii="Times New Roman" w:hAnsi="Times New Roman"/>
                <w:sz w:val="20"/>
              </w:rPr>
              <w:t>Houston, TX 77021</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0"/>
              <w:jc w:val="left"/>
              <w:rPr>
                <w:rFonts w:ascii="Times New Roman" w:hAnsi="Times New Roman"/>
                <w:sz w:val="20"/>
              </w:rPr>
            </w:pPr>
            <w:r>
              <w:rPr>
                <w:rFonts w:ascii="Times New Roman" w:hAnsi="Times New Roman"/>
                <w:sz w:val="20"/>
              </w:rPr>
              <w:t>6420 Levit Green Blvd,</w:t>
            </w:r>
          </w:p>
          <w:p>
            <w:pPr>
              <w:pStyle w:val="TableContents"/>
              <w:bidi w:val="0"/>
              <w:spacing w:before="0" w:after="0"/>
              <w:jc w:val="left"/>
              <w:rPr>
                <w:rFonts w:ascii="Times New Roman" w:hAnsi="Times New Roman"/>
                <w:sz w:val="20"/>
              </w:rPr>
            </w:pPr>
            <w:r>
              <w:rPr>
                <w:rFonts w:ascii="Times New Roman" w:hAnsi="Times New Roman"/>
                <w:sz w:val="20"/>
              </w:rPr>
              <w:t>Suite 210</w:t>
            </w:r>
          </w:p>
          <w:p>
            <w:pPr>
              <w:pStyle w:val="TableContents"/>
              <w:bidi w:val="0"/>
              <w:spacing w:before="0" w:after="20"/>
              <w:jc w:val="left"/>
              <w:rPr>
                <w:rFonts w:ascii="Times New Roman" w:hAnsi="Times New Roman"/>
                <w:sz w:val="20"/>
              </w:rPr>
            </w:pPr>
            <w:r>
              <w:rPr>
                <w:rFonts w:ascii="Times New Roman" w:hAnsi="Times New Roman"/>
                <w:sz w:val="20"/>
              </w:rPr>
              <w:t>Houston, TX 77021</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145 Ednam Drive, Charlottesville, VA 22903 -4625</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pPr>
            <w:r>
              <w:rPr/>
              <w:t>CNSide Diagnostics, LLC</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0"/>
              <w:jc w:val="left"/>
              <w:rPr>
                <w:rFonts w:ascii="Times New Roman" w:hAnsi="Times New Roman"/>
                <w:sz w:val="20"/>
              </w:rPr>
            </w:pPr>
            <w:r>
              <w:rPr>
                <w:rFonts w:ascii="Times New Roman" w:hAnsi="Times New Roman"/>
                <w:sz w:val="20"/>
              </w:rPr>
              <w:t>6420 Levit Green Blvd, Suite 210</w:t>
            </w:r>
          </w:p>
          <w:p>
            <w:pPr>
              <w:pStyle w:val="TableContents"/>
              <w:bidi w:val="0"/>
              <w:spacing w:before="0" w:after="20"/>
              <w:jc w:val="left"/>
              <w:rPr>
                <w:rFonts w:ascii="Times New Roman" w:hAnsi="Times New Roman"/>
                <w:sz w:val="20"/>
              </w:rPr>
            </w:pPr>
            <w:r>
              <w:rPr>
                <w:rFonts w:ascii="Times New Roman" w:hAnsi="Times New Roman"/>
                <w:sz w:val="20"/>
              </w:rPr>
              <w:t>Houston, TX 77021</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0"/>
              <w:jc w:val="left"/>
              <w:rPr>
                <w:rFonts w:ascii="Times New Roman" w:hAnsi="Times New Roman"/>
                <w:sz w:val="20"/>
              </w:rPr>
            </w:pPr>
            <w:r>
              <w:rPr>
                <w:rFonts w:ascii="Times New Roman" w:hAnsi="Times New Roman"/>
                <w:sz w:val="20"/>
              </w:rPr>
              <w:t>6420 Levit Green Blvd,</w:t>
            </w:r>
          </w:p>
          <w:p>
            <w:pPr>
              <w:pStyle w:val="TableContents"/>
              <w:bidi w:val="0"/>
              <w:spacing w:before="0" w:after="0"/>
              <w:jc w:val="left"/>
              <w:rPr>
                <w:rFonts w:ascii="Times New Roman" w:hAnsi="Times New Roman"/>
                <w:sz w:val="20"/>
              </w:rPr>
            </w:pPr>
            <w:r>
              <w:rPr>
                <w:rFonts w:ascii="Times New Roman" w:hAnsi="Times New Roman"/>
                <w:sz w:val="20"/>
              </w:rPr>
              <w:t>Suite 210</w:t>
            </w:r>
          </w:p>
          <w:p>
            <w:pPr>
              <w:pStyle w:val="TableContents"/>
              <w:bidi w:val="0"/>
              <w:spacing w:before="0" w:after="20"/>
              <w:jc w:val="left"/>
              <w:rPr>
                <w:rFonts w:ascii="Times New Roman" w:hAnsi="Times New Roman"/>
                <w:sz w:val="20"/>
              </w:rPr>
            </w:pPr>
            <w:r>
              <w:rPr>
                <w:rFonts w:ascii="Times New Roman" w:hAnsi="Times New Roman"/>
                <w:sz w:val="20"/>
              </w:rPr>
              <w:t>Houston, TX 77021</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0"/>
              <w:jc w:val="left"/>
              <w:rPr>
                <w:rFonts w:ascii="Times New Roman" w:hAnsi="Times New Roman"/>
                <w:sz w:val="20"/>
              </w:rPr>
            </w:pPr>
            <w:r>
              <w:rPr>
                <w:rFonts w:ascii="Times New Roman" w:hAnsi="Times New Roman"/>
                <w:sz w:val="20"/>
              </w:rPr>
              <w:t>6420 Levit Green Blvd,</w:t>
            </w:r>
          </w:p>
          <w:p>
            <w:pPr>
              <w:pStyle w:val="TableContents"/>
              <w:bidi w:val="0"/>
              <w:spacing w:before="0" w:after="0"/>
              <w:jc w:val="left"/>
              <w:rPr>
                <w:rFonts w:ascii="Times New Roman" w:hAnsi="Times New Roman"/>
                <w:sz w:val="20"/>
              </w:rPr>
            </w:pPr>
            <w:r>
              <w:rPr>
                <w:rFonts w:ascii="Times New Roman" w:hAnsi="Times New Roman"/>
                <w:sz w:val="20"/>
              </w:rPr>
              <w:t>Suite 210</w:t>
            </w:r>
          </w:p>
          <w:p>
            <w:pPr>
              <w:pStyle w:val="TableContents"/>
              <w:bidi w:val="0"/>
              <w:spacing w:before="0" w:after="20"/>
              <w:jc w:val="left"/>
              <w:rPr>
                <w:rFonts w:ascii="Times New Roman" w:hAnsi="Times New Roman"/>
                <w:sz w:val="20"/>
              </w:rPr>
            </w:pPr>
            <w:r>
              <w:rPr>
                <w:rFonts w:ascii="Times New Roman" w:hAnsi="Times New Roman"/>
                <w:sz w:val="20"/>
              </w:rPr>
              <w:t>Houston, TX 77021</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2710 Reed Rd Ste 160, Houston, TX 77051</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IV </w:t>
      </w:r>
    </w:p>
    <w:p>
      <w:pPr>
        <w:pStyle w:val="TextBody"/>
        <w:bidi w:val="0"/>
        <w:spacing w:before="120" w:after="0"/>
        <w:jc w:val="center"/>
        <w:rPr>
          <w:rFonts w:ascii="Times New Roman" w:hAnsi="Times New Roman"/>
          <w:b/>
          <w:sz w:val="20"/>
        </w:rPr>
      </w:pPr>
      <w:r>
        <w:rPr>
          <w:rFonts w:ascii="Times New Roman" w:hAnsi="Times New Roman"/>
          <w:b/>
          <w:sz w:val="20"/>
        </w:rPr>
        <w:t xml:space="preserve">Promissory Notes, Securities, Deposit Accounts,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Securities Accounts and Commodities Accounts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Securities / Pledged Entity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1"/>
        <w:gridCol w:w="102"/>
        <w:gridCol w:w="2545"/>
        <w:gridCol w:w="102"/>
        <w:gridCol w:w="1993"/>
        <w:gridCol w:w="102"/>
        <w:gridCol w:w="1724"/>
        <w:gridCol w:w="102"/>
        <w:gridCol w:w="1774"/>
      </w:tblGrid>
      <w:tr>
        <w:trPr/>
        <w:tc>
          <w:tcPr>
            <w:tcW w:w="176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176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Grantor</w:t>
            </w:r>
          </w:p>
        </w:tc>
        <w:tc>
          <w:tcPr>
            <w:tcW w:w="102" w:type="dxa"/>
            <w:tcBorders/>
            <w:vAlign w:val="bottom"/>
          </w:tcPr>
          <w:p>
            <w:pPr>
              <w:pStyle w:val="TableContents"/>
              <w:bidi w:val="0"/>
              <w:spacing w:before="0" w:after="283"/>
              <w:jc w:val="left"/>
              <w:rPr/>
            </w:pPr>
            <w:r>
              <w:rPr/>
              <w:t> </w:t>
            </w:r>
          </w:p>
        </w:tc>
        <w:tc>
          <w:tcPr>
            <w:tcW w:w="2545"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Name of Issuer /</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Pledged Entity</w:t>
            </w:r>
          </w:p>
        </w:tc>
        <w:tc>
          <w:tcPr>
            <w:tcW w:w="10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No.</w:t>
            </w:r>
          </w:p>
          <w:p>
            <w:pPr>
              <w:pStyle w:val="TableContents"/>
              <w:bidi w:val="0"/>
              <w:spacing w:before="0" w:after="0"/>
              <w:jc w:val="center"/>
              <w:rPr>
                <w:rFonts w:ascii="Times New Roman" w:hAnsi="Times New Roman"/>
                <w:sz w:val="16"/>
              </w:rPr>
            </w:pPr>
            <w:r>
              <w:rPr>
                <w:rFonts w:ascii="Times New Roman" w:hAnsi="Times New Roman"/>
                <w:sz w:val="16"/>
              </w:rPr>
              <w:t>Shares/Interest</w:t>
            </w:r>
          </w:p>
          <w:p>
            <w:pPr>
              <w:pStyle w:val="TableContents"/>
              <w:bidi w:val="0"/>
              <w:spacing w:before="0" w:after="0"/>
              <w:jc w:val="center"/>
              <w:rPr>
                <w:rFonts w:ascii="Times New Roman" w:hAnsi="Times New Roman"/>
                <w:sz w:val="16"/>
              </w:rPr>
            </w:pPr>
            <w:r>
              <w:rPr>
                <w:rFonts w:ascii="Times New Roman" w:hAnsi="Times New Roman"/>
                <w:sz w:val="16"/>
              </w:rPr>
              <w:t>Issued and</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Outstanding</w:t>
            </w:r>
          </w:p>
        </w:tc>
        <w:tc>
          <w:tcPr>
            <w:tcW w:w="102" w:type="dxa"/>
            <w:tcBorders/>
            <w:vAlign w:val="bottom"/>
          </w:tcPr>
          <w:p>
            <w:pPr>
              <w:pStyle w:val="TableContents"/>
              <w:bidi w:val="0"/>
              <w:spacing w:before="0" w:after="283"/>
              <w:jc w:val="left"/>
              <w:rPr/>
            </w:pPr>
            <w:r>
              <w:rPr/>
              <w:t> </w:t>
            </w:r>
          </w:p>
        </w:tc>
        <w:tc>
          <w:tcPr>
            <w:tcW w:w="172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Class</w:t>
            </w:r>
          </w:p>
        </w:tc>
        <w:tc>
          <w:tcPr>
            <w:tcW w:w="10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Certificate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No.(s)</w:t>
            </w:r>
          </w:p>
        </w:tc>
      </w:tr>
      <w:tr>
        <w:trPr/>
        <w:tc>
          <w:tcPr>
            <w:tcW w:w="1761" w:type="dxa"/>
            <w:tcBorders/>
          </w:tcPr>
          <w:p>
            <w:pPr>
              <w:pStyle w:val="TableContents"/>
              <w:bidi w:val="0"/>
              <w:spacing w:before="0" w:after="0"/>
              <w:jc w:val="left"/>
              <w:rPr>
                <w:rFonts w:ascii="Times New Roman" w:hAnsi="Times New Roman"/>
                <w:sz w:val="20"/>
              </w:rPr>
            </w:pPr>
            <w:r>
              <w:rPr>
                <w:rFonts w:ascii="Times New Roman" w:hAnsi="Times New Roman"/>
                <w:sz w:val="20"/>
              </w:rPr>
              <w:t>Cerenome, Inc.</w:t>
            </w:r>
          </w:p>
        </w:tc>
        <w:tc>
          <w:tcPr>
            <w:tcW w:w="102" w:type="dxa"/>
            <w:tcBorders/>
            <w:vAlign w:val="bottom"/>
          </w:tcPr>
          <w:p>
            <w:pPr>
              <w:pStyle w:val="TableContents"/>
              <w:bidi w:val="0"/>
              <w:spacing w:before="0" w:after="283"/>
              <w:jc w:val="left"/>
              <w:rPr/>
            </w:pPr>
            <w:r>
              <w:rPr/>
              <w:t> </w:t>
            </w:r>
          </w:p>
        </w:tc>
        <w:tc>
          <w:tcPr>
            <w:tcW w:w="2545" w:type="dxa"/>
            <w:tcBorders/>
            <w:vAlign w:val="bottom"/>
          </w:tcPr>
          <w:p>
            <w:pPr>
              <w:pStyle w:val="TableContents"/>
              <w:bidi w:val="0"/>
              <w:spacing w:before="0" w:after="283"/>
              <w:jc w:val="center"/>
              <w:rPr/>
            </w:pPr>
            <w:r>
              <w:rPr/>
              <w:t>CNSide Diagnostics, LLC</w:t>
            </w:r>
          </w:p>
        </w:tc>
        <w:tc>
          <w:tcPr>
            <w:tcW w:w="102" w:type="dxa"/>
            <w:tcBorders/>
            <w:vAlign w:val="bottom"/>
          </w:tcPr>
          <w:p>
            <w:pPr>
              <w:pStyle w:val="TableContents"/>
              <w:bidi w:val="0"/>
              <w:spacing w:before="0" w:after="283"/>
              <w:jc w:val="left"/>
              <w:rPr/>
            </w:pPr>
            <w:r>
              <w:rPr/>
              <w:t> </w:t>
            </w:r>
          </w:p>
        </w:tc>
        <w:tc>
          <w:tcPr>
            <w:tcW w:w="1993" w:type="dxa"/>
            <w:tcBorders/>
            <w:vAlign w:val="bottom"/>
          </w:tcPr>
          <w:p>
            <w:pPr>
              <w:pStyle w:val="TableContents"/>
              <w:bidi w:val="0"/>
              <w:spacing w:before="0" w:after="283"/>
              <w:jc w:val="center"/>
              <w:rPr/>
            </w:pPr>
            <w:r>
              <w:rPr/>
              <w:t>1,000 units</w:t>
            </w:r>
          </w:p>
        </w:tc>
        <w:tc>
          <w:tcPr>
            <w:tcW w:w="102"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center"/>
              <w:rPr/>
            </w:pPr>
            <w:r>
              <w:rPr/>
              <w:t>N/A</w:t>
            </w:r>
          </w:p>
        </w:tc>
        <w:tc>
          <w:tcPr>
            <w:tcW w:w="102"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Deposit Accounts, Securities Accounts and Commodities Accounts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Grantor</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Name and Address of</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Institution</w:t>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Purpose of the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Account</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Account No.</w:t>
            </w:r>
          </w:p>
        </w:tc>
      </w:tr>
      <w:tr>
        <w:trPr/>
        <w:tc>
          <w:tcPr>
            <w:tcW w:w="2449" w:type="dxa"/>
            <w:tcBorders/>
          </w:tcPr>
          <w:p>
            <w:pPr>
              <w:pStyle w:val="TableContents"/>
              <w:bidi w:val="0"/>
              <w:spacing w:before="0" w:after="283"/>
              <w:jc w:val="left"/>
              <w:rPr/>
            </w:pPr>
            <w:r>
              <w:rPr/>
              <w:t>Cerenome, Inc.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Wells Fargo</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Operating</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4496809864</w:t>
            </w:r>
          </w:p>
        </w:tc>
      </w:tr>
      <w:tr>
        <w:trPr/>
        <w:tc>
          <w:tcPr>
            <w:tcW w:w="2449" w:type="dxa"/>
            <w:tcBorders/>
          </w:tcPr>
          <w:p>
            <w:pPr>
              <w:pStyle w:val="TableContents"/>
              <w:bidi w:val="0"/>
              <w:spacing w:before="0" w:after="283"/>
              <w:jc w:val="left"/>
              <w:rPr/>
            </w:pPr>
            <w:r>
              <w:rPr/>
              <w:t>Cerenome, Inc.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Wells Fargo</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Money Market / P-Card</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4121093132</w:t>
            </w:r>
          </w:p>
        </w:tc>
      </w:tr>
      <w:tr>
        <w:trPr/>
        <w:tc>
          <w:tcPr>
            <w:tcW w:w="2449" w:type="dxa"/>
            <w:tcBorders/>
          </w:tcPr>
          <w:p>
            <w:pPr>
              <w:pStyle w:val="TableContents"/>
              <w:bidi w:val="0"/>
              <w:spacing w:before="0" w:after="283"/>
              <w:jc w:val="left"/>
              <w:rPr/>
            </w:pPr>
            <w:r>
              <w:rPr/>
              <w:t>Cerenome, Inc.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Pershing Advisor Solutions</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Non-Purpose Loan Collateral</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3ZT-047968</w:t>
            </w:r>
          </w:p>
        </w:tc>
      </w:tr>
      <w:tr>
        <w:trPr/>
        <w:tc>
          <w:tcPr>
            <w:tcW w:w="2449" w:type="dxa"/>
            <w:tcBorders/>
          </w:tcPr>
          <w:p>
            <w:pPr>
              <w:pStyle w:val="TableContents"/>
              <w:bidi w:val="0"/>
              <w:spacing w:before="0" w:after="283"/>
              <w:jc w:val="left"/>
              <w:rPr/>
            </w:pPr>
            <w:r>
              <w:rPr/>
              <w:t>Cerenome, Inc.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Pershing Advisor Solutions</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Investment</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EQ6-023657</w:t>
            </w:r>
          </w:p>
        </w:tc>
      </w:tr>
      <w:tr>
        <w:trPr/>
        <w:tc>
          <w:tcPr>
            <w:tcW w:w="2449" w:type="dxa"/>
            <w:tcBorders/>
          </w:tcPr>
          <w:p>
            <w:pPr>
              <w:pStyle w:val="TableContents"/>
              <w:bidi w:val="0"/>
              <w:spacing w:before="0" w:after="283"/>
              <w:jc w:val="left"/>
              <w:rPr/>
            </w:pPr>
            <w:r>
              <w:rPr/>
              <w:t>CNSide Diagnostics,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Wells Fargo</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Operating</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4543776496</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Foreign Currency Controlled Accounts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Pledged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Pledged Equity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Holder</w:t>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Ownership</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Certificate No.</w:t>
            </w:r>
          </w:p>
        </w:tc>
      </w:tr>
      <w:tr>
        <w:trPr/>
        <w:tc>
          <w:tcPr>
            <w:tcW w:w="2449" w:type="dxa"/>
            <w:tcBorders/>
          </w:tcPr>
          <w:p>
            <w:pPr>
              <w:pStyle w:val="TableContents"/>
              <w:bidi w:val="0"/>
              <w:spacing w:before="0" w:after="283"/>
              <w:jc w:val="left"/>
              <w:rPr/>
            </w:pPr>
            <w:r>
              <w:rPr/>
              <w:t>CNSide Diagnostics, LLC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Cerenome, Inc.</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100%</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Pledged Debt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Financing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Grantor</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Jurisdiction for Filing Financing Statement</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Cerenome, Inc.</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left"/>
              <w:rPr/>
            </w:pPr>
            <w:r>
              <w:rPr/>
              <w:t>Delaware</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CNSide Diagnostics, LLC</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left"/>
              <w:rPr/>
            </w:pPr>
            <w:r>
              <w:rPr/>
              <w:t>Delaware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Commercial Tort Claims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Permitted Liens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8"/>
        <w:gridCol w:w="101"/>
        <w:gridCol w:w="1401"/>
        <w:gridCol w:w="101"/>
        <w:gridCol w:w="1397"/>
        <w:gridCol w:w="101"/>
        <w:gridCol w:w="1392"/>
        <w:gridCol w:w="120"/>
        <w:gridCol w:w="1335"/>
        <w:gridCol w:w="120"/>
        <w:gridCol w:w="2629"/>
      </w:tblGrid>
      <w:tr>
        <w:trPr/>
        <w:tc>
          <w:tcPr>
            <w:tcW w:w="15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r>
      <w:tr>
        <w:trPr/>
        <w:tc>
          <w:tcPr>
            <w:tcW w:w="150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Debtor</w:t>
            </w:r>
          </w:p>
        </w:tc>
        <w:tc>
          <w:tcPr>
            <w:tcW w:w="101"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Secured</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Party</w:t>
            </w:r>
          </w:p>
        </w:tc>
        <w:tc>
          <w:tcPr>
            <w:tcW w:w="101"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Filing</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Office</w:t>
            </w:r>
          </w:p>
        </w:tc>
        <w:tc>
          <w:tcPr>
            <w:tcW w:w="101"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Filing</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Number</w:t>
            </w:r>
          </w:p>
        </w:tc>
        <w:tc>
          <w:tcPr>
            <w:tcW w:w="120" w:type="dxa"/>
            <w:tcBorders/>
            <w:vAlign w:val="bottom"/>
          </w:tcPr>
          <w:p>
            <w:pPr>
              <w:pStyle w:val="TableContents"/>
              <w:bidi w:val="0"/>
              <w:spacing w:before="0" w:after="283"/>
              <w:jc w:val="left"/>
              <w:rPr/>
            </w:pPr>
            <w:r>
              <w:rPr/>
              <w:t>  </w:t>
            </w:r>
          </w:p>
        </w:tc>
        <w:tc>
          <w:tcPr>
            <w:tcW w:w="133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Filing Date</w:t>
            </w:r>
          </w:p>
        </w:tc>
        <w:tc>
          <w:tcPr>
            <w:tcW w:w="120" w:type="dxa"/>
            <w:tcBorders/>
            <w:vAlign w:val="bottom"/>
          </w:tcPr>
          <w:p>
            <w:pPr>
              <w:pStyle w:val="TableContents"/>
              <w:bidi w:val="0"/>
              <w:spacing w:before="0" w:after="283"/>
              <w:jc w:val="left"/>
              <w:rPr/>
            </w:pPr>
            <w:r>
              <w:rPr/>
              <w:t>  </w:t>
            </w:r>
          </w:p>
        </w:tc>
        <w:tc>
          <w:tcPr>
            <w:tcW w:w="262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Collateral Description</w:t>
            </w:r>
          </w:p>
        </w:tc>
      </w:tr>
      <w:tr>
        <w:trPr/>
        <w:tc>
          <w:tcPr>
            <w:tcW w:w="1508" w:type="dxa"/>
            <w:tcBorders/>
          </w:tcPr>
          <w:p>
            <w:pPr>
              <w:pStyle w:val="TableContents"/>
              <w:bidi w:val="0"/>
              <w:spacing w:before="0" w:after="0"/>
              <w:jc w:val="center"/>
              <w:rPr>
                <w:rFonts w:ascii="Times New Roman" w:hAnsi="Times New Roman"/>
                <w:sz w:val="20"/>
              </w:rPr>
            </w:pPr>
            <w:r>
              <w:rPr>
                <w:rFonts w:ascii="Times New Roman" w:hAnsi="Times New Roman"/>
                <w:sz w:val="20"/>
              </w:rPr>
              <w:t>Cerenome,</w:t>
            </w:r>
          </w:p>
          <w:p>
            <w:pPr>
              <w:pStyle w:val="TableContents"/>
              <w:bidi w:val="0"/>
              <w:spacing w:before="0" w:after="0"/>
              <w:jc w:val="center"/>
              <w:rPr>
                <w:rFonts w:ascii="Times New Roman" w:hAnsi="Times New Roman"/>
                <w:sz w:val="20"/>
              </w:rPr>
            </w:pPr>
            <w:r>
              <w:rPr>
                <w:rFonts w:ascii="Times New Roman" w:hAnsi="Times New Roman"/>
                <w:sz w:val="20"/>
              </w:rPr>
              <w:t>Inc. f/k/a</w:t>
            </w:r>
          </w:p>
          <w:p>
            <w:pPr>
              <w:pStyle w:val="TableContents"/>
              <w:bidi w:val="0"/>
              <w:spacing w:before="0" w:after="0"/>
              <w:jc w:val="center"/>
              <w:rPr>
                <w:rFonts w:ascii="Times New Roman" w:hAnsi="Times New Roman"/>
                <w:sz w:val="20"/>
              </w:rPr>
            </w:pPr>
            <w:r>
              <w:rPr>
                <w:rFonts w:ascii="Times New Roman" w:hAnsi="Times New Roman"/>
                <w:sz w:val="20"/>
              </w:rPr>
              <w:t>Plus</w:t>
            </w:r>
          </w:p>
          <w:p>
            <w:pPr>
              <w:pStyle w:val="TableContents"/>
              <w:bidi w:val="0"/>
              <w:spacing w:before="0" w:after="20"/>
              <w:jc w:val="center"/>
              <w:rPr>
                <w:rFonts w:ascii="Times New Roman" w:hAnsi="Times New Roman"/>
                <w:sz w:val="20"/>
              </w:rPr>
            </w:pPr>
            <w:r>
              <w:rPr>
                <w:rFonts w:ascii="Times New Roman" w:hAnsi="Times New Roman"/>
                <w:sz w:val="20"/>
              </w:rPr>
              <w:t>Therapeutics, Inc.</w:t>
            </w:r>
          </w:p>
        </w:tc>
        <w:tc>
          <w:tcPr>
            <w:tcW w:w="101" w:type="dxa"/>
            <w:tcBorders/>
            <w:vAlign w:val="bottom"/>
          </w:tcPr>
          <w:p>
            <w:pPr>
              <w:pStyle w:val="TableContents"/>
              <w:bidi w:val="0"/>
              <w:spacing w:before="0" w:after="283"/>
              <w:jc w:val="left"/>
              <w:rPr/>
            </w:pPr>
            <w:r>
              <w:rPr/>
              <w:t> </w:t>
            </w:r>
          </w:p>
        </w:tc>
        <w:tc>
          <w:tcPr>
            <w:tcW w:w="1401" w:type="dxa"/>
            <w:tcBorders/>
          </w:tcPr>
          <w:p>
            <w:pPr>
              <w:pStyle w:val="TableContents"/>
              <w:bidi w:val="0"/>
              <w:spacing w:before="0" w:after="0"/>
              <w:jc w:val="center"/>
              <w:rPr>
                <w:rFonts w:ascii="Times New Roman" w:hAnsi="Times New Roman"/>
                <w:sz w:val="20"/>
              </w:rPr>
            </w:pPr>
            <w:r>
              <w:rPr>
                <w:rFonts w:ascii="Times New Roman" w:hAnsi="Times New Roman"/>
                <w:sz w:val="20"/>
              </w:rPr>
              <w:t>DE Lage</w:t>
            </w:r>
          </w:p>
          <w:p>
            <w:pPr>
              <w:pStyle w:val="TableContents"/>
              <w:bidi w:val="0"/>
              <w:spacing w:before="0" w:after="0"/>
              <w:jc w:val="center"/>
              <w:rPr>
                <w:rFonts w:ascii="Times New Roman" w:hAnsi="Times New Roman"/>
                <w:sz w:val="20"/>
              </w:rPr>
            </w:pPr>
            <w:r>
              <w:rPr>
                <w:rFonts w:ascii="Times New Roman" w:hAnsi="Times New Roman"/>
                <w:sz w:val="20"/>
              </w:rPr>
              <w:t>Landen</w:t>
            </w:r>
          </w:p>
          <w:p>
            <w:pPr>
              <w:pStyle w:val="TableContents"/>
              <w:bidi w:val="0"/>
              <w:spacing w:before="0" w:after="0"/>
              <w:jc w:val="center"/>
              <w:rPr>
                <w:rFonts w:ascii="Times New Roman" w:hAnsi="Times New Roman"/>
                <w:sz w:val="20"/>
              </w:rPr>
            </w:pPr>
            <w:r>
              <w:rPr>
                <w:rFonts w:ascii="Times New Roman" w:hAnsi="Times New Roman"/>
                <w:sz w:val="20"/>
              </w:rPr>
              <w:t>Financial</w:t>
            </w:r>
          </w:p>
          <w:p>
            <w:pPr>
              <w:pStyle w:val="TableContents"/>
              <w:bidi w:val="0"/>
              <w:spacing w:before="0" w:after="20"/>
              <w:jc w:val="center"/>
              <w:rPr>
                <w:rFonts w:ascii="Times New Roman" w:hAnsi="Times New Roman"/>
                <w:sz w:val="20"/>
              </w:rPr>
            </w:pPr>
            <w:r>
              <w:rPr>
                <w:rFonts w:ascii="Times New Roman" w:hAnsi="Times New Roman"/>
                <w:sz w:val="20"/>
              </w:rPr>
              <w:t>Services, Inc.</w:t>
            </w:r>
          </w:p>
        </w:tc>
        <w:tc>
          <w:tcPr>
            <w:tcW w:w="101" w:type="dxa"/>
            <w:tcBorders/>
            <w:vAlign w:val="bottom"/>
          </w:tcPr>
          <w:p>
            <w:pPr>
              <w:pStyle w:val="TableContents"/>
              <w:bidi w:val="0"/>
              <w:spacing w:before="0" w:after="283"/>
              <w:jc w:val="left"/>
              <w:rPr/>
            </w:pPr>
            <w:r>
              <w:rPr/>
              <w:t> </w:t>
            </w:r>
          </w:p>
        </w:tc>
        <w:tc>
          <w:tcPr>
            <w:tcW w:w="1397" w:type="dxa"/>
            <w:tcBorders/>
          </w:tcPr>
          <w:p>
            <w:pPr>
              <w:pStyle w:val="TableContents"/>
              <w:bidi w:val="0"/>
              <w:spacing w:before="0" w:after="0"/>
              <w:jc w:val="center"/>
              <w:rPr>
                <w:rFonts w:ascii="Times New Roman" w:hAnsi="Times New Roman"/>
                <w:sz w:val="20"/>
              </w:rPr>
            </w:pPr>
            <w:r>
              <w:rPr>
                <w:rFonts w:ascii="Times New Roman" w:hAnsi="Times New Roman"/>
                <w:sz w:val="20"/>
              </w:rPr>
              <w:t>Delaware Secretary</w:t>
            </w:r>
          </w:p>
          <w:p>
            <w:pPr>
              <w:pStyle w:val="TableContents"/>
              <w:bidi w:val="0"/>
              <w:spacing w:before="0" w:after="20"/>
              <w:jc w:val="center"/>
              <w:rPr>
                <w:rFonts w:ascii="Times New Roman" w:hAnsi="Times New Roman"/>
                <w:sz w:val="20"/>
              </w:rPr>
            </w:pPr>
            <w:r>
              <w:rPr>
                <w:rFonts w:ascii="Times New Roman" w:hAnsi="Times New Roman"/>
                <w:sz w:val="20"/>
              </w:rPr>
              <w:t>of State</w:t>
            </w:r>
          </w:p>
        </w:tc>
        <w:tc>
          <w:tcPr>
            <w:tcW w:w="101" w:type="dxa"/>
            <w:tcBorders/>
            <w:vAlign w:val="bottom"/>
          </w:tcPr>
          <w:p>
            <w:pPr>
              <w:pStyle w:val="TableContents"/>
              <w:bidi w:val="0"/>
              <w:spacing w:before="0" w:after="283"/>
              <w:jc w:val="left"/>
              <w:rPr/>
            </w:pPr>
            <w:r>
              <w:rPr/>
              <w:t> </w:t>
            </w:r>
          </w:p>
        </w:tc>
        <w:tc>
          <w:tcPr>
            <w:tcW w:w="1392" w:type="dxa"/>
            <w:tcBorders/>
          </w:tcPr>
          <w:p>
            <w:pPr>
              <w:pStyle w:val="TableContents"/>
              <w:bidi w:val="0"/>
              <w:spacing w:before="0" w:after="0"/>
              <w:jc w:val="center"/>
              <w:rPr>
                <w:rFonts w:ascii="Times New Roman" w:hAnsi="Times New Roman"/>
                <w:sz w:val="20"/>
              </w:rPr>
            </w:pPr>
            <w:r>
              <w:rPr>
                <w:rFonts w:ascii="Times New Roman" w:hAnsi="Times New Roman"/>
                <w:sz w:val="20"/>
              </w:rPr>
              <w:t>2025</w:t>
            </w:r>
          </w:p>
          <w:p>
            <w:pPr>
              <w:pStyle w:val="TableContents"/>
              <w:bidi w:val="0"/>
              <w:spacing w:before="0" w:after="20"/>
              <w:jc w:val="center"/>
              <w:rPr>
                <w:rFonts w:ascii="Times New Roman" w:hAnsi="Times New Roman"/>
                <w:sz w:val="20"/>
              </w:rPr>
            </w:pPr>
            <w:r>
              <w:rPr>
                <w:rFonts w:ascii="Times New Roman" w:hAnsi="Times New Roman"/>
                <w:sz w:val="20"/>
              </w:rPr>
              <w:t>9783041</w:t>
            </w:r>
          </w:p>
        </w:tc>
        <w:tc>
          <w:tcPr>
            <w:tcW w:w="120" w:type="dxa"/>
            <w:tcBorders/>
            <w:vAlign w:val="bottom"/>
          </w:tcPr>
          <w:p>
            <w:pPr>
              <w:pStyle w:val="TableContents"/>
              <w:bidi w:val="0"/>
              <w:spacing w:before="0" w:after="283"/>
              <w:jc w:val="left"/>
              <w:rPr/>
            </w:pPr>
            <w:r>
              <w:rPr/>
              <w:t>  </w:t>
            </w:r>
          </w:p>
        </w:tc>
        <w:tc>
          <w:tcPr>
            <w:tcW w:w="1335" w:type="dxa"/>
            <w:tcBorders/>
          </w:tcPr>
          <w:p>
            <w:pPr>
              <w:pStyle w:val="TableContents"/>
              <w:bidi w:val="0"/>
              <w:spacing w:before="0" w:after="0"/>
              <w:jc w:val="center"/>
              <w:rPr>
                <w:rFonts w:ascii="Times New Roman" w:hAnsi="Times New Roman"/>
                <w:sz w:val="20"/>
              </w:rPr>
            </w:pPr>
            <w:r>
              <w:rPr>
                <w:rFonts w:ascii="Times New Roman" w:hAnsi="Times New Roman"/>
                <w:sz w:val="20"/>
              </w:rPr>
              <w:t>December</w:t>
            </w:r>
          </w:p>
          <w:p>
            <w:pPr>
              <w:pStyle w:val="TableContents"/>
              <w:bidi w:val="0"/>
              <w:spacing w:before="0" w:after="20"/>
              <w:jc w:val="center"/>
              <w:rPr>
                <w:rFonts w:ascii="Times New Roman" w:hAnsi="Times New Roman"/>
                <w:sz w:val="20"/>
              </w:rPr>
            </w:pPr>
            <w:r>
              <w:rPr>
                <w:rFonts w:ascii="Times New Roman" w:hAnsi="Times New Roman"/>
                <w:sz w:val="20"/>
              </w:rPr>
              <w:t>22, 2025</w:t>
            </w:r>
          </w:p>
        </w:tc>
        <w:tc>
          <w:tcPr>
            <w:tcW w:w="120" w:type="dxa"/>
            <w:tcBorders/>
            <w:vAlign w:val="bottom"/>
          </w:tcPr>
          <w:p>
            <w:pPr>
              <w:pStyle w:val="TableContents"/>
              <w:bidi w:val="0"/>
              <w:spacing w:before="0" w:after="283"/>
              <w:jc w:val="left"/>
              <w:rPr/>
            </w:pPr>
            <w:r>
              <w:rPr/>
              <w:t>  </w:t>
            </w:r>
          </w:p>
        </w:tc>
        <w:tc>
          <w:tcPr>
            <w:tcW w:w="2629" w:type="dxa"/>
            <w:tcBorders/>
          </w:tcPr>
          <w:p>
            <w:pPr>
              <w:pStyle w:val="TableContents"/>
              <w:bidi w:val="0"/>
              <w:spacing w:before="0" w:after="283"/>
              <w:jc w:val="center"/>
              <w:rPr/>
            </w:pPr>
            <w:r>
              <w:rPr/>
              <w:t>All equipment of any make or manufacture financed by or leased to Debtor by Secured Party under Contract Number 500-50817877, together with all components, additions, upgrades, attachments, accessions, substitutions, replacements and proceeds of the foregoing.</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Post-Closing Matters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Insurance Endorsements.</w:t>
      </w:r>
      <w:r>
        <w:rPr>
          <w:rFonts w:ascii="Times New Roman" w:hAnsi="Times New Roman"/>
          <w:sz w:val="20"/>
        </w:rPr>
        <w:t xml:space="preserve"> No later than twenty (20) days after the Initial Closing Date, the Grantors shall deliver to the Collateral Agent insurance endorsements naming the Collateral Agent as additional insured and/or loss payable, as applicable, in form and substance reasonably satisfactory to the Collateral Agent, in accordance with Section 6(e) of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Controlled Account Agreements.</w:t>
      </w:r>
      <w:r>
        <w:rPr>
          <w:rFonts w:ascii="Times New Roman" w:hAnsi="Times New Roman"/>
          <w:sz w:val="20"/>
        </w:rPr>
        <w:t xml:space="preserve"> No later than thirty (30) days after the Initial Closing Date, each Grantor shall cause each Controlled Account Bank to execute and deliver to the Collateral Agent a Controlled Account Agreement with respect to each Controlled Account, in form and substance satisfactory to the Collateral Agent, in accordance with Section 6(i)(A) of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Assignments and Name Change Notices to be Recorded.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a name change notice with the applicable Intellectual Property offices (USPTO in the US) with respect to the following patents updating the record owner name from Plus Therapeutics, Inc.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
        <w:gridCol w:w="122"/>
        <w:gridCol w:w="2403"/>
        <w:gridCol w:w="70"/>
        <w:gridCol w:w="819"/>
        <w:gridCol w:w="70"/>
        <w:gridCol w:w="1275"/>
        <w:gridCol w:w="70"/>
        <w:gridCol w:w="1717"/>
        <w:gridCol w:w="70"/>
        <w:gridCol w:w="1288"/>
        <w:gridCol w:w="70"/>
        <w:gridCol w:w="2092"/>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139" w:type="dxa"/>
            <w:tcBorders>
              <w:bottom w:val="single" w:sz="8" w:space="0" w:color="000000"/>
            </w:tcBorders>
            <w:tcMar>
              <w:bottom w:w="28" w:type="dxa"/>
            </w:tcMar>
            <w:vAlign w:val="bottom"/>
          </w:tcPr>
          <w:p>
            <w:pPr>
              <w:pStyle w:val="TableContents"/>
              <w:bidi w:val="0"/>
              <w:spacing w:before="0" w:after="283"/>
              <w:jc w:val="left"/>
              <w:rPr>
                <w:b/>
              </w:rPr>
            </w:pPr>
            <w:r>
              <w:rPr>
                <w:b/>
              </w:rPr>
              <w:t>#</w:t>
            </w:r>
          </w:p>
        </w:tc>
        <w:tc>
          <w:tcPr>
            <w:tcW w:w="122" w:type="dxa"/>
            <w:tcBorders/>
            <w:vAlign w:val="bottom"/>
          </w:tcPr>
          <w:p>
            <w:pPr>
              <w:pStyle w:val="TableContents"/>
              <w:bidi w:val="0"/>
              <w:spacing w:before="0" w:after="283"/>
              <w:jc w:val="left"/>
              <w:rPr/>
            </w:pPr>
            <w:r>
              <w:rPr/>
              <w:t>  </w:t>
            </w:r>
          </w:p>
        </w:tc>
        <w:tc>
          <w:tcPr>
            <w:tcW w:w="24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70" w:type="dxa"/>
            <w:tcBorders/>
            <w:vAlign w:val="bottom"/>
          </w:tcPr>
          <w:p>
            <w:pPr>
              <w:pStyle w:val="TableContents"/>
              <w:bidi w:val="0"/>
              <w:spacing w:before="0" w:after="283"/>
              <w:jc w:val="left"/>
              <w:rPr/>
            </w:pPr>
            <w:r>
              <w:rPr/>
              <w:t> </w:t>
            </w:r>
          </w:p>
        </w:tc>
        <w:tc>
          <w:tcPr>
            <w:tcW w:w="819"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Patent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70" w:type="dxa"/>
            <w:tcBorders/>
            <w:vAlign w:val="bottom"/>
          </w:tcPr>
          <w:p>
            <w:pPr>
              <w:pStyle w:val="TableContents"/>
              <w:bidi w:val="0"/>
              <w:spacing w:before="0" w:after="283"/>
              <w:jc w:val="left"/>
              <w:rPr/>
            </w:pPr>
            <w:r>
              <w:rPr/>
              <w:t> </w:t>
            </w:r>
          </w:p>
        </w:tc>
        <w:tc>
          <w:tcPr>
            <w:tcW w:w="12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70" w:type="dxa"/>
            <w:tcBorders/>
            <w:vAlign w:val="bottom"/>
          </w:tcPr>
          <w:p>
            <w:pPr>
              <w:pStyle w:val="TableContents"/>
              <w:bidi w:val="0"/>
              <w:spacing w:before="0" w:after="283"/>
              <w:jc w:val="left"/>
              <w:rPr/>
            </w:pPr>
            <w:r>
              <w:rPr/>
              <w:t> </w:t>
            </w:r>
          </w:p>
        </w:tc>
        <w:tc>
          <w:tcPr>
            <w:tcW w:w="1717"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Application</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70" w:type="dxa"/>
            <w:tcBorders/>
            <w:vAlign w:val="bottom"/>
          </w:tcPr>
          <w:p>
            <w:pPr>
              <w:pStyle w:val="TableContents"/>
              <w:bidi w:val="0"/>
              <w:spacing w:before="0" w:after="283"/>
              <w:jc w:val="left"/>
              <w:rPr/>
            </w:pPr>
            <w:r>
              <w:rPr/>
              <w:t> </w:t>
            </w:r>
          </w:p>
        </w:tc>
        <w:tc>
          <w:tcPr>
            <w:tcW w:w="12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c>
          <w:tcPr>
            <w:tcW w:w="70" w:type="dxa"/>
            <w:tcBorders/>
            <w:vAlign w:val="bottom"/>
          </w:tcPr>
          <w:p>
            <w:pPr>
              <w:pStyle w:val="TableContents"/>
              <w:bidi w:val="0"/>
              <w:spacing w:before="0" w:after="283"/>
              <w:jc w:val="left"/>
              <w:rPr/>
            </w:pPr>
            <w:r>
              <w:rPr/>
              <w:t> </w:t>
            </w:r>
          </w:p>
        </w:tc>
        <w:tc>
          <w:tcPr>
            <w:tcW w:w="20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w:t>
            </w:r>
          </w:p>
        </w:tc>
      </w:tr>
      <w:tr>
        <w:trPr/>
        <w:tc>
          <w:tcPr>
            <w:tcW w:w="139" w:type="dxa"/>
            <w:tcBorders/>
          </w:tcPr>
          <w:p>
            <w:pPr>
              <w:pStyle w:val="TableContents"/>
              <w:bidi w:val="0"/>
              <w:spacing w:before="0" w:after="283"/>
              <w:jc w:val="left"/>
              <w:rPr/>
            </w:pPr>
            <w:r>
              <w:rPr/>
              <w:t>1.</w:t>
            </w:r>
          </w:p>
        </w:tc>
        <w:tc>
          <w:tcPr>
            <w:tcW w:w="122" w:type="dxa"/>
            <w:tcBorders/>
            <w:vAlign w:val="bottom"/>
          </w:tcPr>
          <w:p>
            <w:pPr>
              <w:pStyle w:val="TableContents"/>
              <w:bidi w:val="0"/>
              <w:spacing w:before="0" w:after="283"/>
              <w:jc w:val="left"/>
              <w:rPr/>
            </w:pPr>
            <w:r>
              <w:rPr/>
              <w:t>  </w:t>
            </w:r>
          </w:p>
        </w:tc>
        <w:tc>
          <w:tcPr>
            <w:tcW w:w="2403" w:type="dxa"/>
            <w:tcBorders/>
          </w:tcPr>
          <w:p>
            <w:pPr>
              <w:pStyle w:val="TableContents"/>
              <w:bidi w:val="0"/>
              <w:spacing w:before="0" w:after="283"/>
              <w:jc w:val="left"/>
              <w:rPr/>
            </w:pPr>
            <w:r>
              <w:rPr/>
              <w:t>RADIOLABELED LIPOSOMES AND METHODS OF USE FOR TREATING LEPTOMENINGEAL METASTASES</w:t>
            </w:r>
          </w:p>
        </w:tc>
        <w:tc>
          <w:tcPr>
            <w:tcW w:w="70"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i/>
              </w:rPr>
            </w:pPr>
            <w:r>
              <w:rPr>
                <w:i/>
              </w:rPr>
              <w:t>Pending</w:t>
            </w:r>
          </w:p>
        </w:tc>
        <w:tc>
          <w:tcPr>
            <w:tcW w:w="70" w:type="dxa"/>
            <w:tcBorders/>
            <w:vAlign w:val="bottom"/>
          </w:tcPr>
          <w:p>
            <w:pPr>
              <w:pStyle w:val="TableContents"/>
              <w:bidi w:val="0"/>
              <w:spacing w:before="0" w:after="283"/>
              <w:jc w:val="left"/>
              <w:rPr/>
            </w:pPr>
            <w:r>
              <w:rPr/>
              <w:t> </w:t>
            </w:r>
          </w:p>
        </w:tc>
        <w:tc>
          <w:tcPr>
            <w:tcW w:w="1275" w:type="dxa"/>
            <w:tcBorders/>
          </w:tcPr>
          <w:p>
            <w:pPr>
              <w:pStyle w:val="TableContents"/>
              <w:bidi w:val="0"/>
              <w:spacing w:before="0" w:after="283"/>
              <w:jc w:val="left"/>
              <w:rPr/>
            </w:pPr>
            <w:r>
              <w:rPr/>
              <w:t>20260709</w:t>
            </w:r>
          </w:p>
        </w:tc>
        <w:tc>
          <w:tcPr>
            <w:tcW w:w="70" w:type="dxa"/>
            <w:tcBorders/>
            <w:vAlign w:val="bottom"/>
          </w:tcPr>
          <w:p>
            <w:pPr>
              <w:pStyle w:val="TableContents"/>
              <w:bidi w:val="0"/>
              <w:spacing w:before="0" w:after="283"/>
              <w:jc w:val="left"/>
              <w:rPr/>
            </w:pPr>
            <w:r>
              <w:rPr/>
              <w:t> </w:t>
            </w:r>
          </w:p>
        </w:tc>
        <w:tc>
          <w:tcPr>
            <w:tcW w:w="1717" w:type="dxa"/>
            <w:tcBorders/>
          </w:tcPr>
          <w:p>
            <w:pPr>
              <w:pStyle w:val="TableContents"/>
              <w:bidi w:val="0"/>
              <w:spacing w:before="0" w:after="283"/>
              <w:jc w:val="left"/>
              <w:rPr/>
            </w:pPr>
            <w:r>
              <w:rPr/>
              <w:t>AU20230212044</w:t>
            </w:r>
          </w:p>
        </w:tc>
        <w:tc>
          <w:tcPr>
            <w:tcW w:w="70"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left"/>
              <w:rPr/>
            </w:pPr>
            <w:r>
              <w:rPr/>
              <w:t>20230125</w:t>
            </w:r>
          </w:p>
        </w:tc>
        <w:tc>
          <w:tcPr>
            <w:tcW w:w="70"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left"/>
              <w:rPr/>
            </w:pPr>
            <w:r>
              <w:rPr/>
              <w:t>PLUS THERAPEUTICS INC</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889" w:type="dxa"/>
            <w:gridSpan w:val="2"/>
            <w:tcBorders/>
            <w:vAlign w:val="center"/>
          </w:tcPr>
          <w:p>
            <w:pPr>
              <w:pStyle w:val="TableContents"/>
              <w:bidi w:val="0"/>
              <w:spacing w:before="0" w:after="283"/>
              <w:jc w:val="left"/>
              <w:rPr>
                <w:sz w:val="4"/>
                <w:szCs w:val="4"/>
              </w:rPr>
            </w:pPr>
            <w:r>
              <w:rPr>
                <w:sz w:val="4"/>
                <w:szCs w:val="4"/>
              </w:rPr>
            </w:r>
          </w:p>
        </w:tc>
        <w:tc>
          <w:tcPr>
            <w:tcW w:w="1345"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1358" w:type="dxa"/>
            <w:gridSpan w:val="2"/>
            <w:tcBorders/>
            <w:vAlign w:val="center"/>
          </w:tcPr>
          <w:p>
            <w:pPr>
              <w:pStyle w:val="TableContents"/>
              <w:bidi w:val="0"/>
              <w:spacing w:before="0" w:after="283"/>
              <w:jc w:val="left"/>
              <w:rPr>
                <w:sz w:val="4"/>
                <w:szCs w:val="4"/>
              </w:rPr>
            </w:pPr>
            <w:r>
              <w:rPr>
                <w:sz w:val="4"/>
                <w:szCs w:val="4"/>
              </w:rPr>
            </w:r>
          </w:p>
        </w:tc>
        <w:tc>
          <w:tcPr>
            <w:tcW w:w="2162"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2.</w:t>
            </w:r>
          </w:p>
        </w:tc>
        <w:tc>
          <w:tcPr>
            <w:tcW w:w="122" w:type="dxa"/>
            <w:tcBorders/>
            <w:vAlign w:val="bottom"/>
          </w:tcPr>
          <w:p>
            <w:pPr>
              <w:pStyle w:val="TableContents"/>
              <w:bidi w:val="0"/>
              <w:spacing w:before="0" w:after="283"/>
              <w:jc w:val="left"/>
              <w:rPr/>
            </w:pPr>
            <w:r>
              <w:rPr/>
              <w:t>  </w:t>
            </w:r>
          </w:p>
        </w:tc>
        <w:tc>
          <w:tcPr>
            <w:tcW w:w="2403" w:type="dxa"/>
            <w:tcBorders/>
          </w:tcPr>
          <w:p>
            <w:pPr>
              <w:pStyle w:val="TableContents"/>
              <w:bidi w:val="0"/>
              <w:spacing w:before="0" w:after="283"/>
              <w:jc w:val="left"/>
              <w:rPr/>
            </w:pPr>
            <w:r>
              <w:rPr/>
              <w:t>RADIOLABELED LIPOSOMES AND METHODS OF USE FOR TREATING LEPTOMENINGEAL METASTASES</w:t>
            </w:r>
          </w:p>
        </w:tc>
        <w:tc>
          <w:tcPr>
            <w:tcW w:w="70" w:type="dxa"/>
            <w:tcBorders/>
            <w:vAlign w:val="bottom"/>
          </w:tcPr>
          <w:p>
            <w:pPr>
              <w:pStyle w:val="TableContents"/>
              <w:bidi w:val="0"/>
              <w:spacing w:before="0" w:after="283"/>
              <w:jc w:val="left"/>
              <w:rPr/>
            </w:pPr>
            <w:r>
              <w:rPr/>
              <w:t> </w:t>
            </w:r>
          </w:p>
        </w:tc>
        <w:tc>
          <w:tcPr>
            <w:tcW w:w="819" w:type="dxa"/>
            <w:tcBorders/>
          </w:tcPr>
          <w:p>
            <w:pPr>
              <w:pStyle w:val="TableContents"/>
              <w:bidi w:val="0"/>
              <w:spacing w:before="0" w:after="283"/>
              <w:jc w:val="left"/>
              <w:rPr>
                <w:i/>
              </w:rPr>
            </w:pPr>
            <w:r>
              <w:rPr>
                <w:i/>
              </w:rPr>
              <w:t>Pending</w:t>
            </w:r>
          </w:p>
        </w:tc>
        <w:tc>
          <w:tcPr>
            <w:tcW w:w="70" w:type="dxa"/>
            <w:tcBorders/>
            <w:vAlign w:val="bottom"/>
          </w:tcPr>
          <w:p>
            <w:pPr>
              <w:pStyle w:val="TableContents"/>
              <w:bidi w:val="0"/>
              <w:spacing w:before="0" w:after="283"/>
              <w:jc w:val="left"/>
              <w:rPr/>
            </w:pPr>
            <w:r>
              <w:rPr/>
              <w:t> </w:t>
            </w:r>
          </w:p>
        </w:tc>
        <w:tc>
          <w:tcPr>
            <w:tcW w:w="1275" w:type="dxa"/>
            <w:tcBorders/>
          </w:tcPr>
          <w:p>
            <w:pPr>
              <w:pStyle w:val="TableContents"/>
              <w:bidi w:val="0"/>
              <w:spacing w:before="0" w:after="283"/>
              <w:jc w:val="left"/>
              <w:rPr/>
            </w:pPr>
            <w:r>
              <w:rPr/>
              <w:t>20260723</w:t>
            </w:r>
          </w:p>
        </w:tc>
        <w:tc>
          <w:tcPr>
            <w:tcW w:w="70" w:type="dxa"/>
            <w:tcBorders/>
            <w:vAlign w:val="bottom"/>
          </w:tcPr>
          <w:p>
            <w:pPr>
              <w:pStyle w:val="TableContents"/>
              <w:bidi w:val="0"/>
              <w:spacing w:before="0" w:after="283"/>
              <w:jc w:val="left"/>
              <w:rPr/>
            </w:pPr>
            <w:r>
              <w:rPr/>
              <w:t> </w:t>
            </w:r>
          </w:p>
        </w:tc>
        <w:tc>
          <w:tcPr>
            <w:tcW w:w="1717" w:type="dxa"/>
            <w:tcBorders/>
          </w:tcPr>
          <w:p>
            <w:pPr>
              <w:pStyle w:val="TableContents"/>
              <w:bidi w:val="0"/>
              <w:spacing w:before="0" w:after="283"/>
              <w:jc w:val="left"/>
              <w:rPr/>
            </w:pPr>
            <w:r>
              <w:rPr/>
              <w:t>AU20260205150</w:t>
            </w:r>
          </w:p>
        </w:tc>
        <w:tc>
          <w:tcPr>
            <w:tcW w:w="70"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left"/>
              <w:rPr/>
            </w:pPr>
            <w:r>
              <w:rPr/>
              <w:t>20260630</w:t>
            </w:r>
          </w:p>
        </w:tc>
        <w:tc>
          <w:tcPr>
            <w:tcW w:w="70"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10490" w:type="dxa"/>
        <w:jc w:val="center"/>
        <w:tblInd w:w="0" w:type="dxa"/>
        <w:tblLayout w:type="fixed"/>
        <w:tblCellMar>
          <w:top w:w="0" w:type="dxa"/>
          <w:left w:w="0" w:type="dxa"/>
          <w:bottom w:w="0" w:type="dxa"/>
          <w:right w:w="0" w:type="dxa"/>
        </w:tblCellMar>
      </w:tblPr>
      <w:tblGrid>
        <w:gridCol w:w="140"/>
        <w:gridCol w:w="120"/>
        <w:gridCol w:w="2240"/>
        <w:gridCol w:w="60"/>
        <w:gridCol w:w="1580"/>
        <w:gridCol w:w="60"/>
        <w:gridCol w:w="1235"/>
        <w:gridCol w:w="60"/>
        <w:gridCol w:w="1790"/>
        <w:gridCol w:w="60"/>
        <w:gridCol w:w="1250"/>
        <w:gridCol w:w="60"/>
        <w:gridCol w:w="1835"/>
      </w:tblGrid>
      <w:tr>
        <w:trPr/>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140" w:type="dxa"/>
            <w:tcBorders>
              <w:bottom w:val="single" w:sz="8" w:space="0" w:color="000000"/>
            </w:tcBorders>
            <w:tcMar>
              <w:bottom w:w="28" w:type="dxa"/>
            </w:tcMar>
            <w:vAlign w:val="bottom"/>
          </w:tcPr>
          <w:p>
            <w:pPr>
              <w:pStyle w:val="TableContents"/>
              <w:bidi w:val="0"/>
              <w:spacing w:before="0" w:after="283"/>
              <w:jc w:val="left"/>
              <w:rPr>
                <w:b/>
              </w:rPr>
            </w:pPr>
            <w:r>
              <w:rPr>
                <w:b/>
              </w:rPr>
              <w:t>#</w:t>
            </w:r>
          </w:p>
        </w:tc>
        <w:tc>
          <w:tcPr>
            <w:tcW w:w="120" w:type="dxa"/>
            <w:tcBorders/>
            <w:vAlign w:val="bottom"/>
          </w:tcPr>
          <w:p>
            <w:pPr>
              <w:pStyle w:val="TableContents"/>
              <w:bidi w:val="0"/>
              <w:spacing w:before="0" w:after="283"/>
              <w:jc w:val="left"/>
              <w:rPr/>
            </w:pPr>
            <w:r>
              <w:rPr/>
              <w:t>  </w:t>
            </w:r>
          </w:p>
        </w:tc>
        <w:tc>
          <w:tcPr>
            <w:tcW w:w="224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60" w:type="dxa"/>
            <w:tcBorders/>
            <w:vAlign w:val="bottom"/>
          </w:tcPr>
          <w:p>
            <w:pPr>
              <w:pStyle w:val="TableContents"/>
              <w:bidi w:val="0"/>
              <w:spacing w:before="0" w:after="283"/>
              <w:jc w:val="left"/>
              <w:rPr/>
            </w:pPr>
            <w:r>
              <w:rPr/>
              <w:t> </w:t>
            </w:r>
          </w:p>
        </w:tc>
        <w:tc>
          <w:tcPr>
            <w:tcW w:w="158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Patent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60" w:type="dxa"/>
            <w:tcBorders/>
            <w:vAlign w:val="bottom"/>
          </w:tcPr>
          <w:p>
            <w:pPr>
              <w:pStyle w:val="TableContents"/>
              <w:bidi w:val="0"/>
              <w:spacing w:before="0" w:after="283"/>
              <w:jc w:val="left"/>
              <w:rPr/>
            </w:pPr>
            <w:r>
              <w:rPr/>
              <w:t> </w:t>
            </w:r>
          </w:p>
        </w:tc>
        <w:tc>
          <w:tcPr>
            <w:tcW w:w="179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Application</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5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c>
          <w:tcPr>
            <w:tcW w:w="60"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w:t>
            </w:r>
          </w:p>
        </w:tc>
      </w:tr>
      <w:tr>
        <w:trPr/>
        <w:tc>
          <w:tcPr>
            <w:tcW w:w="140"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RADIOLABELED LIPOSOMES AND METHODS OF USE FOR TREATING LEPTOMENINGEAL METASTASES</w:t>
            </w:r>
          </w:p>
        </w:tc>
        <w:tc>
          <w:tcPr>
            <w:tcW w:w="6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20241105</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BR202411015200</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20230125</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RADIOLABELED LIPOSOMES AND METHODS OF USE FOR TREATING LEPTOMENINGEAL METASTASES</w:t>
            </w:r>
          </w:p>
        </w:tc>
        <w:tc>
          <w:tcPr>
            <w:tcW w:w="6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20250130</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ID2024P0008220</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20230125</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5.</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RADIOLABELED LIPOSOMES AND METHODS OF USE FOR TREATING LEPTOMENINGEAL METASTASES</w:t>
            </w:r>
          </w:p>
        </w:tc>
        <w:tc>
          <w:tcPr>
            <w:tcW w:w="6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20250410</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JP20240566187T</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20230125</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DEVICES AND METHODS OF CELL CAPTURE AND ANALYSIS</w:t>
            </w:r>
          </w:p>
        </w:tc>
        <w:tc>
          <w:tcPr>
            <w:tcW w:w="6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left"/>
              <w:rPr/>
            </w:pPr>
            <w:r>
              <w:rPr/>
              <w:t>AU2010229924</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20160721</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AU20100229924</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20100324</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14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7.</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DEVICES AND METHODS OF CELL CAPTURE AND ANALYSIS</w:t>
            </w:r>
          </w:p>
        </w:tc>
        <w:tc>
          <w:tcPr>
            <w:tcW w:w="60" w:type="dxa"/>
            <w:tcBorders/>
            <w:vAlign w:val="bottom"/>
          </w:tcPr>
          <w:p>
            <w:pPr>
              <w:pStyle w:val="TableContents"/>
              <w:bidi w:val="0"/>
              <w:spacing w:before="0" w:after="283"/>
              <w:jc w:val="left"/>
              <w:rPr/>
            </w:pPr>
            <w:r>
              <w:rPr/>
              <w:t> </w:t>
            </w:r>
          </w:p>
        </w:tc>
        <w:tc>
          <w:tcPr>
            <w:tcW w:w="1580" w:type="dxa"/>
            <w:tcBorders/>
          </w:tcPr>
          <w:p>
            <w:pPr>
              <w:pStyle w:val="TableContents"/>
              <w:bidi w:val="0"/>
              <w:spacing w:before="0" w:after="283"/>
              <w:jc w:val="left"/>
              <w:rPr/>
            </w:pPr>
            <w:r>
              <w:rPr/>
              <w:t>AU2016222325</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20170914</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AU20160222325</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20160830</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1"/>
        <w:gridCol w:w="123"/>
        <w:gridCol w:w="1623"/>
        <w:gridCol w:w="76"/>
        <w:gridCol w:w="1220"/>
        <w:gridCol w:w="76"/>
        <w:gridCol w:w="1292"/>
        <w:gridCol w:w="76"/>
        <w:gridCol w:w="1814"/>
        <w:gridCol w:w="76"/>
        <w:gridCol w:w="1304"/>
        <w:gridCol w:w="76"/>
        <w:gridCol w:w="2188"/>
      </w:tblGrid>
      <w:tr>
        <w:trPr/>
        <w:tc>
          <w:tcPr>
            <w:tcW w:w="2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261" w:type="dxa"/>
            <w:tcBorders>
              <w:bottom w:val="single" w:sz="8" w:space="0" w:color="000000"/>
            </w:tcBorders>
            <w:tcMar>
              <w:bottom w:w="28" w:type="dxa"/>
            </w:tcMar>
            <w:vAlign w:val="bottom"/>
          </w:tcPr>
          <w:p>
            <w:pPr>
              <w:pStyle w:val="TableContents"/>
              <w:bidi w:val="0"/>
              <w:spacing w:before="0" w:after="283"/>
              <w:jc w:val="left"/>
              <w:rPr>
                <w:b/>
              </w:rPr>
            </w:pPr>
            <w:r>
              <w:rPr>
                <w:b/>
              </w:rPr>
              <w:t>#</w:t>
            </w:r>
          </w:p>
        </w:tc>
        <w:tc>
          <w:tcPr>
            <w:tcW w:w="123" w:type="dxa"/>
            <w:tcBorders/>
            <w:vAlign w:val="bottom"/>
          </w:tcPr>
          <w:p>
            <w:pPr>
              <w:pStyle w:val="TableContents"/>
              <w:bidi w:val="0"/>
              <w:spacing w:before="0" w:after="283"/>
              <w:jc w:val="left"/>
              <w:rPr/>
            </w:pPr>
            <w:r>
              <w:rPr/>
              <w:t>  </w:t>
            </w:r>
          </w:p>
        </w:tc>
        <w:tc>
          <w:tcPr>
            <w:tcW w:w="162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76"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Patent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76" w:type="dxa"/>
            <w:tcBorders/>
            <w:vAlign w:val="bottom"/>
          </w:tcPr>
          <w:p>
            <w:pPr>
              <w:pStyle w:val="TableContents"/>
              <w:bidi w:val="0"/>
              <w:spacing w:before="0" w:after="283"/>
              <w:jc w:val="left"/>
              <w:rPr/>
            </w:pPr>
            <w:r>
              <w:rPr/>
              <w:t> </w:t>
            </w:r>
          </w:p>
        </w:tc>
        <w:tc>
          <w:tcPr>
            <w:tcW w:w="12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76" w:type="dxa"/>
            <w:tcBorders/>
            <w:vAlign w:val="bottom"/>
          </w:tcPr>
          <w:p>
            <w:pPr>
              <w:pStyle w:val="TableContents"/>
              <w:bidi w:val="0"/>
              <w:spacing w:before="0" w:after="283"/>
              <w:jc w:val="left"/>
              <w:rPr/>
            </w:pPr>
            <w:r>
              <w:rPr/>
              <w:t> </w:t>
            </w:r>
          </w:p>
        </w:tc>
        <w:tc>
          <w:tcPr>
            <w:tcW w:w="1814"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Application</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76" w:type="dxa"/>
            <w:tcBorders/>
            <w:vAlign w:val="bottom"/>
          </w:tcPr>
          <w:p>
            <w:pPr>
              <w:pStyle w:val="TableContents"/>
              <w:bidi w:val="0"/>
              <w:spacing w:before="0" w:after="283"/>
              <w:jc w:val="left"/>
              <w:rPr/>
            </w:pPr>
            <w:r>
              <w:rPr/>
              <w:t> </w:t>
            </w:r>
          </w:p>
        </w:tc>
        <w:tc>
          <w:tcPr>
            <w:tcW w:w="13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c>
          <w:tcPr>
            <w:tcW w:w="76" w:type="dxa"/>
            <w:tcBorders/>
            <w:vAlign w:val="bottom"/>
          </w:tcPr>
          <w:p>
            <w:pPr>
              <w:pStyle w:val="TableContents"/>
              <w:bidi w:val="0"/>
              <w:spacing w:before="0" w:after="283"/>
              <w:jc w:val="left"/>
              <w:rPr/>
            </w:pPr>
            <w:r>
              <w:rPr/>
              <w:t> </w:t>
            </w:r>
          </w:p>
        </w:tc>
        <w:tc>
          <w:tcPr>
            <w:tcW w:w="21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w:t>
            </w:r>
          </w:p>
        </w:tc>
      </w:tr>
      <w:tr>
        <w:trPr/>
        <w:tc>
          <w:tcPr>
            <w:tcW w:w="261" w:type="dxa"/>
            <w:tcBorders/>
          </w:tcPr>
          <w:p>
            <w:pPr>
              <w:pStyle w:val="TableContents"/>
              <w:bidi w:val="0"/>
              <w:spacing w:before="0" w:after="283"/>
              <w:jc w:val="left"/>
              <w:rPr/>
            </w:pPr>
            <w:r>
              <w:rPr/>
              <w:t>8.</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CA2756493</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20190702</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CA20102756493</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20100324</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9.</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i/>
              </w:rPr>
            </w:pPr>
            <w:r>
              <w:rPr>
                <w:i/>
              </w:rPr>
              <w:t>Pending</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20151224</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DE602010029018</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20100324</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10.</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i/>
              </w:rPr>
            </w:pPr>
            <w:r>
              <w:rPr>
                <w:i/>
              </w:rPr>
              <w:t>Pending</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20180104</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DE602010047113</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20100324</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11.</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ES2557914</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20160129</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ES20100756790T</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20100324</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12.</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HK1222901</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20180622</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HK20160110945</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20160915</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13.</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JP5923035</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20160524</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JP20120502208T</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20100324</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14.</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JP6081434</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20170215</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JP20140237778</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20141125</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r>
        <w:trPr>
          <w:trHeight w:val="120" w:hRule="atLeast"/>
        </w:trPr>
        <w:tc>
          <w:tcPr>
            <w:tcW w:w="261"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296" w:type="dxa"/>
            <w:gridSpan w:val="2"/>
            <w:tcBorders/>
            <w:vAlign w:val="center"/>
          </w:tcPr>
          <w:p>
            <w:pPr>
              <w:pStyle w:val="TableContents"/>
              <w:bidi w:val="0"/>
              <w:spacing w:before="0" w:after="283"/>
              <w:jc w:val="left"/>
              <w:rPr>
                <w:sz w:val="4"/>
                <w:szCs w:val="4"/>
              </w:rPr>
            </w:pPr>
            <w:r>
              <w:rPr>
                <w:sz w:val="4"/>
                <w:szCs w:val="4"/>
              </w:rPr>
            </w:r>
          </w:p>
        </w:tc>
        <w:tc>
          <w:tcPr>
            <w:tcW w:w="1368" w:type="dxa"/>
            <w:gridSpan w:val="2"/>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before="0" w:after="283"/>
              <w:jc w:val="left"/>
              <w:rPr>
                <w:sz w:val="4"/>
                <w:szCs w:val="4"/>
              </w:rPr>
            </w:pPr>
            <w:r>
              <w:rPr>
                <w:sz w:val="4"/>
                <w:szCs w:val="4"/>
              </w:rPr>
            </w:r>
          </w:p>
        </w:tc>
        <w:tc>
          <w:tcPr>
            <w:tcW w:w="2264" w:type="dxa"/>
            <w:gridSpan w:val="2"/>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283"/>
              <w:jc w:val="left"/>
              <w:rPr/>
            </w:pPr>
            <w:r>
              <w:rPr/>
              <w:t>15.</w:t>
            </w:r>
          </w:p>
        </w:tc>
        <w:tc>
          <w:tcPr>
            <w:tcW w:w="123"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left"/>
              <w:rPr/>
            </w:pPr>
            <w:r>
              <w:rPr/>
              <w:t>DEVICES AND METHODS OF CELL CAPTURE AND ANALYSIS</w:t>
            </w:r>
          </w:p>
        </w:tc>
        <w:tc>
          <w:tcPr>
            <w:tcW w:w="76"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JP6463668</w:t>
            </w:r>
          </w:p>
        </w:tc>
        <w:tc>
          <w:tcPr>
            <w:tcW w:w="76" w:type="dxa"/>
            <w:tcBorders/>
            <w:vAlign w:val="bottom"/>
          </w:tcPr>
          <w:p>
            <w:pPr>
              <w:pStyle w:val="TableContents"/>
              <w:bidi w:val="0"/>
              <w:spacing w:before="0" w:after="283"/>
              <w:jc w:val="left"/>
              <w:rPr/>
            </w:pPr>
            <w:r>
              <w:rPr/>
              <w:t> </w:t>
            </w:r>
          </w:p>
        </w:tc>
        <w:tc>
          <w:tcPr>
            <w:tcW w:w="1292" w:type="dxa"/>
            <w:tcBorders/>
          </w:tcPr>
          <w:p>
            <w:pPr>
              <w:pStyle w:val="TableContents"/>
              <w:bidi w:val="0"/>
              <w:spacing w:before="0" w:after="283"/>
              <w:jc w:val="left"/>
              <w:rPr/>
            </w:pPr>
            <w:r>
              <w:rPr/>
              <w:t>20190206</w:t>
            </w:r>
          </w:p>
        </w:tc>
        <w:tc>
          <w:tcPr>
            <w:tcW w:w="76" w:type="dxa"/>
            <w:tcBorders/>
            <w:vAlign w:val="bottom"/>
          </w:tcPr>
          <w:p>
            <w:pPr>
              <w:pStyle w:val="TableContents"/>
              <w:bidi w:val="0"/>
              <w:spacing w:before="0" w:after="283"/>
              <w:jc w:val="left"/>
              <w:rPr/>
            </w:pPr>
            <w:r>
              <w:rPr/>
              <w:t> </w:t>
            </w:r>
          </w:p>
        </w:tc>
        <w:tc>
          <w:tcPr>
            <w:tcW w:w="1814" w:type="dxa"/>
            <w:tcBorders/>
          </w:tcPr>
          <w:p>
            <w:pPr>
              <w:pStyle w:val="TableContents"/>
              <w:bidi w:val="0"/>
              <w:spacing w:before="0" w:after="283"/>
              <w:jc w:val="left"/>
              <w:rPr/>
            </w:pPr>
            <w:r>
              <w:rPr/>
              <w:t>JP20150251296</w:t>
            </w:r>
          </w:p>
        </w:tc>
        <w:tc>
          <w:tcPr>
            <w:tcW w:w="76" w:type="dxa"/>
            <w:tcBorders/>
            <w:vAlign w:val="bottom"/>
          </w:tcPr>
          <w:p>
            <w:pPr>
              <w:pStyle w:val="TableContents"/>
              <w:bidi w:val="0"/>
              <w:spacing w:before="0" w:after="283"/>
              <w:jc w:val="left"/>
              <w:rPr/>
            </w:pPr>
            <w:r>
              <w:rPr/>
              <w:t> </w:t>
            </w:r>
          </w:p>
        </w:tc>
        <w:tc>
          <w:tcPr>
            <w:tcW w:w="1304" w:type="dxa"/>
            <w:tcBorders/>
          </w:tcPr>
          <w:p>
            <w:pPr>
              <w:pStyle w:val="TableContents"/>
              <w:bidi w:val="0"/>
              <w:spacing w:before="0" w:after="283"/>
              <w:jc w:val="left"/>
              <w:rPr/>
            </w:pPr>
            <w:r>
              <w:rPr/>
              <w:t>20151224</w:t>
            </w:r>
          </w:p>
        </w:tc>
        <w:tc>
          <w:tcPr>
            <w:tcW w:w="76" w:type="dxa"/>
            <w:tcBorders/>
            <w:vAlign w:val="bottom"/>
          </w:tcPr>
          <w:p>
            <w:pPr>
              <w:pStyle w:val="TableContents"/>
              <w:bidi w:val="0"/>
              <w:spacing w:before="0" w:after="283"/>
              <w:jc w:val="left"/>
              <w:rPr/>
            </w:pPr>
            <w:r>
              <w:rPr/>
              <w:t> </w:t>
            </w:r>
          </w:p>
        </w:tc>
        <w:tc>
          <w:tcPr>
            <w:tcW w:w="2188"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10850" w:type="dxa"/>
        <w:jc w:val="center"/>
        <w:tblInd w:w="0" w:type="dxa"/>
        <w:tblLayout w:type="fixed"/>
        <w:tblCellMar>
          <w:top w:w="0" w:type="dxa"/>
          <w:left w:w="0" w:type="dxa"/>
          <w:bottom w:w="0" w:type="dxa"/>
          <w:right w:w="0" w:type="dxa"/>
        </w:tblCellMar>
      </w:tblPr>
      <w:tblGrid>
        <w:gridCol w:w="260"/>
        <w:gridCol w:w="120"/>
        <w:gridCol w:w="2240"/>
        <w:gridCol w:w="60"/>
        <w:gridCol w:w="1790"/>
        <w:gridCol w:w="60"/>
        <w:gridCol w:w="1235"/>
        <w:gridCol w:w="60"/>
        <w:gridCol w:w="1820"/>
        <w:gridCol w:w="60"/>
        <w:gridCol w:w="1250"/>
        <w:gridCol w:w="60"/>
        <w:gridCol w:w="1835"/>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60" w:type="dxa"/>
            <w:tcBorders>
              <w:bottom w:val="single" w:sz="8" w:space="0" w:color="000000"/>
            </w:tcBorders>
            <w:tcMar>
              <w:bottom w:w="28" w:type="dxa"/>
            </w:tcMar>
            <w:vAlign w:val="bottom"/>
          </w:tcPr>
          <w:p>
            <w:pPr>
              <w:pStyle w:val="TableContents"/>
              <w:bidi w:val="0"/>
              <w:spacing w:before="0" w:after="283"/>
              <w:jc w:val="left"/>
              <w:rPr>
                <w:b/>
              </w:rPr>
            </w:pPr>
            <w:r>
              <w:rPr>
                <w:b/>
              </w:rPr>
              <w:t>#</w:t>
            </w:r>
          </w:p>
        </w:tc>
        <w:tc>
          <w:tcPr>
            <w:tcW w:w="120" w:type="dxa"/>
            <w:tcBorders/>
            <w:vAlign w:val="bottom"/>
          </w:tcPr>
          <w:p>
            <w:pPr>
              <w:pStyle w:val="TableContents"/>
              <w:bidi w:val="0"/>
              <w:spacing w:before="0" w:after="283"/>
              <w:jc w:val="left"/>
              <w:rPr/>
            </w:pPr>
            <w:r>
              <w:rPr/>
              <w:t>  </w:t>
            </w:r>
          </w:p>
        </w:tc>
        <w:tc>
          <w:tcPr>
            <w:tcW w:w="224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60" w:type="dxa"/>
            <w:tcBorders/>
            <w:vAlign w:val="bottom"/>
          </w:tcPr>
          <w:p>
            <w:pPr>
              <w:pStyle w:val="TableContents"/>
              <w:bidi w:val="0"/>
              <w:spacing w:before="0" w:after="283"/>
              <w:jc w:val="left"/>
              <w:rPr/>
            </w:pPr>
            <w:r>
              <w:rPr/>
              <w:t> </w:t>
            </w:r>
          </w:p>
        </w:tc>
        <w:tc>
          <w:tcPr>
            <w:tcW w:w="179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Patent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60"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Application</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5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c>
          <w:tcPr>
            <w:tcW w:w="60"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w:t>
            </w:r>
          </w:p>
        </w:tc>
      </w:tr>
      <w:tr>
        <w:trPr/>
        <w:tc>
          <w:tcPr>
            <w:tcW w:w="260" w:type="dxa"/>
            <w:tcBorders/>
          </w:tcPr>
          <w:p>
            <w:pPr>
              <w:pStyle w:val="TableContents"/>
              <w:bidi w:val="0"/>
              <w:spacing w:before="0" w:after="283"/>
              <w:jc w:val="left"/>
              <w:rPr/>
            </w:pPr>
            <w:r>
              <w:rPr/>
              <w:t>16.</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DEVICES AND METHODS OF CELL CAPTURE AND ANALYSIS</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JP6771010</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20201021</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JP20180204145</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20181030</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17.</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MONITORING AND TREATMENT OF LEPTOMENINGEAL METASTASES</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WO26112005</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20260528</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WO2025US55763</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20251117</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18.</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BIODEGRADABLE ALGINATE MICROSPHERES</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CA3277661</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20240627</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CA20233277661</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20231220</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19.</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BIODEGRADABLE ALGINATE MICROSPHERES</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20251029</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EP20230908404</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20231220</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20.</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BIODEGRADABLE ALGINATE MICROSPHERES</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20260123</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HK20256116591</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20251216</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21.</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BIODEGRADABLE ALGINATE MICROSPHERES</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20260121</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JP20250536287T</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20231220</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22.</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RADIOLABELED LIPOSOMES AND METHODS OF USE THEREOF</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i/>
              </w:rPr>
            </w:pPr>
            <w:r>
              <w:rPr>
                <w:i/>
              </w:rPr>
              <w:t>Pending</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20250320</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AU20210381376</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20211118</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88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23.</w:t>
            </w:r>
          </w:p>
        </w:tc>
        <w:tc>
          <w:tcPr>
            <w:tcW w:w="120" w:type="dxa"/>
            <w:tcBorders/>
            <w:vAlign w:val="bottom"/>
          </w:tcPr>
          <w:p>
            <w:pPr>
              <w:pStyle w:val="TableContents"/>
              <w:bidi w:val="0"/>
              <w:spacing w:before="0" w:after="283"/>
              <w:jc w:val="left"/>
              <w:rPr/>
            </w:pPr>
            <w:r>
              <w:rPr/>
              <w:t>  </w:t>
            </w:r>
          </w:p>
        </w:tc>
        <w:tc>
          <w:tcPr>
            <w:tcW w:w="2240" w:type="dxa"/>
            <w:tcBorders/>
          </w:tcPr>
          <w:p>
            <w:pPr>
              <w:pStyle w:val="TableContents"/>
              <w:bidi w:val="0"/>
              <w:spacing w:before="0" w:after="283"/>
              <w:jc w:val="left"/>
              <w:rPr/>
            </w:pPr>
            <w:r>
              <w:rPr/>
              <w:t>RADIOLABELED LIPOSOMES AND METHODS OF USE THEREOF</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BR112023009541</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20230725</w:t>
            </w:r>
          </w:p>
        </w:tc>
        <w:tc>
          <w:tcPr>
            <w:tcW w:w="6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BR202311009541</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20211118</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59"/>
        <w:gridCol w:w="120"/>
        <w:gridCol w:w="2158"/>
        <w:gridCol w:w="62"/>
        <w:gridCol w:w="1220"/>
        <w:gridCol w:w="62"/>
        <w:gridCol w:w="1244"/>
        <w:gridCol w:w="62"/>
        <w:gridCol w:w="1731"/>
        <w:gridCol w:w="62"/>
        <w:gridCol w:w="1259"/>
        <w:gridCol w:w="62"/>
        <w:gridCol w:w="1904"/>
      </w:tblGrid>
      <w:tr>
        <w:trPr/>
        <w:tc>
          <w:tcPr>
            <w:tcW w:w="2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r>
      <w:tr>
        <w:trPr/>
        <w:tc>
          <w:tcPr>
            <w:tcW w:w="259" w:type="dxa"/>
            <w:tcBorders>
              <w:bottom w:val="single" w:sz="8" w:space="0" w:color="000000"/>
            </w:tcBorders>
            <w:tcMar>
              <w:bottom w:w="28" w:type="dxa"/>
            </w:tcMar>
            <w:vAlign w:val="bottom"/>
          </w:tcPr>
          <w:p>
            <w:pPr>
              <w:pStyle w:val="TableContents"/>
              <w:bidi w:val="0"/>
              <w:spacing w:before="0" w:after="283"/>
              <w:jc w:val="left"/>
              <w:rPr>
                <w:b/>
              </w:rPr>
            </w:pPr>
            <w:r>
              <w:rPr>
                <w:b/>
              </w:rPr>
              <w:t>#</w:t>
            </w:r>
          </w:p>
        </w:tc>
        <w:tc>
          <w:tcPr>
            <w:tcW w:w="120" w:type="dxa"/>
            <w:tcBorders/>
            <w:vAlign w:val="bottom"/>
          </w:tcPr>
          <w:p>
            <w:pPr>
              <w:pStyle w:val="TableContents"/>
              <w:bidi w:val="0"/>
              <w:spacing w:before="0" w:after="283"/>
              <w:jc w:val="left"/>
              <w:rPr/>
            </w:pPr>
            <w:r>
              <w:rPr/>
              <w:t>  </w:t>
            </w:r>
          </w:p>
        </w:tc>
        <w:tc>
          <w:tcPr>
            <w:tcW w:w="21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62"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Patent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2" w:type="dxa"/>
            <w:tcBorders/>
            <w:vAlign w:val="bottom"/>
          </w:tcPr>
          <w:p>
            <w:pPr>
              <w:pStyle w:val="TableContents"/>
              <w:bidi w:val="0"/>
              <w:spacing w:before="0" w:after="283"/>
              <w:jc w:val="left"/>
              <w:rPr/>
            </w:pPr>
            <w:r>
              <w:rPr/>
              <w:t> </w:t>
            </w:r>
          </w:p>
        </w:tc>
        <w:tc>
          <w:tcPr>
            <w:tcW w:w="1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62" w:type="dxa"/>
            <w:tcBorders/>
            <w:vAlign w:val="bottom"/>
          </w:tcPr>
          <w:p>
            <w:pPr>
              <w:pStyle w:val="TableContents"/>
              <w:bidi w:val="0"/>
              <w:spacing w:before="0" w:after="283"/>
              <w:jc w:val="left"/>
              <w:rPr/>
            </w:pPr>
            <w:r>
              <w:rPr/>
              <w:t> </w:t>
            </w:r>
          </w:p>
        </w:tc>
        <w:tc>
          <w:tcPr>
            <w:tcW w:w="1731"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Application</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2" w:type="dxa"/>
            <w:tcBorders/>
            <w:vAlign w:val="bottom"/>
          </w:tcPr>
          <w:p>
            <w:pPr>
              <w:pStyle w:val="TableContents"/>
              <w:bidi w:val="0"/>
              <w:spacing w:before="0" w:after="283"/>
              <w:jc w:val="left"/>
              <w:rPr/>
            </w:pPr>
            <w:r>
              <w:rPr/>
              <w:t> </w:t>
            </w:r>
          </w:p>
        </w:tc>
        <w:tc>
          <w:tcPr>
            <w:tcW w:w="12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c>
          <w:tcPr>
            <w:tcW w:w="62" w:type="dxa"/>
            <w:tcBorders/>
            <w:vAlign w:val="bottom"/>
          </w:tcPr>
          <w:p>
            <w:pPr>
              <w:pStyle w:val="TableContents"/>
              <w:bidi w:val="0"/>
              <w:spacing w:before="0" w:after="283"/>
              <w:jc w:val="left"/>
              <w:rPr/>
            </w:pPr>
            <w:r>
              <w:rPr/>
              <w:t> </w:t>
            </w:r>
          </w:p>
        </w:tc>
        <w:tc>
          <w:tcPr>
            <w:tcW w:w="19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w:t>
            </w:r>
          </w:p>
        </w:tc>
      </w:tr>
      <w:tr>
        <w:trPr/>
        <w:tc>
          <w:tcPr>
            <w:tcW w:w="259" w:type="dxa"/>
            <w:tcBorders/>
          </w:tcPr>
          <w:p>
            <w:pPr>
              <w:pStyle w:val="TableContents"/>
              <w:bidi w:val="0"/>
              <w:spacing w:before="0" w:after="283"/>
              <w:jc w:val="left"/>
              <w:rPr/>
            </w:pPr>
            <w:r>
              <w:rPr/>
              <w:t>24.</w:t>
            </w:r>
          </w:p>
        </w:tc>
        <w:tc>
          <w:tcPr>
            <w:tcW w:w="120" w:type="dxa"/>
            <w:tcBorders/>
            <w:vAlign w:val="bottom"/>
          </w:tcPr>
          <w:p>
            <w:pPr>
              <w:pStyle w:val="TableContents"/>
              <w:bidi w:val="0"/>
              <w:spacing w:before="0" w:after="283"/>
              <w:jc w:val="left"/>
              <w:rPr/>
            </w:pPr>
            <w:r>
              <w:rPr/>
              <w:t>  </w:t>
            </w:r>
          </w:p>
        </w:tc>
        <w:tc>
          <w:tcPr>
            <w:tcW w:w="2158" w:type="dxa"/>
            <w:tcBorders/>
          </w:tcPr>
          <w:p>
            <w:pPr>
              <w:pStyle w:val="TableContents"/>
              <w:bidi w:val="0"/>
              <w:spacing w:before="0" w:after="283"/>
              <w:jc w:val="left"/>
              <w:rPr/>
            </w:pPr>
            <w:r>
              <w:rPr/>
              <w:t>RADIOLABELED LIPOSOMES AND METHODS OF USE THEREOF</w:t>
            </w:r>
          </w:p>
        </w:tc>
        <w:tc>
          <w:tcPr>
            <w:tcW w:w="62"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i/>
              </w:rPr>
            </w:pPr>
            <w:r>
              <w:rPr>
                <w:i/>
              </w:rPr>
              <w:t>Pending</w:t>
            </w:r>
          </w:p>
        </w:tc>
        <w:tc>
          <w:tcPr>
            <w:tcW w:w="62" w:type="dxa"/>
            <w:tcBorders/>
            <w:vAlign w:val="bottom"/>
          </w:tcPr>
          <w:p>
            <w:pPr>
              <w:pStyle w:val="TableContents"/>
              <w:bidi w:val="0"/>
              <w:spacing w:before="0" w:after="283"/>
              <w:jc w:val="left"/>
              <w:rPr/>
            </w:pPr>
            <w:r>
              <w:rPr/>
              <w:t> </w:t>
            </w:r>
          </w:p>
        </w:tc>
        <w:tc>
          <w:tcPr>
            <w:tcW w:w="1244" w:type="dxa"/>
            <w:tcBorders/>
          </w:tcPr>
          <w:p>
            <w:pPr>
              <w:pStyle w:val="TableContents"/>
              <w:bidi w:val="0"/>
              <w:spacing w:before="0" w:after="283"/>
              <w:jc w:val="left"/>
              <w:rPr/>
            </w:pPr>
            <w:r>
              <w:rPr/>
              <w:t>20231115</w:t>
            </w:r>
          </w:p>
        </w:tc>
        <w:tc>
          <w:tcPr>
            <w:tcW w:w="62"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ID2023P0005319</w:t>
            </w:r>
          </w:p>
        </w:tc>
        <w:tc>
          <w:tcPr>
            <w:tcW w:w="62"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20211118</w:t>
            </w:r>
          </w:p>
        </w:tc>
        <w:tc>
          <w:tcPr>
            <w:tcW w:w="62" w:type="dxa"/>
            <w:tcBorders/>
            <w:vAlign w:val="bottom"/>
          </w:tcPr>
          <w:p>
            <w:pPr>
              <w:pStyle w:val="TableContents"/>
              <w:bidi w:val="0"/>
              <w:spacing w:before="0" w:after="283"/>
              <w:jc w:val="left"/>
              <w:rPr/>
            </w:pPr>
            <w:r>
              <w:rPr/>
              <w:t> </w:t>
            </w:r>
          </w:p>
        </w:tc>
        <w:tc>
          <w:tcPr>
            <w:tcW w:w="1904" w:type="dxa"/>
            <w:tcBorders/>
          </w:tcPr>
          <w:p>
            <w:pPr>
              <w:pStyle w:val="TableContents"/>
              <w:bidi w:val="0"/>
              <w:spacing w:before="0" w:after="283"/>
              <w:jc w:val="left"/>
              <w:rPr/>
            </w:pPr>
            <w:r>
              <w:rPr/>
              <w:t>PLUS THERAPEUTICS INC</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2278"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before="0" w:after="283"/>
              <w:jc w:val="left"/>
              <w:rPr>
                <w:sz w:val="4"/>
                <w:szCs w:val="4"/>
              </w:rPr>
            </w:pPr>
            <w:r>
              <w:rPr>
                <w:sz w:val="4"/>
                <w:szCs w:val="4"/>
              </w:rPr>
            </w:r>
          </w:p>
        </w:tc>
        <w:tc>
          <w:tcPr>
            <w:tcW w:w="1793" w:type="dxa"/>
            <w:gridSpan w:val="2"/>
            <w:tcBorders/>
            <w:vAlign w:val="center"/>
          </w:tcPr>
          <w:p>
            <w:pPr>
              <w:pStyle w:val="TableContents"/>
              <w:bidi w:val="0"/>
              <w:spacing w:before="0" w:after="283"/>
              <w:jc w:val="left"/>
              <w:rPr>
                <w:sz w:val="4"/>
                <w:szCs w:val="4"/>
              </w:rPr>
            </w:pPr>
            <w:r>
              <w:rPr>
                <w:sz w:val="4"/>
                <w:szCs w:val="4"/>
              </w:rPr>
            </w:r>
          </w:p>
        </w:tc>
        <w:tc>
          <w:tcPr>
            <w:tcW w:w="1321"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25.</w:t>
            </w:r>
          </w:p>
        </w:tc>
        <w:tc>
          <w:tcPr>
            <w:tcW w:w="120" w:type="dxa"/>
            <w:tcBorders/>
            <w:vAlign w:val="bottom"/>
          </w:tcPr>
          <w:p>
            <w:pPr>
              <w:pStyle w:val="TableContents"/>
              <w:bidi w:val="0"/>
              <w:spacing w:before="0" w:after="283"/>
              <w:jc w:val="left"/>
              <w:rPr/>
            </w:pPr>
            <w:r>
              <w:rPr/>
              <w:t>  </w:t>
            </w:r>
          </w:p>
        </w:tc>
        <w:tc>
          <w:tcPr>
            <w:tcW w:w="2158" w:type="dxa"/>
            <w:tcBorders/>
          </w:tcPr>
          <w:p>
            <w:pPr>
              <w:pStyle w:val="TableContents"/>
              <w:bidi w:val="0"/>
              <w:spacing w:before="0" w:after="283"/>
              <w:jc w:val="left"/>
              <w:rPr/>
            </w:pPr>
            <w:r>
              <w:rPr/>
              <w:t>DETECTION OR ISOLATION OF TARGET MOLECULES USING A MICROCHANNEL APPARATUS</w:t>
            </w:r>
          </w:p>
        </w:tc>
        <w:tc>
          <w:tcPr>
            <w:tcW w:w="62"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CA2658336</w:t>
            </w:r>
          </w:p>
        </w:tc>
        <w:tc>
          <w:tcPr>
            <w:tcW w:w="62" w:type="dxa"/>
            <w:tcBorders/>
            <w:vAlign w:val="bottom"/>
          </w:tcPr>
          <w:p>
            <w:pPr>
              <w:pStyle w:val="TableContents"/>
              <w:bidi w:val="0"/>
              <w:spacing w:before="0" w:after="283"/>
              <w:jc w:val="left"/>
              <w:rPr/>
            </w:pPr>
            <w:r>
              <w:rPr/>
              <w:t> </w:t>
            </w:r>
          </w:p>
        </w:tc>
        <w:tc>
          <w:tcPr>
            <w:tcW w:w="1244" w:type="dxa"/>
            <w:tcBorders/>
          </w:tcPr>
          <w:p>
            <w:pPr>
              <w:pStyle w:val="TableContents"/>
              <w:bidi w:val="0"/>
              <w:spacing w:before="0" w:after="283"/>
              <w:jc w:val="left"/>
              <w:rPr/>
            </w:pPr>
            <w:r>
              <w:rPr/>
              <w:t>20180227</w:t>
            </w:r>
          </w:p>
        </w:tc>
        <w:tc>
          <w:tcPr>
            <w:tcW w:w="62"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CA20072658336</w:t>
            </w:r>
          </w:p>
        </w:tc>
        <w:tc>
          <w:tcPr>
            <w:tcW w:w="62"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20070718</w:t>
            </w:r>
          </w:p>
        </w:tc>
        <w:tc>
          <w:tcPr>
            <w:tcW w:w="62" w:type="dxa"/>
            <w:tcBorders/>
            <w:vAlign w:val="bottom"/>
          </w:tcPr>
          <w:p>
            <w:pPr>
              <w:pStyle w:val="TableContents"/>
              <w:bidi w:val="0"/>
              <w:spacing w:before="0" w:after="283"/>
              <w:jc w:val="left"/>
              <w:rPr/>
            </w:pPr>
            <w:r>
              <w:rPr/>
              <w:t> </w:t>
            </w:r>
          </w:p>
        </w:tc>
        <w:tc>
          <w:tcPr>
            <w:tcW w:w="1904" w:type="dxa"/>
            <w:tcBorders/>
          </w:tcPr>
          <w:p>
            <w:pPr>
              <w:pStyle w:val="TableContents"/>
              <w:bidi w:val="0"/>
              <w:spacing w:before="0" w:after="283"/>
              <w:jc w:val="left"/>
              <w:rPr/>
            </w:pPr>
            <w:r>
              <w:rPr/>
              <w:t>PLUS THERAPEUTICS INC</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2278"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before="0" w:after="283"/>
              <w:jc w:val="left"/>
              <w:rPr>
                <w:sz w:val="4"/>
                <w:szCs w:val="4"/>
              </w:rPr>
            </w:pPr>
            <w:r>
              <w:rPr>
                <w:sz w:val="4"/>
                <w:szCs w:val="4"/>
              </w:rPr>
            </w:r>
          </w:p>
        </w:tc>
        <w:tc>
          <w:tcPr>
            <w:tcW w:w="1793" w:type="dxa"/>
            <w:gridSpan w:val="2"/>
            <w:tcBorders/>
            <w:vAlign w:val="center"/>
          </w:tcPr>
          <w:p>
            <w:pPr>
              <w:pStyle w:val="TableContents"/>
              <w:bidi w:val="0"/>
              <w:spacing w:before="0" w:after="283"/>
              <w:jc w:val="left"/>
              <w:rPr>
                <w:sz w:val="4"/>
                <w:szCs w:val="4"/>
              </w:rPr>
            </w:pPr>
            <w:r>
              <w:rPr>
                <w:sz w:val="4"/>
                <w:szCs w:val="4"/>
              </w:rPr>
            </w:r>
          </w:p>
        </w:tc>
        <w:tc>
          <w:tcPr>
            <w:tcW w:w="1321"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26.</w:t>
            </w:r>
          </w:p>
        </w:tc>
        <w:tc>
          <w:tcPr>
            <w:tcW w:w="120" w:type="dxa"/>
            <w:tcBorders/>
            <w:vAlign w:val="bottom"/>
          </w:tcPr>
          <w:p>
            <w:pPr>
              <w:pStyle w:val="TableContents"/>
              <w:bidi w:val="0"/>
              <w:spacing w:before="0" w:after="283"/>
              <w:jc w:val="left"/>
              <w:rPr/>
            </w:pPr>
            <w:r>
              <w:rPr/>
              <w:t>  </w:t>
            </w:r>
          </w:p>
        </w:tc>
        <w:tc>
          <w:tcPr>
            <w:tcW w:w="2158" w:type="dxa"/>
            <w:tcBorders/>
          </w:tcPr>
          <w:p>
            <w:pPr>
              <w:pStyle w:val="TableContents"/>
              <w:bidi w:val="0"/>
              <w:spacing w:before="0" w:after="283"/>
              <w:jc w:val="left"/>
              <w:rPr/>
            </w:pPr>
            <w:r>
              <w:rPr/>
              <w:t>DETECTION OR ISOLATION OF TARGET MOLECULES USING A MICROCHANNEL APPARATUS</w:t>
            </w:r>
          </w:p>
        </w:tc>
        <w:tc>
          <w:tcPr>
            <w:tcW w:w="62"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HK1135725</w:t>
            </w:r>
          </w:p>
        </w:tc>
        <w:tc>
          <w:tcPr>
            <w:tcW w:w="62" w:type="dxa"/>
            <w:tcBorders/>
            <w:vAlign w:val="bottom"/>
          </w:tcPr>
          <w:p>
            <w:pPr>
              <w:pStyle w:val="TableContents"/>
              <w:bidi w:val="0"/>
              <w:spacing w:before="0" w:after="283"/>
              <w:jc w:val="left"/>
              <w:rPr/>
            </w:pPr>
            <w:r>
              <w:rPr/>
              <w:t> </w:t>
            </w:r>
          </w:p>
        </w:tc>
        <w:tc>
          <w:tcPr>
            <w:tcW w:w="1244" w:type="dxa"/>
            <w:tcBorders/>
          </w:tcPr>
          <w:p>
            <w:pPr>
              <w:pStyle w:val="TableContents"/>
              <w:bidi w:val="0"/>
              <w:spacing w:before="0" w:after="283"/>
              <w:jc w:val="left"/>
              <w:rPr/>
            </w:pPr>
            <w:r>
              <w:rPr/>
              <w:t>20150710</w:t>
            </w:r>
          </w:p>
        </w:tc>
        <w:tc>
          <w:tcPr>
            <w:tcW w:w="62"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HK20100102459</w:t>
            </w:r>
          </w:p>
        </w:tc>
        <w:tc>
          <w:tcPr>
            <w:tcW w:w="62"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20100309</w:t>
            </w:r>
          </w:p>
        </w:tc>
        <w:tc>
          <w:tcPr>
            <w:tcW w:w="62" w:type="dxa"/>
            <w:tcBorders/>
            <w:vAlign w:val="bottom"/>
          </w:tcPr>
          <w:p>
            <w:pPr>
              <w:pStyle w:val="TableContents"/>
              <w:bidi w:val="0"/>
              <w:spacing w:before="0" w:after="283"/>
              <w:jc w:val="left"/>
              <w:rPr/>
            </w:pPr>
            <w:r>
              <w:rPr/>
              <w:t> </w:t>
            </w:r>
          </w:p>
        </w:tc>
        <w:tc>
          <w:tcPr>
            <w:tcW w:w="1904" w:type="dxa"/>
            <w:tcBorders/>
          </w:tcPr>
          <w:p>
            <w:pPr>
              <w:pStyle w:val="TableContents"/>
              <w:bidi w:val="0"/>
              <w:spacing w:before="0" w:after="283"/>
              <w:jc w:val="left"/>
              <w:rPr/>
            </w:pPr>
            <w:r>
              <w:rPr/>
              <w:t>PLUS THERAPEUTICS INC</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2278"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before="0" w:after="283"/>
              <w:jc w:val="left"/>
              <w:rPr>
                <w:sz w:val="4"/>
                <w:szCs w:val="4"/>
              </w:rPr>
            </w:pPr>
            <w:r>
              <w:rPr>
                <w:sz w:val="4"/>
                <w:szCs w:val="4"/>
              </w:rPr>
            </w:r>
          </w:p>
        </w:tc>
        <w:tc>
          <w:tcPr>
            <w:tcW w:w="1793" w:type="dxa"/>
            <w:gridSpan w:val="2"/>
            <w:tcBorders/>
            <w:vAlign w:val="center"/>
          </w:tcPr>
          <w:p>
            <w:pPr>
              <w:pStyle w:val="TableContents"/>
              <w:bidi w:val="0"/>
              <w:spacing w:before="0" w:after="283"/>
              <w:jc w:val="left"/>
              <w:rPr>
                <w:sz w:val="4"/>
                <w:szCs w:val="4"/>
              </w:rPr>
            </w:pPr>
            <w:r>
              <w:rPr>
                <w:sz w:val="4"/>
                <w:szCs w:val="4"/>
              </w:rPr>
            </w:r>
          </w:p>
        </w:tc>
        <w:tc>
          <w:tcPr>
            <w:tcW w:w="1321"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27.</w:t>
            </w:r>
          </w:p>
        </w:tc>
        <w:tc>
          <w:tcPr>
            <w:tcW w:w="120" w:type="dxa"/>
            <w:tcBorders/>
            <w:vAlign w:val="bottom"/>
          </w:tcPr>
          <w:p>
            <w:pPr>
              <w:pStyle w:val="TableContents"/>
              <w:bidi w:val="0"/>
              <w:spacing w:before="0" w:after="283"/>
              <w:jc w:val="left"/>
              <w:rPr/>
            </w:pPr>
            <w:r>
              <w:rPr/>
              <w:t>  </w:t>
            </w:r>
          </w:p>
        </w:tc>
        <w:tc>
          <w:tcPr>
            <w:tcW w:w="2158" w:type="dxa"/>
            <w:tcBorders/>
          </w:tcPr>
          <w:p>
            <w:pPr>
              <w:pStyle w:val="TableContents"/>
              <w:bidi w:val="0"/>
              <w:spacing w:before="0" w:after="283"/>
              <w:jc w:val="left"/>
              <w:rPr/>
            </w:pPr>
            <w:r>
              <w:rPr/>
              <w:t>PATHOGEN INACTIVATING AND NUCLEIC ACID STABILIZATION MEDIA FOR MICROORGANISM COLLECTION AND TRANSPORT</w:t>
            </w:r>
          </w:p>
        </w:tc>
        <w:tc>
          <w:tcPr>
            <w:tcW w:w="62"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EP4244236 (AL AT BE BG CH CY CZ DE DK EE ES FI FR GB GR HR HU IE IS IT LI LT LU LV MC MK MT NL NO PL PT RO RS SE SI SK SM TR)</w:t>
            </w:r>
          </w:p>
        </w:tc>
        <w:tc>
          <w:tcPr>
            <w:tcW w:w="62" w:type="dxa"/>
            <w:tcBorders/>
            <w:vAlign w:val="bottom"/>
          </w:tcPr>
          <w:p>
            <w:pPr>
              <w:pStyle w:val="TableContents"/>
              <w:bidi w:val="0"/>
              <w:spacing w:before="0" w:after="283"/>
              <w:jc w:val="left"/>
              <w:rPr/>
            </w:pPr>
            <w:r>
              <w:rPr/>
              <w:t> </w:t>
            </w:r>
          </w:p>
        </w:tc>
        <w:tc>
          <w:tcPr>
            <w:tcW w:w="1244" w:type="dxa"/>
            <w:tcBorders/>
          </w:tcPr>
          <w:p>
            <w:pPr>
              <w:pStyle w:val="TableContents"/>
              <w:bidi w:val="0"/>
              <w:spacing w:before="0" w:after="283"/>
              <w:jc w:val="left"/>
              <w:rPr/>
            </w:pPr>
            <w:r>
              <w:rPr/>
              <w:t>20230920</w:t>
            </w:r>
          </w:p>
        </w:tc>
        <w:tc>
          <w:tcPr>
            <w:tcW w:w="62"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EP20210892820</w:t>
            </w:r>
          </w:p>
        </w:tc>
        <w:tc>
          <w:tcPr>
            <w:tcW w:w="62"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20211111</w:t>
            </w:r>
          </w:p>
        </w:tc>
        <w:tc>
          <w:tcPr>
            <w:tcW w:w="62" w:type="dxa"/>
            <w:tcBorders/>
            <w:vAlign w:val="bottom"/>
          </w:tcPr>
          <w:p>
            <w:pPr>
              <w:pStyle w:val="TableContents"/>
              <w:bidi w:val="0"/>
              <w:spacing w:before="0" w:after="283"/>
              <w:jc w:val="left"/>
              <w:rPr/>
            </w:pPr>
            <w:r>
              <w:rPr/>
              <w:t> </w:t>
            </w:r>
          </w:p>
        </w:tc>
        <w:tc>
          <w:tcPr>
            <w:tcW w:w="1904" w:type="dxa"/>
            <w:tcBorders/>
          </w:tcPr>
          <w:p>
            <w:pPr>
              <w:pStyle w:val="TableContents"/>
              <w:bidi w:val="0"/>
              <w:spacing w:before="0" w:after="283"/>
              <w:jc w:val="left"/>
              <w:rPr/>
            </w:pPr>
            <w:r>
              <w:rPr/>
              <w:t>PLUS THERAPEUTICS INC</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2278"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1306" w:type="dxa"/>
            <w:gridSpan w:val="2"/>
            <w:tcBorders/>
            <w:vAlign w:val="center"/>
          </w:tcPr>
          <w:p>
            <w:pPr>
              <w:pStyle w:val="TableContents"/>
              <w:bidi w:val="0"/>
              <w:spacing w:before="0" w:after="283"/>
              <w:jc w:val="left"/>
              <w:rPr>
                <w:sz w:val="4"/>
                <w:szCs w:val="4"/>
              </w:rPr>
            </w:pPr>
            <w:r>
              <w:rPr>
                <w:sz w:val="4"/>
                <w:szCs w:val="4"/>
              </w:rPr>
            </w:r>
          </w:p>
        </w:tc>
        <w:tc>
          <w:tcPr>
            <w:tcW w:w="1793" w:type="dxa"/>
            <w:gridSpan w:val="2"/>
            <w:tcBorders/>
            <w:vAlign w:val="center"/>
          </w:tcPr>
          <w:p>
            <w:pPr>
              <w:pStyle w:val="TableContents"/>
              <w:bidi w:val="0"/>
              <w:spacing w:before="0" w:after="283"/>
              <w:jc w:val="left"/>
              <w:rPr>
                <w:sz w:val="4"/>
                <w:szCs w:val="4"/>
              </w:rPr>
            </w:pPr>
            <w:r>
              <w:rPr>
                <w:sz w:val="4"/>
                <w:szCs w:val="4"/>
              </w:rPr>
            </w:r>
          </w:p>
        </w:tc>
        <w:tc>
          <w:tcPr>
            <w:tcW w:w="1321" w:type="dxa"/>
            <w:gridSpan w:val="2"/>
            <w:tcBorders/>
            <w:vAlign w:val="center"/>
          </w:tcPr>
          <w:p>
            <w:pPr>
              <w:pStyle w:val="TableContents"/>
              <w:bidi w:val="0"/>
              <w:spacing w:before="0" w:after="283"/>
              <w:jc w:val="left"/>
              <w:rPr>
                <w:sz w:val="4"/>
                <w:szCs w:val="4"/>
              </w:rPr>
            </w:pPr>
            <w:r>
              <w:rPr>
                <w:sz w:val="4"/>
                <w:szCs w:val="4"/>
              </w:rPr>
            </w:r>
          </w:p>
        </w:tc>
        <w:tc>
          <w:tcPr>
            <w:tcW w:w="1966"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28.</w:t>
            </w:r>
          </w:p>
        </w:tc>
        <w:tc>
          <w:tcPr>
            <w:tcW w:w="120" w:type="dxa"/>
            <w:tcBorders/>
            <w:vAlign w:val="bottom"/>
          </w:tcPr>
          <w:p>
            <w:pPr>
              <w:pStyle w:val="TableContents"/>
              <w:bidi w:val="0"/>
              <w:spacing w:before="0" w:after="283"/>
              <w:jc w:val="left"/>
              <w:rPr/>
            </w:pPr>
            <w:r>
              <w:rPr/>
              <w:t>  </w:t>
            </w:r>
          </w:p>
        </w:tc>
        <w:tc>
          <w:tcPr>
            <w:tcW w:w="2158" w:type="dxa"/>
            <w:tcBorders/>
          </w:tcPr>
          <w:p>
            <w:pPr>
              <w:pStyle w:val="TableContents"/>
              <w:bidi w:val="0"/>
              <w:spacing w:before="0" w:after="283"/>
              <w:jc w:val="left"/>
              <w:rPr/>
            </w:pPr>
            <w:r>
              <w:rPr/>
              <w:t>METHODS AND REAGENTS FOR SIGNAL AMPLIFICATION</w:t>
            </w:r>
          </w:p>
        </w:tc>
        <w:tc>
          <w:tcPr>
            <w:tcW w:w="62" w:type="dxa"/>
            <w:tcBorders/>
            <w:vAlign w:val="bottom"/>
          </w:tcPr>
          <w:p>
            <w:pPr>
              <w:pStyle w:val="TableContents"/>
              <w:bidi w:val="0"/>
              <w:spacing w:before="0" w:after="283"/>
              <w:jc w:val="left"/>
              <w:rPr/>
            </w:pPr>
            <w:r>
              <w:rPr/>
              <w:t> </w:t>
            </w:r>
          </w:p>
        </w:tc>
        <w:tc>
          <w:tcPr>
            <w:tcW w:w="1220" w:type="dxa"/>
            <w:tcBorders/>
          </w:tcPr>
          <w:p>
            <w:pPr>
              <w:pStyle w:val="TableContents"/>
              <w:bidi w:val="0"/>
              <w:spacing w:before="0" w:after="283"/>
              <w:jc w:val="left"/>
              <w:rPr/>
            </w:pPr>
            <w:r>
              <w:rPr/>
              <w:t>CA2812291</w:t>
            </w:r>
          </w:p>
        </w:tc>
        <w:tc>
          <w:tcPr>
            <w:tcW w:w="62" w:type="dxa"/>
            <w:tcBorders/>
            <w:vAlign w:val="bottom"/>
          </w:tcPr>
          <w:p>
            <w:pPr>
              <w:pStyle w:val="TableContents"/>
              <w:bidi w:val="0"/>
              <w:spacing w:before="0" w:after="283"/>
              <w:jc w:val="left"/>
              <w:rPr/>
            </w:pPr>
            <w:r>
              <w:rPr/>
              <w:t> </w:t>
            </w:r>
          </w:p>
        </w:tc>
        <w:tc>
          <w:tcPr>
            <w:tcW w:w="1244" w:type="dxa"/>
            <w:tcBorders/>
          </w:tcPr>
          <w:p>
            <w:pPr>
              <w:pStyle w:val="TableContents"/>
              <w:bidi w:val="0"/>
              <w:spacing w:before="0" w:after="283"/>
              <w:jc w:val="left"/>
              <w:rPr/>
            </w:pPr>
            <w:r>
              <w:rPr/>
              <w:t>20200616</w:t>
            </w:r>
          </w:p>
        </w:tc>
        <w:tc>
          <w:tcPr>
            <w:tcW w:w="62" w:type="dxa"/>
            <w:tcBorders/>
            <w:vAlign w:val="bottom"/>
          </w:tcPr>
          <w:p>
            <w:pPr>
              <w:pStyle w:val="TableContents"/>
              <w:bidi w:val="0"/>
              <w:spacing w:before="0" w:after="283"/>
              <w:jc w:val="left"/>
              <w:rPr/>
            </w:pPr>
            <w:r>
              <w:rPr/>
              <w:t> </w:t>
            </w:r>
          </w:p>
        </w:tc>
        <w:tc>
          <w:tcPr>
            <w:tcW w:w="1731" w:type="dxa"/>
            <w:tcBorders/>
          </w:tcPr>
          <w:p>
            <w:pPr>
              <w:pStyle w:val="TableContents"/>
              <w:bidi w:val="0"/>
              <w:spacing w:before="0" w:after="283"/>
              <w:jc w:val="left"/>
              <w:rPr/>
            </w:pPr>
            <w:r>
              <w:rPr/>
              <w:t>CA20112812291</w:t>
            </w:r>
          </w:p>
        </w:tc>
        <w:tc>
          <w:tcPr>
            <w:tcW w:w="62" w:type="dxa"/>
            <w:tcBorders/>
            <w:vAlign w:val="bottom"/>
          </w:tcPr>
          <w:p>
            <w:pPr>
              <w:pStyle w:val="TableContents"/>
              <w:bidi w:val="0"/>
              <w:spacing w:before="0" w:after="283"/>
              <w:jc w:val="left"/>
              <w:rPr/>
            </w:pPr>
            <w:r>
              <w:rPr/>
              <w:t> </w:t>
            </w:r>
          </w:p>
        </w:tc>
        <w:tc>
          <w:tcPr>
            <w:tcW w:w="1259" w:type="dxa"/>
            <w:tcBorders/>
          </w:tcPr>
          <w:p>
            <w:pPr>
              <w:pStyle w:val="TableContents"/>
              <w:bidi w:val="0"/>
              <w:spacing w:before="0" w:after="283"/>
              <w:jc w:val="left"/>
              <w:rPr/>
            </w:pPr>
            <w:r>
              <w:rPr/>
              <w:t>20110922</w:t>
            </w:r>
          </w:p>
        </w:tc>
        <w:tc>
          <w:tcPr>
            <w:tcW w:w="62" w:type="dxa"/>
            <w:tcBorders/>
            <w:vAlign w:val="bottom"/>
          </w:tcPr>
          <w:p>
            <w:pPr>
              <w:pStyle w:val="TableContents"/>
              <w:bidi w:val="0"/>
              <w:spacing w:before="0" w:after="283"/>
              <w:jc w:val="left"/>
              <w:rPr/>
            </w:pPr>
            <w:r>
              <w:rPr/>
              <w:t> </w:t>
            </w:r>
          </w:p>
        </w:tc>
        <w:tc>
          <w:tcPr>
            <w:tcW w:w="1904"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10640" w:type="dxa"/>
        <w:jc w:val="center"/>
        <w:tblInd w:w="0" w:type="dxa"/>
        <w:tblLayout w:type="fixed"/>
        <w:tblCellMar>
          <w:top w:w="0" w:type="dxa"/>
          <w:left w:w="0" w:type="dxa"/>
          <w:bottom w:w="0" w:type="dxa"/>
          <w:right w:w="0" w:type="dxa"/>
        </w:tblCellMar>
      </w:tblPr>
      <w:tblGrid>
        <w:gridCol w:w="260"/>
        <w:gridCol w:w="120"/>
        <w:gridCol w:w="1910"/>
        <w:gridCol w:w="60"/>
        <w:gridCol w:w="1790"/>
        <w:gridCol w:w="60"/>
        <w:gridCol w:w="1235"/>
        <w:gridCol w:w="60"/>
        <w:gridCol w:w="1940"/>
        <w:gridCol w:w="60"/>
        <w:gridCol w:w="1250"/>
        <w:gridCol w:w="60"/>
        <w:gridCol w:w="1835"/>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60" w:type="dxa"/>
            <w:tcBorders/>
            <w:vAlign w:val="bottom"/>
          </w:tcPr>
          <w:p>
            <w:pPr>
              <w:pStyle w:val="TableContents"/>
              <w:bidi w:val="0"/>
              <w:spacing w:before="0" w:after="283"/>
              <w:jc w:val="left"/>
              <w:rPr/>
            </w:pPr>
            <w:r>
              <w:rPr/>
              <w:t> </w:t>
            </w:r>
          </w:p>
        </w:tc>
        <w:tc>
          <w:tcPr>
            <w:tcW w:w="179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Patent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60"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Application</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60" w:type="dxa"/>
            <w:tcBorders/>
            <w:vAlign w:val="bottom"/>
          </w:tcPr>
          <w:p>
            <w:pPr>
              <w:pStyle w:val="TableContents"/>
              <w:bidi w:val="0"/>
              <w:spacing w:before="0" w:after="283"/>
              <w:jc w:val="left"/>
              <w:rPr/>
            </w:pPr>
            <w:r>
              <w:rPr/>
              <w:t> </w:t>
            </w:r>
          </w:p>
        </w:tc>
        <w:tc>
          <w:tcPr>
            <w:tcW w:w="125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c>
          <w:tcPr>
            <w:tcW w:w="60"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w:t>
            </w:r>
          </w:p>
        </w:tc>
      </w:tr>
      <w:tr>
        <w:trPr/>
        <w:tc>
          <w:tcPr>
            <w:tcW w:w="260" w:type="dxa"/>
            <w:tcBorders/>
          </w:tcPr>
          <w:p>
            <w:pPr>
              <w:pStyle w:val="TableContents"/>
              <w:bidi w:val="0"/>
              <w:spacing w:before="0" w:after="283"/>
              <w:jc w:val="left"/>
              <w:rPr/>
            </w:pPr>
            <w:r>
              <w:rPr/>
              <w:t>29.</w:t>
            </w:r>
          </w:p>
        </w:tc>
        <w:tc>
          <w:tcPr>
            <w:tcW w:w="120"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left"/>
              <w:rPr/>
            </w:pPr>
            <w:r>
              <w:rPr/>
              <w:t>METHODS AND REAGENTS FOR SIGNAL AMPLIFICATION</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DE602011061142</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20190829</w:t>
            </w:r>
          </w:p>
        </w:tc>
        <w:tc>
          <w:tcPr>
            <w:tcW w:w="60"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DE201160061142T</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20110922</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30.</w:t>
            </w:r>
          </w:p>
        </w:tc>
        <w:tc>
          <w:tcPr>
            <w:tcW w:w="120"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left"/>
              <w:rPr/>
            </w:pPr>
            <w:r>
              <w:rPr/>
              <w:t>METHODS AND REAGENTS FOR SIGNAL AMPLIFICATION</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HK1188285</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20200911</w:t>
            </w:r>
          </w:p>
        </w:tc>
        <w:tc>
          <w:tcPr>
            <w:tcW w:w="60"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HK20140101003</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20140129</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r>
        <w:trPr>
          <w:trHeight w:val="120" w:hRule="atLeast"/>
        </w:trPr>
        <w:tc>
          <w:tcPr>
            <w:tcW w:w="260"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260" w:type="dxa"/>
            <w:tcBorders/>
          </w:tcPr>
          <w:p>
            <w:pPr>
              <w:pStyle w:val="TableContents"/>
              <w:bidi w:val="0"/>
              <w:spacing w:before="0" w:after="283"/>
              <w:jc w:val="left"/>
              <w:rPr/>
            </w:pPr>
            <w:r>
              <w:rPr/>
              <w:t>31.</w:t>
            </w:r>
          </w:p>
        </w:tc>
        <w:tc>
          <w:tcPr>
            <w:tcW w:w="120"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left"/>
              <w:rPr/>
            </w:pPr>
            <w:r>
              <w:rPr/>
              <w:t>METHODS AND REAGENTS FOR SIGNAL AMPLIFICATION</w:t>
            </w:r>
          </w:p>
        </w:tc>
        <w:tc>
          <w:tcPr>
            <w:tcW w:w="6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JP6234817</w:t>
            </w:r>
          </w:p>
        </w:tc>
        <w:tc>
          <w:tcPr>
            <w:tcW w:w="60" w:type="dxa"/>
            <w:tcBorders/>
            <w:vAlign w:val="bottom"/>
          </w:tcPr>
          <w:p>
            <w:pPr>
              <w:pStyle w:val="TableContents"/>
              <w:bidi w:val="0"/>
              <w:spacing w:before="0" w:after="283"/>
              <w:jc w:val="left"/>
              <w:rPr/>
            </w:pPr>
            <w:r>
              <w:rPr/>
              <w:t> </w:t>
            </w:r>
          </w:p>
        </w:tc>
        <w:tc>
          <w:tcPr>
            <w:tcW w:w="1235" w:type="dxa"/>
            <w:tcBorders/>
          </w:tcPr>
          <w:p>
            <w:pPr>
              <w:pStyle w:val="TableContents"/>
              <w:bidi w:val="0"/>
              <w:spacing w:before="0" w:after="283"/>
              <w:jc w:val="left"/>
              <w:rPr/>
            </w:pPr>
            <w:r>
              <w:rPr/>
              <w:t>20171122</w:t>
            </w:r>
          </w:p>
        </w:tc>
        <w:tc>
          <w:tcPr>
            <w:tcW w:w="60"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JP20130530331T</w:t>
            </w:r>
          </w:p>
        </w:tc>
        <w:tc>
          <w:tcPr>
            <w:tcW w:w="60" w:type="dxa"/>
            <w:tcBorders/>
            <w:vAlign w:val="bottom"/>
          </w:tcPr>
          <w:p>
            <w:pPr>
              <w:pStyle w:val="TableContents"/>
              <w:bidi w:val="0"/>
              <w:spacing w:before="0" w:after="283"/>
              <w:jc w:val="left"/>
              <w:rPr/>
            </w:pPr>
            <w:r>
              <w:rPr/>
              <w:t> </w:t>
            </w:r>
          </w:p>
        </w:tc>
        <w:tc>
          <w:tcPr>
            <w:tcW w:w="1250" w:type="dxa"/>
            <w:tcBorders/>
          </w:tcPr>
          <w:p>
            <w:pPr>
              <w:pStyle w:val="TableContents"/>
              <w:bidi w:val="0"/>
              <w:spacing w:before="0" w:after="283"/>
              <w:jc w:val="left"/>
              <w:rPr/>
            </w:pPr>
            <w:r>
              <w:rPr/>
              <w:t>20110922</w:t>
            </w:r>
          </w:p>
        </w:tc>
        <w:tc>
          <w:tcPr>
            <w:tcW w:w="60"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left"/>
              <w:rPr/>
            </w:pPr>
            <w:r>
              <w:rPr/>
              <w:t>PLUS THERAPEUTICS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a name change notice with the applicable Intellectual Property offices (USPTO in the US) with respect to the following trademarks updating the record owner name from Plus Therapeutics, Inc.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
        <w:gridCol w:w="120"/>
        <w:gridCol w:w="2682"/>
        <w:gridCol w:w="120"/>
        <w:gridCol w:w="2149"/>
        <w:gridCol w:w="281"/>
        <w:gridCol w:w="2037"/>
        <w:gridCol w:w="120"/>
        <w:gridCol w:w="2328"/>
      </w:tblGrid>
      <w:tr>
        <w:trPr/>
        <w:tc>
          <w:tcPr>
            <w:tcW w:w="3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6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14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w:t>
            </w:r>
          </w:p>
        </w:tc>
        <w:tc>
          <w:tcPr>
            <w:tcW w:w="281"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3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 Information</w:t>
            </w:r>
          </w:p>
        </w:tc>
      </w:tr>
      <w:tr>
        <w:trPr/>
        <w:tc>
          <w:tcPr>
            <w:tcW w:w="368"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26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TMA1183525</w:t>
            </w:r>
          </w:p>
          <w:p>
            <w:pPr>
              <w:pStyle w:val="TableContents"/>
              <w:bidi w:val="0"/>
              <w:spacing w:before="0" w:after="20"/>
              <w:jc w:val="left"/>
              <w:rPr>
                <w:rFonts w:ascii="Times New Roman" w:hAnsi="Times New Roman"/>
                <w:sz w:val="20"/>
              </w:rPr>
            </w:pPr>
            <w:r>
              <w:rPr>
                <w:rFonts w:ascii="Times New Roman" w:hAnsi="Times New Roman"/>
                <w:sz w:val="20"/>
              </w:rPr>
              <w:t>AN: 2021586</w:t>
            </w:r>
          </w:p>
        </w:tc>
        <w:tc>
          <w:tcPr>
            <w:tcW w:w="120"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283"/>
              <w:jc w:val="left"/>
              <w:rPr/>
            </w:pPr>
            <w:r>
              <w:rPr/>
              <w:t>Canada</w:t>
            </w:r>
          </w:p>
        </w:tc>
        <w:tc>
          <w:tcPr>
            <w:tcW w:w="281"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8" w:type="dxa"/>
            <w:tcBorders/>
          </w:tcPr>
          <w:p>
            <w:pPr>
              <w:pStyle w:val="TableContents"/>
              <w:bidi w:val="0"/>
              <w:spacing w:before="0" w:after="283"/>
              <w:jc w:val="left"/>
              <w:rPr/>
            </w:pPr>
            <w:r>
              <w:rPr/>
              <w:t>PLUS THERAPEUTICS, INC</w:t>
            </w:r>
          </w:p>
        </w:tc>
      </w:tr>
      <w:tr>
        <w:trPr>
          <w:trHeight w:val="120" w:hRule="atLeast"/>
        </w:trPr>
        <w:tc>
          <w:tcPr>
            <w:tcW w:w="368" w:type="dxa"/>
            <w:tcBorders/>
            <w:vAlign w:val="center"/>
          </w:tcPr>
          <w:p>
            <w:pPr>
              <w:pStyle w:val="TableContents"/>
              <w:bidi w:val="0"/>
              <w:spacing w:before="0" w:after="283"/>
              <w:jc w:val="left"/>
              <w:rPr>
                <w:sz w:val="4"/>
                <w:szCs w:val="4"/>
              </w:rPr>
            </w:pPr>
            <w:r>
              <w:rPr>
                <w:sz w:val="4"/>
                <w:szCs w:val="4"/>
              </w:rPr>
            </w:r>
          </w:p>
        </w:tc>
        <w:tc>
          <w:tcPr>
            <w:tcW w:w="2802"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26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 P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RN: TMA1183528</w:t>
            </w:r>
          </w:p>
          <w:p>
            <w:pPr>
              <w:pStyle w:val="TableContents"/>
              <w:bidi w:val="0"/>
              <w:spacing w:before="0" w:after="20"/>
              <w:jc w:val="left"/>
              <w:rPr>
                <w:rFonts w:ascii="Times New Roman" w:hAnsi="Times New Roman"/>
                <w:sz w:val="20"/>
              </w:rPr>
            </w:pPr>
            <w:r>
              <w:rPr>
                <w:rFonts w:ascii="Times New Roman" w:hAnsi="Times New Roman"/>
                <w:sz w:val="20"/>
              </w:rPr>
              <w:t>AN: 2022735</w:t>
            </w:r>
          </w:p>
        </w:tc>
        <w:tc>
          <w:tcPr>
            <w:tcW w:w="120"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283"/>
              <w:jc w:val="left"/>
              <w:rPr/>
            </w:pPr>
            <w:r>
              <w:rPr/>
              <w:t>Canada</w:t>
            </w:r>
          </w:p>
        </w:tc>
        <w:tc>
          <w:tcPr>
            <w:tcW w:w="281"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8"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8"/>
        <w:gridCol w:w="120"/>
        <w:gridCol w:w="2682"/>
        <w:gridCol w:w="120"/>
        <w:gridCol w:w="2149"/>
        <w:gridCol w:w="281"/>
        <w:gridCol w:w="2037"/>
        <w:gridCol w:w="120"/>
        <w:gridCol w:w="2328"/>
      </w:tblGrid>
      <w:tr>
        <w:trPr/>
        <w:tc>
          <w:tcPr>
            <w:tcW w:w="3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6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14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w:t>
            </w:r>
          </w:p>
        </w:tc>
        <w:tc>
          <w:tcPr>
            <w:tcW w:w="281" w:type="dxa"/>
            <w:tcBorders/>
            <w:vAlign w:val="bottom"/>
          </w:tcPr>
          <w:p>
            <w:pPr>
              <w:pStyle w:val="TableContents"/>
              <w:bidi w:val="0"/>
              <w:spacing w:before="0" w:after="283"/>
              <w:jc w:val="left"/>
              <w:rPr/>
            </w:pPr>
            <w:r>
              <w:rPr/>
              <w:t>  </w:t>
            </w:r>
          </w:p>
        </w:tc>
        <w:tc>
          <w:tcPr>
            <w:tcW w:w="203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32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 Information</w:t>
            </w:r>
          </w:p>
        </w:tc>
      </w:tr>
      <w:tr>
        <w:trPr/>
        <w:tc>
          <w:tcPr>
            <w:tcW w:w="368"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26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RESPECT</w:t>
            </w:r>
          </w:p>
          <w:p>
            <w:pPr>
              <w:pStyle w:val="TableContents"/>
              <w:bidi w:val="0"/>
              <w:spacing w:before="0" w:after="0"/>
              <w:jc w:val="left"/>
              <w:rPr>
                <w:rFonts w:ascii="Times New Roman" w:hAnsi="Times New Roman"/>
                <w:sz w:val="20"/>
              </w:rPr>
            </w:pPr>
            <w:r>
              <w:rPr>
                <w:rFonts w:ascii="Times New Roman" w:hAnsi="Times New Roman"/>
                <w:sz w:val="20"/>
              </w:rPr>
              <w:t>RN: TMA1191597</w:t>
            </w:r>
          </w:p>
          <w:p>
            <w:pPr>
              <w:pStyle w:val="TableContents"/>
              <w:bidi w:val="0"/>
              <w:spacing w:before="0" w:after="20"/>
              <w:jc w:val="left"/>
              <w:rPr>
                <w:rFonts w:ascii="Times New Roman" w:hAnsi="Times New Roman"/>
                <w:sz w:val="20"/>
              </w:rPr>
            </w:pPr>
            <w:r>
              <w:rPr>
                <w:rFonts w:ascii="Times New Roman" w:hAnsi="Times New Roman"/>
                <w:sz w:val="20"/>
              </w:rPr>
              <w:t>AN: 2090977</w:t>
            </w:r>
          </w:p>
        </w:tc>
        <w:tc>
          <w:tcPr>
            <w:tcW w:w="120"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283"/>
              <w:jc w:val="left"/>
              <w:rPr/>
            </w:pPr>
            <w:r>
              <w:rPr/>
              <w:t>Canada</w:t>
            </w:r>
          </w:p>
        </w:tc>
        <w:tc>
          <w:tcPr>
            <w:tcW w:w="281"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8" w:type="dxa"/>
            <w:tcBorders/>
          </w:tcPr>
          <w:p>
            <w:pPr>
              <w:pStyle w:val="TableContents"/>
              <w:bidi w:val="0"/>
              <w:spacing w:before="0" w:after="283"/>
              <w:jc w:val="left"/>
              <w:rPr/>
            </w:pPr>
            <w:r>
              <w:rPr/>
              <w:t>PLUS THERAPEUTICS, INC</w:t>
            </w:r>
          </w:p>
        </w:tc>
      </w:tr>
      <w:tr>
        <w:trPr>
          <w:trHeight w:val="120" w:hRule="atLeast"/>
        </w:trPr>
        <w:tc>
          <w:tcPr>
            <w:tcW w:w="368" w:type="dxa"/>
            <w:tcBorders/>
            <w:vAlign w:val="center"/>
          </w:tcPr>
          <w:p>
            <w:pPr>
              <w:pStyle w:val="TableContents"/>
              <w:bidi w:val="0"/>
              <w:spacing w:before="0" w:after="283"/>
              <w:jc w:val="left"/>
              <w:rPr>
                <w:sz w:val="4"/>
                <w:szCs w:val="4"/>
              </w:rPr>
            </w:pPr>
            <w:r>
              <w:rPr>
                <w:sz w:val="4"/>
                <w:szCs w:val="4"/>
              </w:rPr>
            </w:r>
          </w:p>
        </w:tc>
        <w:tc>
          <w:tcPr>
            <w:tcW w:w="2802"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26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 SPECT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19200" cy="4381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 cy="438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RN: TMA1191587</w:t>
            </w:r>
          </w:p>
          <w:p>
            <w:pPr>
              <w:pStyle w:val="TableContents"/>
              <w:bidi w:val="0"/>
              <w:spacing w:before="0" w:after="20"/>
              <w:jc w:val="left"/>
              <w:rPr>
                <w:rFonts w:ascii="Times New Roman" w:hAnsi="Times New Roman"/>
                <w:sz w:val="20"/>
              </w:rPr>
            </w:pPr>
            <w:r>
              <w:rPr>
                <w:rFonts w:ascii="Times New Roman" w:hAnsi="Times New Roman"/>
                <w:sz w:val="20"/>
              </w:rPr>
              <w:t>AN: 2085644</w:t>
            </w:r>
          </w:p>
        </w:tc>
        <w:tc>
          <w:tcPr>
            <w:tcW w:w="120"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283"/>
              <w:jc w:val="left"/>
              <w:rPr/>
            </w:pPr>
            <w:r>
              <w:rPr/>
              <w:t>Canada</w:t>
            </w:r>
          </w:p>
        </w:tc>
        <w:tc>
          <w:tcPr>
            <w:tcW w:w="281"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8" w:type="dxa"/>
            <w:tcBorders/>
          </w:tcPr>
          <w:p>
            <w:pPr>
              <w:pStyle w:val="TableContents"/>
              <w:bidi w:val="0"/>
              <w:spacing w:before="0" w:after="283"/>
              <w:jc w:val="left"/>
              <w:rPr/>
            </w:pPr>
            <w:r>
              <w:rPr/>
              <w:t>PLUS THERAPEUTICS, INC</w:t>
            </w:r>
          </w:p>
        </w:tc>
      </w:tr>
      <w:tr>
        <w:trPr>
          <w:trHeight w:val="120" w:hRule="atLeast"/>
        </w:trPr>
        <w:tc>
          <w:tcPr>
            <w:tcW w:w="368" w:type="dxa"/>
            <w:tcBorders/>
            <w:vAlign w:val="center"/>
          </w:tcPr>
          <w:p>
            <w:pPr>
              <w:pStyle w:val="TableContents"/>
              <w:bidi w:val="0"/>
              <w:spacing w:before="0" w:after="283"/>
              <w:jc w:val="left"/>
              <w:rPr>
                <w:sz w:val="4"/>
                <w:szCs w:val="4"/>
              </w:rPr>
            </w:pPr>
            <w:r>
              <w:rPr>
                <w:sz w:val="4"/>
                <w:szCs w:val="4"/>
              </w:rPr>
            </w:r>
          </w:p>
        </w:tc>
        <w:tc>
          <w:tcPr>
            <w:tcW w:w="2802"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5.</w:t>
            </w:r>
          </w:p>
        </w:tc>
        <w:tc>
          <w:tcPr>
            <w:tcW w:w="120" w:type="dxa"/>
            <w:tcBorders/>
            <w:vAlign w:val="bottom"/>
          </w:tcPr>
          <w:p>
            <w:pPr>
              <w:pStyle w:val="TableContents"/>
              <w:bidi w:val="0"/>
              <w:spacing w:before="0" w:after="283"/>
              <w:jc w:val="left"/>
              <w:rPr/>
            </w:pPr>
            <w:r>
              <w:rPr/>
              <w:t>  </w:t>
            </w:r>
          </w:p>
        </w:tc>
        <w:tc>
          <w:tcPr>
            <w:tcW w:w="26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2288012</w:t>
            </w:r>
          </w:p>
          <w:p>
            <w:pPr>
              <w:pStyle w:val="TableContents"/>
              <w:bidi w:val="0"/>
              <w:spacing w:before="0" w:after="20"/>
              <w:jc w:val="left"/>
              <w:rPr>
                <w:rFonts w:ascii="Times New Roman" w:hAnsi="Times New Roman"/>
                <w:sz w:val="20"/>
              </w:rPr>
            </w:pPr>
            <w:r>
              <w:rPr>
                <w:rFonts w:ascii="Times New Roman" w:hAnsi="Times New Roman"/>
                <w:sz w:val="20"/>
              </w:rPr>
              <w:t>AN: M2370187</w:t>
            </w:r>
          </w:p>
        </w:tc>
        <w:tc>
          <w:tcPr>
            <w:tcW w:w="120"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283"/>
              <w:jc w:val="left"/>
              <w:rPr/>
            </w:pPr>
            <w:r>
              <w:rPr/>
              <w:t>Mexico</w:t>
            </w:r>
          </w:p>
        </w:tc>
        <w:tc>
          <w:tcPr>
            <w:tcW w:w="281"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8" w:type="dxa"/>
            <w:tcBorders/>
          </w:tcPr>
          <w:p>
            <w:pPr>
              <w:pStyle w:val="TableContents"/>
              <w:bidi w:val="0"/>
              <w:spacing w:before="0" w:after="283"/>
              <w:jc w:val="left"/>
              <w:rPr/>
            </w:pPr>
            <w:r>
              <w:rPr/>
              <w:t>PLUS THERAPEUTICS, INC</w:t>
            </w:r>
          </w:p>
        </w:tc>
      </w:tr>
      <w:tr>
        <w:trPr>
          <w:trHeight w:val="120" w:hRule="atLeast"/>
        </w:trPr>
        <w:tc>
          <w:tcPr>
            <w:tcW w:w="368" w:type="dxa"/>
            <w:tcBorders/>
            <w:vAlign w:val="center"/>
          </w:tcPr>
          <w:p>
            <w:pPr>
              <w:pStyle w:val="TableContents"/>
              <w:bidi w:val="0"/>
              <w:spacing w:before="0" w:after="283"/>
              <w:jc w:val="left"/>
              <w:rPr>
                <w:sz w:val="4"/>
                <w:szCs w:val="4"/>
              </w:rPr>
            </w:pPr>
            <w:r>
              <w:rPr>
                <w:sz w:val="4"/>
                <w:szCs w:val="4"/>
              </w:rPr>
            </w:r>
          </w:p>
        </w:tc>
        <w:tc>
          <w:tcPr>
            <w:tcW w:w="2802" w:type="dxa"/>
            <w:gridSpan w:val="2"/>
            <w:tcBorders/>
            <w:vAlign w:val="center"/>
          </w:tcPr>
          <w:p>
            <w:pPr>
              <w:pStyle w:val="TableContents"/>
              <w:bidi w:val="0"/>
              <w:spacing w:before="0" w:after="283"/>
              <w:jc w:val="left"/>
              <w:rPr>
                <w:sz w:val="4"/>
                <w:szCs w:val="4"/>
              </w:rPr>
            </w:pPr>
            <w:r>
              <w:rPr>
                <w:sz w:val="4"/>
                <w:szCs w:val="4"/>
              </w:rPr>
            </w:r>
          </w:p>
        </w:tc>
        <w:tc>
          <w:tcPr>
            <w:tcW w:w="2269" w:type="dxa"/>
            <w:gridSpan w:val="2"/>
            <w:tcBorders/>
            <w:vAlign w:val="center"/>
          </w:tcPr>
          <w:p>
            <w:pPr>
              <w:pStyle w:val="TableContents"/>
              <w:bidi w:val="0"/>
              <w:spacing w:before="0" w:after="283"/>
              <w:jc w:val="left"/>
              <w:rPr>
                <w:sz w:val="4"/>
                <w:szCs w:val="4"/>
              </w:rPr>
            </w:pPr>
            <w:r>
              <w:rPr>
                <w:sz w:val="4"/>
                <w:szCs w:val="4"/>
              </w:rPr>
            </w:r>
          </w:p>
        </w:tc>
        <w:tc>
          <w:tcPr>
            <w:tcW w:w="2318" w:type="dxa"/>
            <w:gridSpan w:val="2"/>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268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RN: 2287195</w:t>
            </w:r>
          </w:p>
          <w:p>
            <w:pPr>
              <w:pStyle w:val="TableContents"/>
              <w:bidi w:val="0"/>
              <w:spacing w:before="0" w:after="20"/>
              <w:jc w:val="left"/>
              <w:rPr>
                <w:rFonts w:ascii="Times New Roman" w:hAnsi="Times New Roman"/>
                <w:sz w:val="20"/>
              </w:rPr>
            </w:pPr>
            <w:r>
              <w:rPr>
                <w:rFonts w:ascii="Times New Roman" w:hAnsi="Times New Roman"/>
                <w:sz w:val="20"/>
              </w:rPr>
              <w:t>AN: M2371301</w:t>
            </w:r>
          </w:p>
        </w:tc>
        <w:tc>
          <w:tcPr>
            <w:tcW w:w="120" w:type="dxa"/>
            <w:tcBorders/>
            <w:vAlign w:val="bottom"/>
          </w:tcPr>
          <w:p>
            <w:pPr>
              <w:pStyle w:val="TableContents"/>
              <w:bidi w:val="0"/>
              <w:spacing w:before="0" w:after="283"/>
              <w:jc w:val="left"/>
              <w:rPr/>
            </w:pPr>
            <w:r>
              <w:rPr/>
              <w:t>  </w:t>
            </w:r>
          </w:p>
        </w:tc>
        <w:tc>
          <w:tcPr>
            <w:tcW w:w="2149" w:type="dxa"/>
            <w:tcBorders/>
          </w:tcPr>
          <w:p>
            <w:pPr>
              <w:pStyle w:val="TableContents"/>
              <w:bidi w:val="0"/>
              <w:spacing w:before="0" w:after="283"/>
              <w:jc w:val="left"/>
              <w:rPr/>
            </w:pPr>
            <w:r>
              <w:rPr/>
              <w:t>Mexico</w:t>
            </w:r>
          </w:p>
        </w:tc>
        <w:tc>
          <w:tcPr>
            <w:tcW w:w="281" w:type="dxa"/>
            <w:tcBorders/>
            <w:vAlign w:val="bottom"/>
          </w:tcPr>
          <w:p>
            <w:pPr>
              <w:pStyle w:val="TableContents"/>
              <w:bidi w:val="0"/>
              <w:spacing w:before="0" w:after="283"/>
              <w:jc w:val="left"/>
              <w:rPr/>
            </w:pPr>
            <w:r>
              <w:rPr/>
              <w:t>  </w:t>
            </w:r>
          </w:p>
        </w:tc>
        <w:tc>
          <w:tcPr>
            <w:tcW w:w="20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8"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06"/>
        <w:gridCol w:w="120"/>
        <w:gridCol w:w="2674"/>
        <w:gridCol w:w="120"/>
        <w:gridCol w:w="2135"/>
        <w:gridCol w:w="280"/>
        <w:gridCol w:w="2026"/>
        <w:gridCol w:w="120"/>
        <w:gridCol w:w="2324"/>
      </w:tblGrid>
      <w:tr>
        <w:trPr/>
        <w:tc>
          <w:tcPr>
            <w:tcW w:w="4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r>
      <w:tr>
        <w:trPr/>
        <w:tc>
          <w:tcPr>
            <w:tcW w:w="4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67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1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w:t>
            </w:r>
          </w:p>
        </w:tc>
        <w:tc>
          <w:tcPr>
            <w:tcW w:w="280" w:type="dxa"/>
            <w:tcBorders/>
            <w:vAlign w:val="bottom"/>
          </w:tcPr>
          <w:p>
            <w:pPr>
              <w:pStyle w:val="TableContents"/>
              <w:bidi w:val="0"/>
              <w:spacing w:before="0" w:after="283"/>
              <w:jc w:val="left"/>
              <w:rPr/>
            </w:pPr>
            <w:r>
              <w:rPr/>
              <w:t>  </w:t>
            </w:r>
          </w:p>
        </w:tc>
        <w:tc>
          <w:tcPr>
            <w:tcW w:w="202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32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Record Owner Information</w:t>
            </w:r>
          </w:p>
        </w:tc>
      </w:tr>
      <w:tr>
        <w:trPr/>
        <w:tc>
          <w:tcPr>
            <w:tcW w:w="406" w:type="dxa"/>
            <w:tcBorders/>
          </w:tcPr>
          <w:p>
            <w:pPr>
              <w:pStyle w:val="TableContents"/>
              <w:bidi w:val="0"/>
              <w:spacing w:before="0" w:after="283"/>
              <w:jc w:val="left"/>
              <w:rPr/>
            </w:pPr>
            <w:r>
              <w:rPr/>
              <w:t>7.</w:t>
            </w:r>
          </w:p>
        </w:tc>
        <w:tc>
          <w:tcPr>
            <w:tcW w:w="120" w:type="dxa"/>
            <w:tcBorders/>
            <w:vAlign w:val="bottom"/>
          </w:tcPr>
          <w:p>
            <w:pPr>
              <w:pStyle w:val="TableContents"/>
              <w:bidi w:val="0"/>
              <w:spacing w:before="0" w:after="283"/>
              <w:jc w:val="left"/>
              <w:rPr/>
            </w:pPr>
            <w:r>
              <w:rPr/>
              <w:t>  </w:t>
            </w:r>
          </w:p>
        </w:tc>
        <w:tc>
          <w:tcPr>
            <w:tcW w:w="267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47775" cy="514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47775" cy="5143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2287194 AN: M2371300</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Mexico</w:t>
            </w:r>
          </w:p>
        </w:tc>
        <w:tc>
          <w:tcPr>
            <w:tcW w:w="280" w:type="dxa"/>
            <w:tcBorders/>
            <w:vAlign w:val="bottom"/>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4" w:type="dxa"/>
            <w:tcBorders/>
          </w:tcPr>
          <w:p>
            <w:pPr>
              <w:pStyle w:val="TableContents"/>
              <w:bidi w:val="0"/>
              <w:spacing w:before="0" w:after="283"/>
              <w:jc w:val="left"/>
              <w:rPr/>
            </w:pPr>
            <w:r>
              <w:rPr/>
              <w:t>PLUS THERAPEUTICS, INC</w:t>
            </w:r>
          </w:p>
        </w:tc>
      </w:tr>
      <w:tr>
        <w:trPr>
          <w:trHeight w:val="120" w:hRule="atLeast"/>
        </w:trPr>
        <w:tc>
          <w:tcPr>
            <w:tcW w:w="406" w:type="dxa"/>
            <w:tcBorders/>
            <w:vAlign w:val="center"/>
          </w:tcPr>
          <w:p>
            <w:pPr>
              <w:pStyle w:val="TableContents"/>
              <w:bidi w:val="0"/>
              <w:spacing w:before="0" w:after="283"/>
              <w:jc w:val="left"/>
              <w:rPr>
                <w:sz w:val="4"/>
                <w:szCs w:val="4"/>
              </w:rPr>
            </w:pPr>
            <w:r>
              <w:rPr>
                <w:sz w:val="4"/>
                <w:szCs w:val="4"/>
              </w:rPr>
            </w:r>
          </w:p>
        </w:tc>
        <w:tc>
          <w:tcPr>
            <w:tcW w:w="2794" w:type="dxa"/>
            <w:gridSpan w:val="2"/>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c>
          <w:tcPr>
            <w:tcW w:w="2444" w:type="dxa"/>
            <w:gridSpan w:val="2"/>
            <w:tcBorders/>
            <w:vAlign w:val="center"/>
          </w:tcPr>
          <w:p>
            <w:pPr>
              <w:pStyle w:val="TableContents"/>
              <w:bidi w:val="0"/>
              <w:spacing w:before="0" w:after="283"/>
              <w:jc w:val="left"/>
              <w:rPr>
                <w:sz w:val="4"/>
                <w:szCs w:val="4"/>
              </w:rPr>
            </w:pPr>
            <w:r>
              <w:rPr>
                <w:sz w:val="4"/>
                <w:szCs w:val="4"/>
              </w:rPr>
            </w:r>
          </w:p>
        </w:tc>
      </w:tr>
      <w:tr>
        <w:trPr/>
        <w:tc>
          <w:tcPr>
            <w:tcW w:w="406" w:type="dxa"/>
            <w:tcBorders/>
          </w:tcPr>
          <w:p>
            <w:pPr>
              <w:pStyle w:val="TableContents"/>
              <w:bidi w:val="0"/>
              <w:spacing w:before="0" w:after="283"/>
              <w:jc w:val="left"/>
              <w:rPr/>
            </w:pPr>
            <w:r>
              <w:rPr/>
              <w:t>8.</w:t>
            </w:r>
          </w:p>
        </w:tc>
        <w:tc>
          <w:tcPr>
            <w:tcW w:w="120" w:type="dxa"/>
            <w:tcBorders/>
            <w:vAlign w:val="bottom"/>
          </w:tcPr>
          <w:p>
            <w:pPr>
              <w:pStyle w:val="TableContents"/>
              <w:bidi w:val="0"/>
              <w:spacing w:before="0" w:after="283"/>
              <w:jc w:val="left"/>
              <w:rPr/>
            </w:pPr>
            <w:r>
              <w:rPr/>
              <w:t>  </w:t>
            </w:r>
          </w:p>
        </w:tc>
        <w:tc>
          <w:tcPr>
            <w:tcW w:w="267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2287197 AN: M2371303</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Mexico</w:t>
            </w:r>
          </w:p>
        </w:tc>
        <w:tc>
          <w:tcPr>
            <w:tcW w:w="280" w:type="dxa"/>
            <w:tcBorders/>
            <w:vAlign w:val="bottom"/>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4" w:type="dxa"/>
            <w:tcBorders/>
          </w:tcPr>
          <w:p>
            <w:pPr>
              <w:pStyle w:val="TableContents"/>
              <w:bidi w:val="0"/>
              <w:spacing w:before="0" w:after="283"/>
              <w:jc w:val="left"/>
              <w:rPr/>
            </w:pPr>
            <w:r>
              <w:rPr/>
              <w:t>PLUS THERAPEUTICS, INC</w:t>
            </w:r>
          </w:p>
        </w:tc>
      </w:tr>
      <w:tr>
        <w:trPr>
          <w:trHeight w:val="120" w:hRule="atLeast"/>
        </w:trPr>
        <w:tc>
          <w:tcPr>
            <w:tcW w:w="406" w:type="dxa"/>
            <w:tcBorders/>
            <w:vAlign w:val="center"/>
          </w:tcPr>
          <w:p>
            <w:pPr>
              <w:pStyle w:val="TableContents"/>
              <w:bidi w:val="0"/>
              <w:spacing w:before="0" w:after="283"/>
              <w:jc w:val="left"/>
              <w:rPr>
                <w:sz w:val="4"/>
                <w:szCs w:val="4"/>
              </w:rPr>
            </w:pPr>
            <w:r>
              <w:rPr>
                <w:sz w:val="4"/>
                <w:szCs w:val="4"/>
              </w:rPr>
            </w:r>
          </w:p>
        </w:tc>
        <w:tc>
          <w:tcPr>
            <w:tcW w:w="2794" w:type="dxa"/>
            <w:gridSpan w:val="2"/>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c>
          <w:tcPr>
            <w:tcW w:w="2444" w:type="dxa"/>
            <w:gridSpan w:val="2"/>
            <w:tcBorders/>
            <w:vAlign w:val="center"/>
          </w:tcPr>
          <w:p>
            <w:pPr>
              <w:pStyle w:val="TableContents"/>
              <w:bidi w:val="0"/>
              <w:spacing w:before="0" w:after="283"/>
              <w:jc w:val="left"/>
              <w:rPr>
                <w:sz w:val="4"/>
                <w:szCs w:val="4"/>
              </w:rPr>
            </w:pPr>
            <w:r>
              <w:rPr>
                <w:sz w:val="4"/>
                <w:szCs w:val="4"/>
              </w:rPr>
            </w:r>
          </w:p>
        </w:tc>
      </w:tr>
      <w:tr>
        <w:trPr/>
        <w:tc>
          <w:tcPr>
            <w:tcW w:w="406" w:type="dxa"/>
            <w:tcBorders/>
          </w:tcPr>
          <w:p>
            <w:pPr>
              <w:pStyle w:val="TableContents"/>
              <w:bidi w:val="0"/>
              <w:spacing w:before="0" w:after="283"/>
              <w:jc w:val="left"/>
              <w:rPr/>
            </w:pPr>
            <w:r>
              <w:rPr/>
              <w:t>9.</w:t>
            </w:r>
          </w:p>
        </w:tc>
        <w:tc>
          <w:tcPr>
            <w:tcW w:w="120" w:type="dxa"/>
            <w:tcBorders/>
            <w:vAlign w:val="bottom"/>
          </w:tcPr>
          <w:p>
            <w:pPr>
              <w:pStyle w:val="TableContents"/>
              <w:bidi w:val="0"/>
              <w:spacing w:before="0" w:after="283"/>
              <w:jc w:val="left"/>
              <w:rPr/>
            </w:pPr>
            <w:r>
              <w:rPr/>
              <w:t>  </w:t>
            </w:r>
          </w:p>
        </w:tc>
        <w:tc>
          <w:tcPr>
            <w:tcW w:w="267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2288011</w:t>
            </w:r>
          </w:p>
          <w:p>
            <w:pPr>
              <w:pStyle w:val="TableContents"/>
              <w:bidi w:val="0"/>
              <w:spacing w:before="0" w:after="20"/>
              <w:jc w:val="left"/>
              <w:rPr>
                <w:rFonts w:ascii="Times New Roman" w:hAnsi="Times New Roman"/>
                <w:sz w:val="20"/>
              </w:rPr>
            </w:pPr>
            <w:r>
              <w:rPr>
                <w:rFonts w:ascii="Times New Roman" w:hAnsi="Times New Roman"/>
                <w:sz w:val="20"/>
              </w:rPr>
              <w:t>AN: M2370185</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Mexico</w:t>
            </w:r>
          </w:p>
        </w:tc>
        <w:tc>
          <w:tcPr>
            <w:tcW w:w="280" w:type="dxa"/>
            <w:tcBorders/>
            <w:vAlign w:val="bottom"/>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4" w:type="dxa"/>
            <w:tcBorders/>
          </w:tcPr>
          <w:p>
            <w:pPr>
              <w:pStyle w:val="TableContents"/>
              <w:bidi w:val="0"/>
              <w:spacing w:before="0" w:after="283"/>
              <w:jc w:val="left"/>
              <w:rPr/>
            </w:pPr>
            <w:r>
              <w:rPr/>
              <w:t>PLUS THERAPEUTICS, INC</w:t>
            </w:r>
          </w:p>
        </w:tc>
      </w:tr>
      <w:tr>
        <w:trPr>
          <w:trHeight w:val="120" w:hRule="atLeast"/>
        </w:trPr>
        <w:tc>
          <w:tcPr>
            <w:tcW w:w="406" w:type="dxa"/>
            <w:tcBorders/>
            <w:vAlign w:val="center"/>
          </w:tcPr>
          <w:p>
            <w:pPr>
              <w:pStyle w:val="TableContents"/>
              <w:bidi w:val="0"/>
              <w:spacing w:before="0" w:after="283"/>
              <w:jc w:val="left"/>
              <w:rPr>
                <w:sz w:val="4"/>
                <w:szCs w:val="4"/>
              </w:rPr>
            </w:pPr>
            <w:r>
              <w:rPr>
                <w:sz w:val="4"/>
                <w:szCs w:val="4"/>
              </w:rPr>
            </w:r>
          </w:p>
        </w:tc>
        <w:tc>
          <w:tcPr>
            <w:tcW w:w="2794" w:type="dxa"/>
            <w:gridSpan w:val="2"/>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c>
          <w:tcPr>
            <w:tcW w:w="2444" w:type="dxa"/>
            <w:gridSpan w:val="2"/>
            <w:tcBorders/>
            <w:vAlign w:val="center"/>
          </w:tcPr>
          <w:p>
            <w:pPr>
              <w:pStyle w:val="TableContents"/>
              <w:bidi w:val="0"/>
              <w:spacing w:before="0" w:after="283"/>
              <w:jc w:val="left"/>
              <w:rPr>
                <w:sz w:val="4"/>
                <w:szCs w:val="4"/>
              </w:rPr>
            </w:pPr>
            <w:r>
              <w:rPr>
                <w:sz w:val="4"/>
                <w:szCs w:val="4"/>
              </w:rPr>
            </w:r>
          </w:p>
        </w:tc>
      </w:tr>
      <w:tr>
        <w:trPr/>
        <w:tc>
          <w:tcPr>
            <w:tcW w:w="406" w:type="dxa"/>
            <w:tcBorders/>
          </w:tcPr>
          <w:p>
            <w:pPr>
              <w:pStyle w:val="TableContents"/>
              <w:bidi w:val="0"/>
              <w:spacing w:before="0" w:after="283"/>
              <w:jc w:val="left"/>
              <w:rPr/>
            </w:pPr>
            <w:r>
              <w:rPr/>
              <w:t>10.</w:t>
            </w:r>
          </w:p>
        </w:tc>
        <w:tc>
          <w:tcPr>
            <w:tcW w:w="120" w:type="dxa"/>
            <w:tcBorders/>
            <w:vAlign w:val="bottom"/>
          </w:tcPr>
          <w:p>
            <w:pPr>
              <w:pStyle w:val="TableContents"/>
              <w:bidi w:val="0"/>
              <w:spacing w:before="0" w:after="283"/>
              <w:jc w:val="left"/>
              <w:rPr/>
            </w:pPr>
            <w:r>
              <w:rPr/>
              <w:t>  </w:t>
            </w:r>
          </w:p>
        </w:tc>
        <w:tc>
          <w:tcPr>
            <w:tcW w:w="2674"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2288013</w:t>
            </w:r>
          </w:p>
          <w:p>
            <w:pPr>
              <w:pStyle w:val="TableContents"/>
              <w:bidi w:val="0"/>
              <w:spacing w:before="0" w:after="20"/>
              <w:jc w:val="left"/>
              <w:rPr>
                <w:rFonts w:ascii="Times New Roman" w:hAnsi="Times New Roman"/>
                <w:sz w:val="20"/>
              </w:rPr>
            </w:pPr>
            <w:r>
              <w:rPr>
                <w:rFonts w:ascii="Times New Roman" w:hAnsi="Times New Roman"/>
                <w:sz w:val="20"/>
              </w:rPr>
              <w:t>AN: M2370188</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Mexico</w:t>
            </w:r>
          </w:p>
        </w:tc>
        <w:tc>
          <w:tcPr>
            <w:tcW w:w="280" w:type="dxa"/>
            <w:tcBorders/>
            <w:vAlign w:val="bottom"/>
          </w:tcPr>
          <w:p>
            <w:pPr>
              <w:pStyle w:val="TableContents"/>
              <w:bidi w:val="0"/>
              <w:spacing w:before="0" w:after="283"/>
              <w:jc w:val="left"/>
              <w:rPr/>
            </w:pPr>
            <w:r>
              <w:rPr/>
              <w:t>  </w:t>
            </w:r>
          </w:p>
        </w:tc>
        <w:tc>
          <w:tcPr>
            <w:tcW w:w="2026"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324"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00"/>
        <w:gridCol w:w="120"/>
        <w:gridCol w:w="2519"/>
        <w:gridCol w:w="120"/>
        <w:gridCol w:w="2204"/>
        <w:gridCol w:w="120"/>
        <w:gridCol w:w="2137"/>
        <w:gridCol w:w="120"/>
        <w:gridCol w:w="2465"/>
      </w:tblGrid>
      <w:tr>
        <w:trPr/>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r>
      <w:tr>
        <w:trPr/>
        <w:tc>
          <w:tcPr>
            <w:tcW w:w="4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5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120" w:type="dxa"/>
            <w:tcBorders/>
            <w:vAlign w:val="bottom"/>
          </w:tcPr>
          <w:p>
            <w:pPr>
              <w:pStyle w:val="TableContents"/>
              <w:bidi w:val="0"/>
              <w:spacing w:before="0" w:after="283"/>
              <w:jc w:val="left"/>
              <w:rPr/>
            </w:pPr>
            <w:r>
              <w:rPr/>
              <w:t>  </w:t>
            </w:r>
          </w:p>
        </w:tc>
        <w:tc>
          <w:tcPr>
            <w:tcW w:w="21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4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400" w:type="dxa"/>
            <w:tcBorders/>
          </w:tcPr>
          <w:p>
            <w:pPr>
              <w:pStyle w:val="TableContents"/>
              <w:bidi w:val="0"/>
              <w:spacing w:before="0" w:after="283"/>
              <w:jc w:val="left"/>
              <w:rPr/>
            </w:pPr>
            <w:r>
              <w:rPr/>
              <w:t>11.</w:t>
            </w:r>
          </w:p>
        </w:tc>
        <w:tc>
          <w:tcPr>
            <w:tcW w:w="120" w:type="dxa"/>
            <w:tcBorders/>
            <w:vAlign w:val="bottom"/>
          </w:tcPr>
          <w:p>
            <w:pPr>
              <w:pStyle w:val="TableContents"/>
              <w:bidi w:val="0"/>
              <w:spacing w:before="0" w:after="283"/>
              <w:jc w:val="left"/>
              <w:rPr/>
            </w:pPr>
            <w:r>
              <w:rPr/>
              <w:t>  </w:t>
            </w:r>
          </w:p>
        </w:tc>
        <w:tc>
          <w:tcPr>
            <w:tcW w:w="251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RN: 2287196 </w:t>
              <w:br/>
              <w:t>AN: M2371302</w:t>
            </w:r>
          </w:p>
        </w:tc>
        <w:tc>
          <w:tcPr>
            <w:tcW w:w="120"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39" w:type="dxa"/>
            <w:gridSpan w:val="2"/>
            <w:tcBorders/>
            <w:vAlign w:val="center"/>
          </w:tcPr>
          <w:p>
            <w:pPr>
              <w:pStyle w:val="TableContents"/>
              <w:bidi w:val="0"/>
              <w:spacing w:before="0" w:after="283"/>
              <w:jc w:val="left"/>
              <w:rPr>
                <w:sz w:val="4"/>
                <w:szCs w:val="4"/>
              </w:rPr>
            </w:pPr>
            <w:r>
              <w:rPr>
                <w:sz w:val="4"/>
                <w:szCs w:val="4"/>
              </w:rPr>
            </w:r>
          </w:p>
        </w:tc>
        <w:tc>
          <w:tcPr>
            <w:tcW w:w="2324" w:type="dxa"/>
            <w:gridSpan w:val="2"/>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12.</w:t>
            </w:r>
          </w:p>
        </w:tc>
        <w:tc>
          <w:tcPr>
            <w:tcW w:w="120" w:type="dxa"/>
            <w:tcBorders/>
            <w:vAlign w:val="bottom"/>
          </w:tcPr>
          <w:p>
            <w:pPr>
              <w:pStyle w:val="TableContents"/>
              <w:bidi w:val="0"/>
              <w:spacing w:before="0" w:after="283"/>
              <w:jc w:val="left"/>
              <w:rPr/>
            </w:pPr>
            <w:r>
              <w:rPr/>
              <w:t>  </w:t>
            </w:r>
          </w:p>
        </w:tc>
        <w:tc>
          <w:tcPr>
            <w:tcW w:w="251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2369781</w:t>
            </w:r>
          </w:p>
          <w:p>
            <w:pPr>
              <w:pStyle w:val="TableContents"/>
              <w:bidi w:val="0"/>
              <w:spacing w:before="0" w:after="20"/>
              <w:jc w:val="left"/>
              <w:rPr>
                <w:rFonts w:ascii="Times New Roman" w:hAnsi="Times New Roman"/>
                <w:sz w:val="20"/>
              </w:rPr>
            </w:pPr>
            <w:r>
              <w:rPr>
                <w:rFonts w:ascii="Times New Roman" w:hAnsi="Times New Roman"/>
                <w:sz w:val="20"/>
              </w:rPr>
              <w:t>AN: M2370186</w:t>
            </w:r>
          </w:p>
        </w:tc>
        <w:tc>
          <w:tcPr>
            <w:tcW w:w="120"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283"/>
              <w:jc w:val="left"/>
              <w:rPr/>
            </w:pPr>
            <w:r>
              <w:rPr/>
              <w:t>Mexico</w:t>
            </w:r>
          </w:p>
        </w:tc>
        <w:tc>
          <w:tcPr>
            <w:tcW w:w="120"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39" w:type="dxa"/>
            <w:gridSpan w:val="2"/>
            <w:tcBorders/>
            <w:vAlign w:val="center"/>
          </w:tcPr>
          <w:p>
            <w:pPr>
              <w:pStyle w:val="TableContents"/>
              <w:bidi w:val="0"/>
              <w:spacing w:before="0" w:after="283"/>
              <w:jc w:val="left"/>
              <w:rPr>
                <w:sz w:val="4"/>
                <w:szCs w:val="4"/>
              </w:rPr>
            </w:pPr>
            <w:r>
              <w:rPr>
                <w:sz w:val="4"/>
                <w:szCs w:val="4"/>
              </w:rPr>
            </w:r>
          </w:p>
        </w:tc>
        <w:tc>
          <w:tcPr>
            <w:tcW w:w="2324" w:type="dxa"/>
            <w:gridSpan w:val="2"/>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13.</w:t>
            </w:r>
          </w:p>
        </w:tc>
        <w:tc>
          <w:tcPr>
            <w:tcW w:w="120" w:type="dxa"/>
            <w:tcBorders/>
            <w:vAlign w:val="bottom"/>
          </w:tcPr>
          <w:p>
            <w:pPr>
              <w:pStyle w:val="TableContents"/>
              <w:bidi w:val="0"/>
              <w:spacing w:before="0" w:after="283"/>
              <w:jc w:val="left"/>
              <w:rPr/>
            </w:pPr>
            <w:r>
              <w:rPr/>
              <w:t>  </w:t>
            </w:r>
          </w:p>
        </w:tc>
        <w:tc>
          <w:tcPr>
            <w:tcW w:w="251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CEE-SURE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9675" cy="2952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09675" cy="2952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1609009</w:t>
            </w:r>
          </w:p>
        </w:tc>
        <w:tc>
          <w:tcPr>
            <w:tcW w:w="120"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39" w:type="dxa"/>
            <w:gridSpan w:val="2"/>
            <w:tcBorders/>
            <w:vAlign w:val="center"/>
          </w:tcPr>
          <w:p>
            <w:pPr>
              <w:pStyle w:val="TableContents"/>
              <w:bidi w:val="0"/>
              <w:spacing w:before="0" w:after="283"/>
              <w:jc w:val="left"/>
              <w:rPr>
                <w:sz w:val="4"/>
                <w:szCs w:val="4"/>
              </w:rPr>
            </w:pPr>
            <w:r>
              <w:rPr>
                <w:sz w:val="4"/>
                <w:szCs w:val="4"/>
              </w:rPr>
            </w:r>
          </w:p>
        </w:tc>
        <w:tc>
          <w:tcPr>
            <w:tcW w:w="2324" w:type="dxa"/>
            <w:gridSpan w:val="2"/>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14.</w:t>
            </w:r>
          </w:p>
        </w:tc>
        <w:tc>
          <w:tcPr>
            <w:tcW w:w="120" w:type="dxa"/>
            <w:tcBorders/>
            <w:vAlign w:val="bottom"/>
          </w:tcPr>
          <w:p>
            <w:pPr>
              <w:pStyle w:val="TableContents"/>
              <w:bidi w:val="0"/>
              <w:spacing w:before="0" w:after="283"/>
              <w:jc w:val="left"/>
              <w:rPr/>
            </w:pPr>
            <w:r>
              <w:rPr/>
              <w:t>  </w:t>
            </w:r>
          </w:p>
        </w:tc>
        <w:tc>
          <w:tcPr>
            <w:tcW w:w="251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20"/>
              <w:jc w:val="left"/>
              <w:rPr>
                <w:rFonts w:ascii="Times New Roman" w:hAnsi="Times New Roman"/>
                <w:sz w:val="20"/>
              </w:rPr>
            </w:pPr>
            <w:r>
              <w:rPr>
                <w:rFonts w:ascii="Times New Roman" w:hAnsi="Times New Roman"/>
                <w:sz w:val="20"/>
              </w:rPr>
              <w:t>RN: 1524663</w:t>
            </w:r>
          </w:p>
        </w:tc>
        <w:tc>
          <w:tcPr>
            <w:tcW w:w="120"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39" w:type="dxa"/>
            <w:gridSpan w:val="2"/>
            <w:tcBorders/>
            <w:vAlign w:val="center"/>
          </w:tcPr>
          <w:p>
            <w:pPr>
              <w:pStyle w:val="TableContents"/>
              <w:bidi w:val="0"/>
              <w:spacing w:before="0" w:after="283"/>
              <w:jc w:val="left"/>
              <w:rPr>
                <w:sz w:val="4"/>
                <w:szCs w:val="4"/>
              </w:rPr>
            </w:pPr>
            <w:r>
              <w:rPr>
                <w:sz w:val="4"/>
                <w:szCs w:val="4"/>
              </w:rPr>
            </w:r>
          </w:p>
        </w:tc>
        <w:tc>
          <w:tcPr>
            <w:tcW w:w="2324" w:type="dxa"/>
            <w:gridSpan w:val="2"/>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15.</w:t>
            </w:r>
          </w:p>
        </w:tc>
        <w:tc>
          <w:tcPr>
            <w:tcW w:w="120" w:type="dxa"/>
            <w:tcBorders/>
            <w:vAlign w:val="bottom"/>
          </w:tcPr>
          <w:p>
            <w:pPr>
              <w:pStyle w:val="TableContents"/>
              <w:bidi w:val="0"/>
              <w:spacing w:before="0" w:after="283"/>
              <w:jc w:val="left"/>
              <w:rPr/>
            </w:pPr>
            <w:r>
              <w:rPr/>
              <w:t>  </w:t>
            </w:r>
          </w:p>
        </w:tc>
        <w:tc>
          <w:tcPr>
            <w:tcW w:w="251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304925" cy="533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304925" cy="5334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1525871</w:t>
            </w:r>
          </w:p>
        </w:tc>
        <w:tc>
          <w:tcPr>
            <w:tcW w:w="120" w:type="dxa"/>
            <w:tcBorders/>
            <w:vAlign w:val="bottom"/>
          </w:tcPr>
          <w:p>
            <w:pPr>
              <w:pStyle w:val="TableContents"/>
              <w:bidi w:val="0"/>
              <w:spacing w:before="0" w:after="283"/>
              <w:jc w:val="left"/>
              <w:rPr/>
            </w:pPr>
            <w:r>
              <w:rPr/>
              <w:t>  </w:t>
            </w:r>
          </w:p>
        </w:tc>
        <w:tc>
          <w:tcPr>
            <w:tcW w:w="2204"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2137"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00"/>
        <w:gridCol w:w="120"/>
        <w:gridCol w:w="2487"/>
        <w:gridCol w:w="120"/>
        <w:gridCol w:w="2205"/>
        <w:gridCol w:w="120"/>
        <w:gridCol w:w="2178"/>
        <w:gridCol w:w="120"/>
        <w:gridCol w:w="2455"/>
      </w:tblGrid>
      <w:tr>
        <w:trPr/>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4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4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120" w:type="dxa"/>
            <w:tcBorders/>
            <w:vAlign w:val="bottom"/>
          </w:tcPr>
          <w:p>
            <w:pPr>
              <w:pStyle w:val="TableContents"/>
              <w:bidi w:val="0"/>
              <w:spacing w:before="0" w:after="283"/>
              <w:jc w:val="left"/>
              <w:rPr/>
            </w:pPr>
            <w:r>
              <w:rPr/>
              <w:t>  </w:t>
            </w:r>
          </w:p>
        </w:tc>
        <w:tc>
          <w:tcPr>
            <w:tcW w:w="21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4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400" w:type="dxa"/>
            <w:tcBorders/>
          </w:tcPr>
          <w:p>
            <w:pPr>
              <w:pStyle w:val="TableContents"/>
              <w:bidi w:val="0"/>
              <w:spacing w:before="0" w:after="283"/>
              <w:jc w:val="left"/>
              <w:rPr/>
            </w:pPr>
            <w:r>
              <w:rPr/>
              <w:t>16.</w:t>
            </w:r>
          </w:p>
        </w:tc>
        <w:tc>
          <w:tcPr>
            <w:tcW w:w="120"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RESPECT</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0150" cy="3143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00150" cy="3143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1579951</w:t>
            </w:r>
          </w:p>
        </w:tc>
        <w:tc>
          <w:tcPr>
            <w:tcW w:w="120" w:type="dxa"/>
            <w:tcBorders/>
            <w:vAlign w:val="bottom"/>
          </w:tcPr>
          <w:p>
            <w:pPr>
              <w:pStyle w:val="TableContents"/>
              <w:bidi w:val="0"/>
              <w:spacing w:before="0" w:after="283"/>
              <w:jc w:val="left"/>
              <w:rPr/>
            </w:pPr>
            <w:r>
              <w:rPr/>
              <w:t>  </w:t>
            </w:r>
          </w:p>
        </w:tc>
        <w:tc>
          <w:tcPr>
            <w:tcW w:w="2205"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2178"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07" w:type="dxa"/>
            <w:gridSpan w:val="2"/>
            <w:tcBorders/>
            <w:vAlign w:val="center"/>
          </w:tcPr>
          <w:p>
            <w:pPr>
              <w:pStyle w:val="TableContents"/>
              <w:bidi w:val="0"/>
              <w:spacing w:before="0" w:after="283"/>
              <w:jc w:val="left"/>
              <w:rPr>
                <w:sz w:val="4"/>
                <w:szCs w:val="4"/>
              </w:rPr>
            </w:pPr>
            <w:r>
              <w:rPr>
                <w:sz w:val="4"/>
                <w:szCs w:val="4"/>
              </w:rPr>
            </w:r>
          </w:p>
        </w:tc>
        <w:tc>
          <w:tcPr>
            <w:tcW w:w="2325" w:type="dxa"/>
            <w:gridSpan w:val="2"/>
            <w:tcBorders/>
            <w:vAlign w:val="center"/>
          </w:tcPr>
          <w:p>
            <w:pPr>
              <w:pStyle w:val="TableContents"/>
              <w:bidi w:val="0"/>
              <w:spacing w:before="0" w:after="283"/>
              <w:jc w:val="left"/>
              <w:rPr>
                <w:sz w:val="4"/>
                <w:szCs w:val="4"/>
              </w:rPr>
            </w:pPr>
            <w:r>
              <w:rPr>
                <w:sz w:val="4"/>
                <w:szCs w:val="4"/>
              </w:rPr>
            </w:r>
          </w:p>
        </w:tc>
        <w:tc>
          <w:tcPr>
            <w:tcW w:w="2298" w:type="dxa"/>
            <w:gridSpan w:val="2"/>
            <w:tcBorders/>
            <w:vAlign w:val="center"/>
          </w:tcPr>
          <w:p>
            <w:pPr>
              <w:pStyle w:val="TableContents"/>
              <w:bidi w:val="0"/>
              <w:spacing w:before="0" w:after="283"/>
              <w:jc w:val="left"/>
              <w:rPr>
                <w:sz w:val="4"/>
                <w:szCs w:val="4"/>
              </w:rPr>
            </w:pPr>
            <w:r>
              <w:rPr>
                <w:sz w:val="4"/>
                <w:szCs w:val="4"/>
              </w:rPr>
            </w:r>
          </w:p>
        </w:tc>
        <w:tc>
          <w:tcPr>
            <w:tcW w:w="257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17.</w:t>
            </w:r>
          </w:p>
        </w:tc>
        <w:tc>
          <w:tcPr>
            <w:tcW w:w="120"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ReSPECT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19200" cy="4381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 cy="438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RN: 1576154</w:t>
            </w:r>
          </w:p>
        </w:tc>
        <w:tc>
          <w:tcPr>
            <w:tcW w:w="120" w:type="dxa"/>
            <w:tcBorders/>
            <w:vAlign w:val="bottom"/>
          </w:tcPr>
          <w:p>
            <w:pPr>
              <w:pStyle w:val="TableContents"/>
              <w:bidi w:val="0"/>
              <w:spacing w:before="0" w:after="283"/>
              <w:jc w:val="left"/>
              <w:rPr/>
            </w:pPr>
            <w:r>
              <w:rPr/>
              <w:t>  </w:t>
            </w:r>
          </w:p>
        </w:tc>
        <w:tc>
          <w:tcPr>
            <w:tcW w:w="2205"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2178"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07" w:type="dxa"/>
            <w:gridSpan w:val="2"/>
            <w:tcBorders/>
            <w:vAlign w:val="center"/>
          </w:tcPr>
          <w:p>
            <w:pPr>
              <w:pStyle w:val="TableContents"/>
              <w:bidi w:val="0"/>
              <w:spacing w:before="0" w:after="283"/>
              <w:jc w:val="left"/>
              <w:rPr>
                <w:sz w:val="4"/>
                <w:szCs w:val="4"/>
              </w:rPr>
            </w:pPr>
            <w:r>
              <w:rPr>
                <w:sz w:val="4"/>
                <w:szCs w:val="4"/>
              </w:rPr>
            </w:r>
          </w:p>
        </w:tc>
        <w:tc>
          <w:tcPr>
            <w:tcW w:w="2325" w:type="dxa"/>
            <w:gridSpan w:val="2"/>
            <w:tcBorders/>
            <w:vAlign w:val="center"/>
          </w:tcPr>
          <w:p>
            <w:pPr>
              <w:pStyle w:val="TableContents"/>
              <w:bidi w:val="0"/>
              <w:spacing w:before="0" w:after="283"/>
              <w:jc w:val="left"/>
              <w:rPr>
                <w:sz w:val="4"/>
                <w:szCs w:val="4"/>
              </w:rPr>
            </w:pPr>
            <w:r>
              <w:rPr>
                <w:sz w:val="4"/>
                <w:szCs w:val="4"/>
              </w:rPr>
            </w:r>
          </w:p>
        </w:tc>
        <w:tc>
          <w:tcPr>
            <w:tcW w:w="2298" w:type="dxa"/>
            <w:gridSpan w:val="2"/>
            <w:tcBorders/>
            <w:vAlign w:val="center"/>
          </w:tcPr>
          <w:p>
            <w:pPr>
              <w:pStyle w:val="TableContents"/>
              <w:bidi w:val="0"/>
              <w:spacing w:before="0" w:after="283"/>
              <w:jc w:val="left"/>
              <w:rPr>
                <w:sz w:val="4"/>
                <w:szCs w:val="4"/>
              </w:rPr>
            </w:pPr>
            <w:r>
              <w:rPr>
                <w:sz w:val="4"/>
                <w:szCs w:val="4"/>
              </w:rPr>
            </w:r>
          </w:p>
        </w:tc>
        <w:tc>
          <w:tcPr>
            <w:tcW w:w="257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18.</w:t>
            </w:r>
          </w:p>
        </w:tc>
        <w:tc>
          <w:tcPr>
            <w:tcW w:w="120"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9675"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09675" cy="1714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2020/39820</w:t>
            </w:r>
          </w:p>
        </w:tc>
        <w:tc>
          <w:tcPr>
            <w:tcW w:w="120" w:type="dxa"/>
            <w:tcBorders/>
            <w:vAlign w:val="bottom"/>
          </w:tcPr>
          <w:p>
            <w:pPr>
              <w:pStyle w:val="TableContents"/>
              <w:bidi w:val="0"/>
              <w:spacing w:before="0" w:after="283"/>
              <w:jc w:val="left"/>
              <w:rPr/>
            </w:pPr>
            <w:r>
              <w:rPr/>
              <w:t>  </w:t>
            </w:r>
          </w:p>
        </w:tc>
        <w:tc>
          <w:tcPr>
            <w:tcW w:w="2205" w:type="dxa"/>
            <w:tcBorders/>
          </w:tcPr>
          <w:p>
            <w:pPr>
              <w:pStyle w:val="TableContents"/>
              <w:bidi w:val="0"/>
              <w:spacing w:before="0" w:after="283"/>
              <w:jc w:val="left"/>
              <w:rPr/>
            </w:pPr>
            <w:r>
              <w:rPr/>
              <w:t>Turkey</w:t>
            </w:r>
          </w:p>
        </w:tc>
        <w:tc>
          <w:tcPr>
            <w:tcW w:w="120" w:type="dxa"/>
            <w:tcBorders/>
            <w:vAlign w:val="bottom"/>
          </w:tcPr>
          <w:p>
            <w:pPr>
              <w:pStyle w:val="TableContents"/>
              <w:bidi w:val="0"/>
              <w:spacing w:before="0" w:after="283"/>
              <w:jc w:val="left"/>
              <w:rPr/>
            </w:pPr>
            <w:r>
              <w:rPr/>
              <w:t>  </w:t>
            </w:r>
          </w:p>
        </w:tc>
        <w:tc>
          <w:tcPr>
            <w:tcW w:w="2178" w:type="dxa"/>
            <w:tcBorders/>
          </w:tcPr>
          <w:p>
            <w:pPr>
              <w:pStyle w:val="TableContents"/>
              <w:bidi w:val="0"/>
              <w:spacing w:before="0" w:after="283"/>
              <w:jc w:val="left"/>
              <w:rPr/>
            </w:pPr>
            <w:r>
              <w:rPr/>
              <w:t>Pending Application</w:t>
            </w:r>
          </w:p>
        </w:tc>
        <w:tc>
          <w:tcPr>
            <w:tcW w:w="120"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PLUS THERAPEUTICS, INC</w:t>
            </w:r>
          </w:p>
        </w:tc>
      </w:tr>
      <w:tr>
        <w:trPr>
          <w:trHeight w:val="120" w:hRule="atLeast"/>
        </w:trPr>
        <w:tc>
          <w:tcPr>
            <w:tcW w:w="400" w:type="dxa"/>
            <w:tcBorders/>
            <w:vAlign w:val="center"/>
          </w:tcPr>
          <w:p>
            <w:pPr>
              <w:pStyle w:val="TableContents"/>
              <w:bidi w:val="0"/>
              <w:spacing w:before="0" w:after="283"/>
              <w:jc w:val="left"/>
              <w:rPr>
                <w:sz w:val="4"/>
                <w:szCs w:val="4"/>
              </w:rPr>
            </w:pPr>
            <w:r>
              <w:rPr>
                <w:sz w:val="4"/>
                <w:szCs w:val="4"/>
              </w:rPr>
            </w:r>
          </w:p>
        </w:tc>
        <w:tc>
          <w:tcPr>
            <w:tcW w:w="2607" w:type="dxa"/>
            <w:gridSpan w:val="2"/>
            <w:tcBorders/>
            <w:vAlign w:val="center"/>
          </w:tcPr>
          <w:p>
            <w:pPr>
              <w:pStyle w:val="TableContents"/>
              <w:bidi w:val="0"/>
              <w:spacing w:before="0" w:after="283"/>
              <w:jc w:val="left"/>
              <w:rPr>
                <w:sz w:val="4"/>
                <w:szCs w:val="4"/>
              </w:rPr>
            </w:pPr>
            <w:r>
              <w:rPr>
                <w:sz w:val="4"/>
                <w:szCs w:val="4"/>
              </w:rPr>
            </w:r>
          </w:p>
        </w:tc>
        <w:tc>
          <w:tcPr>
            <w:tcW w:w="2325" w:type="dxa"/>
            <w:gridSpan w:val="2"/>
            <w:tcBorders/>
            <w:vAlign w:val="center"/>
          </w:tcPr>
          <w:p>
            <w:pPr>
              <w:pStyle w:val="TableContents"/>
              <w:bidi w:val="0"/>
              <w:spacing w:before="0" w:after="283"/>
              <w:jc w:val="left"/>
              <w:rPr>
                <w:sz w:val="4"/>
                <w:szCs w:val="4"/>
              </w:rPr>
            </w:pPr>
            <w:r>
              <w:rPr>
                <w:sz w:val="4"/>
                <w:szCs w:val="4"/>
              </w:rPr>
            </w:r>
          </w:p>
        </w:tc>
        <w:tc>
          <w:tcPr>
            <w:tcW w:w="2298" w:type="dxa"/>
            <w:gridSpan w:val="2"/>
            <w:tcBorders/>
            <w:vAlign w:val="center"/>
          </w:tcPr>
          <w:p>
            <w:pPr>
              <w:pStyle w:val="TableContents"/>
              <w:bidi w:val="0"/>
              <w:spacing w:before="0" w:after="283"/>
              <w:jc w:val="left"/>
              <w:rPr>
                <w:sz w:val="4"/>
                <w:szCs w:val="4"/>
              </w:rPr>
            </w:pPr>
            <w:r>
              <w:rPr>
                <w:sz w:val="4"/>
                <w:szCs w:val="4"/>
              </w:rPr>
            </w:r>
          </w:p>
        </w:tc>
        <w:tc>
          <w:tcPr>
            <w:tcW w:w="2575"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19.</w:t>
            </w:r>
          </w:p>
        </w:tc>
        <w:tc>
          <w:tcPr>
            <w:tcW w:w="120"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RN: 2020 41833</w:t>
            </w:r>
          </w:p>
          <w:p>
            <w:pPr>
              <w:pStyle w:val="TableContents"/>
              <w:bidi w:val="0"/>
              <w:spacing w:before="0" w:after="20"/>
              <w:jc w:val="left"/>
              <w:rPr>
                <w:rFonts w:ascii="Times New Roman" w:hAnsi="Times New Roman"/>
                <w:sz w:val="20"/>
              </w:rPr>
            </w:pPr>
            <w:r>
              <w:rPr>
                <w:rFonts w:ascii="Times New Roman" w:hAnsi="Times New Roman"/>
                <w:sz w:val="20"/>
              </w:rPr>
              <w:t>AN: 2020/41833</w:t>
            </w:r>
          </w:p>
        </w:tc>
        <w:tc>
          <w:tcPr>
            <w:tcW w:w="120" w:type="dxa"/>
            <w:tcBorders/>
            <w:vAlign w:val="bottom"/>
          </w:tcPr>
          <w:p>
            <w:pPr>
              <w:pStyle w:val="TableContents"/>
              <w:bidi w:val="0"/>
              <w:spacing w:before="0" w:after="283"/>
              <w:jc w:val="left"/>
              <w:rPr/>
            </w:pPr>
            <w:r>
              <w:rPr/>
              <w:t>  </w:t>
            </w:r>
          </w:p>
        </w:tc>
        <w:tc>
          <w:tcPr>
            <w:tcW w:w="2205" w:type="dxa"/>
            <w:tcBorders/>
          </w:tcPr>
          <w:p>
            <w:pPr>
              <w:pStyle w:val="TableContents"/>
              <w:bidi w:val="0"/>
              <w:spacing w:before="0" w:after="283"/>
              <w:jc w:val="left"/>
              <w:rPr/>
            </w:pPr>
            <w:r>
              <w:rPr/>
              <w:t>Turkey</w:t>
            </w:r>
          </w:p>
        </w:tc>
        <w:tc>
          <w:tcPr>
            <w:tcW w:w="120" w:type="dxa"/>
            <w:tcBorders/>
            <w:vAlign w:val="bottom"/>
          </w:tcPr>
          <w:p>
            <w:pPr>
              <w:pStyle w:val="TableContents"/>
              <w:bidi w:val="0"/>
              <w:spacing w:before="0" w:after="283"/>
              <w:jc w:val="left"/>
              <w:rPr/>
            </w:pPr>
            <w:r>
              <w:rPr/>
              <w:t>  </w:t>
            </w:r>
          </w:p>
        </w:tc>
        <w:tc>
          <w:tcPr>
            <w:tcW w:w="2178"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04"/>
        <w:gridCol w:w="120"/>
        <w:gridCol w:w="2510"/>
        <w:gridCol w:w="120"/>
        <w:gridCol w:w="2128"/>
        <w:gridCol w:w="120"/>
        <w:gridCol w:w="2203"/>
        <w:gridCol w:w="120"/>
        <w:gridCol w:w="2480"/>
      </w:tblGrid>
      <w:tr>
        <w:trPr/>
        <w:tc>
          <w:tcPr>
            <w:tcW w:w="4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4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5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1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120" w:type="dxa"/>
            <w:tcBorders/>
            <w:vAlign w:val="bottom"/>
          </w:tcPr>
          <w:p>
            <w:pPr>
              <w:pStyle w:val="TableContents"/>
              <w:bidi w:val="0"/>
              <w:spacing w:before="0" w:after="283"/>
              <w:jc w:val="left"/>
              <w:rPr/>
            </w:pPr>
            <w:r>
              <w:rPr/>
              <w:t>  </w:t>
            </w:r>
          </w:p>
        </w:tc>
        <w:tc>
          <w:tcPr>
            <w:tcW w:w="22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4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404" w:type="dxa"/>
            <w:tcBorders/>
          </w:tcPr>
          <w:p>
            <w:pPr>
              <w:pStyle w:val="TableContents"/>
              <w:bidi w:val="0"/>
              <w:spacing w:before="0" w:after="283"/>
              <w:jc w:val="left"/>
              <w:rPr/>
            </w:pPr>
            <w:r>
              <w:rPr/>
              <w:t>20.</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UK00003685759</w:t>
            </w:r>
          </w:p>
        </w:tc>
        <w:tc>
          <w:tcPr>
            <w:tcW w:w="120" w:type="dxa"/>
            <w:tcBorders/>
            <w:vAlign w:val="bottom"/>
          </w:tcPr>
          <w:p>
            <w:pPr>
              <w:pStyle w:val="TableContents"/>
              <w:bidi w:val="0"/>
              <w:spacing w:before="0" w:after="283"/>
              <w:jc w:val="left"/>
              <w:rPr/>
            </w:pPr>
            <w:r>
              <w:rPr/>
              <w:t>  </w:t>
            </w:r>
          </w:p>
        </w:tc>
        <w:tc>
          <w:tcPr>
            <w:tcW w:w="2128" w:type="dxa"/>
            <w:tcBorders/>
          </w:tcPr>
          <w:p>
            <w:pPr>
              <w:pStyle w:val="TableContents"/>
              <w:bidi w:val="0"/>
              <w:spacing w:before="0" w:after="283"/>
              <w:jc w:val="left"/>
              <w:rPr/>
            </w:pPr>
            <w:r>
              <w:rPr/>
              <w:t>United Kingdom</w:t>
            </w:r>
          </w:p>
        </w:tc>
        <w:tc>
          <w:tcPr>
            <w:tcW w:w="120" w:type="dxa"/>
            <w:tcBorders/>
            <w:vAlign w:val="bottom"/>
          </w:tcPr>
          <w:p>
            <w:pPr>
              <w:pStyle w:val="TableContents"/>
              <w:bidi w:val="0"/>
              <w:spacing w:before="0" w:after="283"/>
              <w:jc w:val="left"/>
              <w:rPr/>
            </w:pPr>
            <w:r>
              <w:rPr/>
              <w:t>  </w:t>
            </w:r>
          </w:p>
        </w:tc>
        <w:tc>
          <w:tcPr>
            <w:tcW w:w="2203"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left"/>
              <w:rPr/>
            </w:pPr>
            <w:r>
              <w:rPr/>
              <w:t>PLUS THERAPEUTICS, INC</w:t>
            </w:r>
          </w:p>
        </w:tc>
      </w:tr>
      <w:tr>
        <w:trPr>
          <w:trHeight w:val="120" w:hRule="atLeast"/>
        </w:trPr>
        <w:tc>
          <w:tcPr>
            <w:tcW w:w="404" w:type="dxa"/>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21.</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w:t>
            </w:r>
          </w:p>
          <w:p>
            <w:pPr>
              <w:pStyle w:val="TableContents"/>
              <w:bidi w:val="0"/>
              <w:spacing w:before="0" w:after="0"/>
              <w:jc w:val="left"/>
              <w:rPr>
                <w:rFonts w:ascii="Times New Roman" w:hAnsi="Times New Roman"/>
                <w:sz w:val="20"/>
              </w:rPr>
            </w:pPr>
            <w:r>
              <w:rPr>
                <w:rFonts w:ascii="Times New Roman" w:hAnsi="Times New Roman"/>
                <w:sz w:val="20"/>
              </w:rPr>
              <w:t>RN: 2080576</w:t>
            </w:r>
          </w:p>
          <w:p>
            <w:pPr>
              <w:pStyle w:val="TableContents"/>
              <w:bidi w:val="0"/>
              <w:spacing w:before="0" w:after="20"/>
              <w:jc w:val="left"/>
              <w:rPr>
                <w:rFonts w:ascii="Times New Roman" w:hAnsi="Times New Roman"/>
                <w:sz w:val="20"/>
              </w:rPr>
            </w:pPr>
            <w:r>
              <w:rPr>
                <w:rFonts w:ascii="Times New Roman" w:hAnsi="Times New Roman"/>
                <w:sz w:val="20"/>
              </w:rPr>
              <w:t>AN: 2080576</w:t>
            </w:r>
          </w:p>
        </w:tc>
        <w:tc>
          <w:tcPr>
            <w:tcW w:w="120" w:type="dxa"/>
            <w:tcBorders/>
            <w:vAlign w:val="bottom"/>
          </w:tcPr>
          <w:p>
            <w:pPr>
              <w:pStyle w:val="TableContents"/>
              <w:bidi w:val="0"/>
              <w:spacing w:before="0" w:after="283"/>
              <w:jc w:val="left"/>
              <w:rPr/>
            </w:pPr>
            <w:r>
              <w:rPr/>
              <w:t>  </w:t>
            </w:r>
          </w:p>
        </w:tc>
        <w:tc>
          <w:tcPr>
            <w:tcW w:w="2128" w:type="dxa"/>
            <w:tcBorders/>
          </w:tcPr>
          <w:p>
            <w:pPr>
              <w:pStyle w:val="TableContents"/>
              <w:bidi w:val="0"/>
              <w:spacing w:before="0" w:after="283"/>
              <w:jc w:val="left"/>
              <w:rPr/>
            </w:pPr>
            <w:r>
              <w:rPr/>
              <w:t>Australia</w:t>
            </w:r>
          </w:p>
        </w:tc>
        <w:tc>
          <w:tcPr>
            <w:tcW w:w="120" w:type="dxa"/>
            <w:tcBorders/>
            <w:vAlign w:val="bottom"/>
          </w:tcPr>
          <w:p>
            <w:pPr>
              <w:pStyle w:val="TableContents"/>
              <w:bidi w:val="0"/>
              <w:spacing w:before="0" w:after="283"/>
              <w:jc w:val="left"/>
              <w:rPr/>
            </w:pPr>
            <w:r>
              <w:rPr/>
              <w:t>  </w:t>
            </w:r>
          </w:p>
        </w:tc>
        <w:tc>
          <w:tcPr>
            <w:tcW w:w="2203"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left"/>
              <w:rPr/>
            </w:pPr>
            <w:r>
              <w:rPr/>
              <w:t>PLUS THERAPEUTICS, INC</w:t>
            </w:r>
          </w:p>
        </w:tc>
      </w:tr>
      <w:tr>
        <w:trPr>
          <w:trHeight w:val="120" w:hRule="atLeast"/>
        </w:trPr>
        <w:tc>
          <w:tcPr>
            <w:tcW w:w="404" w:type="dxa"/>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22.</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RN: 2081900</w:t>
            </w:r>
          </w:p>
          <w:p>
            <w:pPr>
              <w:pStyle w:val="TableContents"/>
              <w:bidi w:val="0"/>
              <w:spacing w:before="0" w:after="20"/>
              <w:jc w:val="left"/>
              <w:rPr>
                <w:rFonts w:ascii="Times New Roman" w:hAnsi="Times New Roman"/>
                <w:sz w:val="20"/>
              </w:rPr>
            </w:pPr>
            <w:r>
              <w:rPr>
                <w:rFonts w:ascii="Times New Roman" w:hAnsi="Times New Roman"/>
                <w:sz w:val="20"/>
              </w:rPr>
              <w:t>AN: 2081900</w:t>
            </w:r>
          </w:p>
        </w:tc>
        <w:tc>
          <w:tcPr>
            <w:tcW w:w="120" w:type="dxa"/>
            <w:tcBorders/>
            <w:vAlign w:val="bottom"/>
          </w:tcPr>
          <w:p>
            <w:pPr>
              <w:pStyle w:val="TableContents"/>
              <w:bidi w:val="0"/>
              <w:spacing w:before="0" w:after="283"/>
              <w:jc w:val="left"/>
              <w:rPr/>
            </w:pPr>
            <w:r>
              <w:rPr/>
              <w:t>  </w:t>
            </w:r>
          </w:p>
        </w:tc>
        <w:tc>
          <w:tcPr>
            <w:tcW w:w="2128" w:type="dxa"/>
            <w:tcBorders/>
          </w:tcPr>
          <w:p>
            <w:pPr>
              <w:pStyle w:val="TableContents"/>
              <w:bidi w:val="0"/>
              <w:spacing w:before="0" w:after="283"/>
              <w:jc w:val="left"/>
              <w:rPr/>
            </w:pPr>
            <w:r>
              <w:rPr/>
              <w:t>Australia</w:t>
            </w:r>
          </w:p>
        </w:tc>
        <w:tc>
          <w:tcPr>
            <w:tcW w:w="120" w:type="dxa"/>
            <w:tcBorders/>
            <w:vAlign w:val="bottom"/>
          </w:tcPr>
          <w:p>
            <w:pPr>
              <w:pStyle w:val="TableContents"/>
              <w:bidi w:val="0"/>
              <w:spacing w:before="0" w:after="283"/>
              <w:jc w:val="left"/>
              <w:rPr/>
            </w:pPr>
            <w:r>
              <w:rPr/>
              <w:t>  </w:t>
            </w:r>
          </w:p>
        </w:tc>
        <w:tc>
          <w:tcPr>
            <w:tcW w:w="2203" w:type="dxa"/>
            <w:tcBorders/>
          </w:tcPr>
          <w:p>
            <w:pPr>
              <w:pStyle w:val="TableContents"/>
              <w:bidi w:val="0"/>
              <w:spacing w:before="0" w:after="283"/>
              <w:jc w:val="left"/>
              <w:rPr/>
            </w:pPr>
            <w:r>
              <w:rPr/>
              <w:t>Registered</w:t>
            </w:r>
          </w:p>
        </w:tc>
        <w:tc>
          <w:tcPr>
            <w:tcW w:w="12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left"/>
              <w:rPr/>
            </w:pPr>
            <w:r>
              <w:rPr/>
              <w:t>PLUS THERAPEUTICS, INC</w:t>
            </w:r>
          </w:p>
        </w:tc>
      </w:tr>
      <w:tr>
        <w:trPr>
          <w:trHeight w:val="120" w:hRule="atLeast"/>
        </w:trPr>
        <w:tc>
          <w:tcPr>
            <w:tcW w:w="404" w:type="dxa"/>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248" w:type="dxa"/>
            <w:gridSpan w:val="2"/>
            <w:tcBorders/>
            <w:vAlign w:val="center"/>
          </w:tcPr>
          <w:p>
            <w:pPr>
              <w:pStyle w:val="TableContents"/>
              <w:bidi w:val="0"/>
              <w:spacing w:before="0" w:after="283"/>
              <w:jc w:val="left"/>
              <w:rPr>
                <w:sz w:val="4"/>
                <w:szCs w:val="4"/>
              </w:rPr>
            </w:pPr>
            <w:r>
              <w:rPr>
                <w:sz w:val="4"/>
                <w:szCs w:val="4"/>
              </w:rPr>
            </w:r>
          </w:p>
        </w:tc>
        <w:tc>
          <w:tcPr>
            <w:tcW w:w="2323" w:type="dxa"/>
            <w:gridSpan w:val="2"/>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23.</w:t>
            </w:r>
          </w:p>
        </w:tc>
        <w:tc>
          <w:tcPr>
            <w:tcW w:w="120"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09675" cy="171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09675" cy="1714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4504865</w:t>
            </w:r>
          </w:p>
        </w:tc>
        <w:tc>
          <w:tcPr>
            <w:tcW w:w="120" w:type="dxa"/>
            <w:tcBorders/>
            <w:vAlign w:val="bottom"/>
          </w:tcPr>
          <w:p>
            <w:pPr>
              <w:pStyle w:val="TableContents"/>
              <w:bidi w:val="0"/>
              <w:spacing w:before="0" w:after="283"/>
              <w:jc w:val="left"/>
              <w:rPr/>
            </w:pPr>
            <w:r>
              <w:rPr/>
              <w:t>  </w:t>
            </w:r>
          </w:p>
        </w:tc>
        <w:tc>
          <w:tcPr>
            <w:tcW w:w="2128" w:type="dxa"/>
            <w:tcBorders/>
          </w:tcPr>
          <w:p>
            <w:pPr>
              <w:pStyle w:val="TableContents"/>
              <w:bidi w:val="0"/>
              <w:spacing w:before="0" w:after="283"/>
              <w:jc w:val="left"/>
              <w:rPr/>
            </w:pPr>
            <w:r>
              <w:rPr/>
              <w:t>India</w:t>
            </w:r>
          </w:p>
        </w:tc>
        <w:tc>
          <w:tcPr>
            <w:tcW w:w="120" w:type="dxa"/>
            <w:tcBorders/>
            <w:vAlign w:val="bottom"/>
          </w:tcPr>
          <w:p>
            <w:pPr>
              <w:pStyle w:val="TableContents"/>
              <w:bidi w:val="0"/>
              <w:spacing w:before="0" w:after="283"/>
              <w:jc w:val="left"/>
              <w:rPr/>
            </w:pPr>
            <w:r>
              <w:rPr/>
              <w:t>  </w:t>
            </w:r>
          </w:p>
        </w:tc>
        <w:tc>
          <w:tcPr>
            <w:tcW w:w="2203" w:type="dxa"/>
            <w:tcBorders/>
          </w:tcPr>
          <w:p>
            <w:pPr>
              <w:pStyle w:val="TableContents"/>
              <w:bidi w:val="0"/>
              <w:spacing w:before="0" w:after="283"/>
              <w:jc w:val="left"/>
              <w:rPr/>
            </w:pPr>
            <w:r>
              <w:rPr/>
              <w:t>Pending Application</w:t>
            </w:r>
          </w:p>
        </w:tc>
        <w:tc>
          <w:tcPr>
            <w:tcW w:w="12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left"/>
              <w:rPr/>
            </w:pPr>
            <w:r>
              <w:rPr/>
              <w:t>PLUS THERAPEUTICS, INC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62"/>
        <w:gridCol w:w="120"/>
        <w:gridCol w:w="2503"/>
        <w:gridCol w:w="120"/>
        <w:gridCol w:w="2098"/>
        <w:gridCol w:w="120"/>
        <w:gridCol w:w="2190"/>
        <w:gridCol w:w="120"/>
        <w:gridCol w:w="2472"/>
      </w:tblGrid>
      <w:tr>
        <w:trPr/>
        <w:tc>
          <w:tcPr>
            <w:tcW w:w="4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r>
      <w:tr>
        <w:trPr/>
        <w:tc>
          <w:tcPr>
            <w:tcW w:w="462" w:type="dxa"/>
            <w:tcBorders/>
            <w:vAlign w:val="bottom"/>
          </w:tcPr>
          <w:p>
            <w:pPr>
              <w:pStyle w:val="TableContents"/>
              <w:bidi w:val="0"/>
              <w:spacing w:before="0" w:after="283"/>
              <w:jc w:val="left"/>
              <w:rPr>
                <w:sz w:val="20"/>
              </w:rPr>
            </w:pPr>
            <w:r>
              <w:rPr>
                <w:sz w:val="20"/>
              </w:rPr>
              <w:t>#  </w:t>
            </w:r>
          </w:p>
        </w:tc>
        <w:tc>
          <w:tcPr>
            <w:tcW w:w="120" w:type="dxa"/>
            <w:tcBorders/>
            <w:vAlign w:val="bottom"/>
          </w:tcPr>
          <w:p>
            <w:pPr>
              <w:pStyle w:val="TableContents"/>
              <w:bidi w:val="0"/>
              <w:spacing w:before="0" w:after="283"/>
              <w:jc w:val="left"/>
              <w:rPr/>
            </w:pPr>
            <w:r>
              <w:rPr/>
              <w:t>  </w:t>
            </w:r>
          </w:p>
        </w:tc>
        <w:tc>
          <w:tcPr>
            <w:tcW w:w="25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Trademark</w:t>
            </w:r>
          </w:p>
        </w:tc>
        <w:tc>
          <w:tcPr>
            <w:tcW w:w="120"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c>
          <w:tcPr>
            <w:tcW w:w="120" w:type="dxa"/>
            <w:tcBorders/>
            <w:vAlign w:val="bottom"/>
          </w:tcPr>
          <w:p>
            <w:pPr>
              <w:pStyle w:val="TableContents"/>
              <w:bidi w:val="0"/>
              <w:spacing w:before="0" w:after="283"/>
              <w:jc w:val="left"/>
              <w:rPr/>
            </w:pPr>
            <w:r>
              <w:rPr/>
              <w:t>  </w:t>
            </w:r>
          </w:p>
        </w:tc>
        <w:tc>
          <w:tcPr>
            <w:tcW w:w="2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Status</w:t>
            </w:r>
          </w:p>
        </w:tc>
        <w:tc>
          <w:tcPr>
            <w:tcW w:w="120" w:type="dxa"/>
            <w:tcBorders/>
            <w:vAlign w:val="bottom"/>
          </w:tcPr>
          <w:p>
            <w:pPr>
              <w:pStyle w:val="TableContents"/>
              <w:bidi w:val="0"/>
              <w:spacing w:before="0" w:after="283"/>
              <w:jc w:val="left"/>
              <w:rPr/>
            </w:pPr>
            <w:r>
              <w:rPr/>
              <w:t>  </w:t>
            </w:r>
          </w:p>
        </w:tc>
        <w:tc>
          <w:tcPr>
            <w:tcW w:w="24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Record Owner Information</w:t>
            </w:r>
          </w:p>
        </w:tc>
      </w:tr>
      <w:tr>
        <w:trPr/>
        <w:tc>
          <w:tcPr>
            <w:tcW w:w="462" w:type="dxa"/>
            <w:tcBorders/>
          </w:tcPr>
          <w:p>
            <w:pPr>
              <w:pStyle w:val="TableContents"/>
              <w:bidi w:val="0"/>
              <w:spacing w:before="0" w:after="283"/>
              <w:jc w:val="left"/>
              <w:rPr/>
            </w:pPr>
            <w:r>
              <w:rPr/>
              <w:t>24.</w:t>
            </w:r>
          </w:p>
        </w:tc>
        <w:tc>
          <w:tcPr>
            <w:tcW w:w="120" w:type="dxa"/>
            <w:tcBorders/>
            <w:vAlign w:val="bottom"/>
          </w:tcPr>
          <w:p>
            <w:pPr>
              <w:pStyle w:val="TableContents"/>
              <w:bidi w:val="0"/>
              <w:spacing w:before="0" w:after="283"/>
              <w:jc w:val="left"/>
              <w:rPr/>
            </w:pPr>
            <w:r>
              <w:rPr/>
              <w:t>  </w:t>
            </w:r>
          </w:p>
        </w:tc>
        <w:tc>
          <w:tcPr>
            <w:tcW w:w="250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 THERAPEUTICS and Design</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266825" cy="5048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66825" cy="5048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 4506737</w:t>
            </w:r>
          </w:p>
        </w:tc>
        <w:tc>
          <w:tcPr>
            <w:tcW w:w="120" w:type="dxa"/>
            <w:tcBorders/>
            <w:vAlign w:val="bottom"/>
          </w:tcPr>
          <w:p>
            <w:pPr>
              <w:pStyle w:val="TableContents"/>
              <w:bidi w:val="0"/>
              <w:spacing w:before="0" w:after="283"/>
              <w:jc w:val="left"/>
              <w:rPr/>
            </w:pPr>
            <w:r>
              <w:rPr/>
              <w:t>  </w:t>
            </w:r>
          </w:p>
        </w:tc>
        <w:tc>
          <w:tcPr>
            <w:tcW w:w="2098" w:type="dxa"/>
            <w:tcBorders/>
          </w:tcPr>
          <w:p>
            <w:pPr>
              <w:pStyle w:val="TableContents"/>
              <w:bidi w:val="0"/>
              <w:spacing w:before="0" w:after="283"/>
              <w:jc w:val="left"/>
              <w:rPr/>
            </w:pPr>
            <w:r>
              <w:rPr/>
              <w:t>India</w:t>
            </w:r>
          </w:p>
        </w:tc>
        <w:tc>
          <w:tcPr>
            <w:tcW w:w="120" w:type="dxa"/>
            <w:tcBorders/>
            <w:vAlign w:val="bottom"/>
          </w:tcPr>
          <w:p>
            <w:pPr>
              <w:pStyle w:val="TableContents"/>
              <w:bidi w:val="0"/>
              <w:spacing w:before="0" w:after="283"/>
              <w:jc w:val="left"/>
              <w:rPr/>
            </w:pPr>
            <w:r>
              <w:rPr/>
              <w:t>  </w:t>
            </w:r>
          </w:p>
        </w:tc>
        <w:tc>
          <w:tcPr>
            <w:tcW w:w="2190" w:type="dxa"/>
            <w:tcBorders/>
          </w:tcPr>
          <w:p>
            <w:pPr>
              <w:pStyle w:val="TableContents"/>
              <w:bidi w:val="0"/>
              <w:spacing w:before="0" w:after="283"/>
              <w:jc w:val="left"/>
              <w:rPr/>
            </w:pPr>
            <w:r>
              <w:rPr/>
              <w:t>Pending Application</w:t>
            </w:r>
          </w:p>
        </w:tc>
        <w:tc>
          <w:tcPr>
            <w:tcW w:w="120" w:type="dxa"/>
            <w:tcBorders/>
            <w:vAlign w:val="bottom"/>
          </w:tcPr>
          <w:p>
            <w:pPr>
              <w:pStyle w:val="TableContents"/>
              <w:bidi w:val="0"/>
              <w:spacing w:before="0" w:after="283"/>
              <w:jc w:val="left"/>
              <w:rPr/>
            </w:pPr>
            <w:r>
              <w:rPr/>
              <w:t>  </w:t>
            </w:r>
          </w:p>
        </w:tc>
        <w:tc>
          <w:tcPr>
            <w:tcW w:w="2472" w:type="dxa"/>
            <w:tcBorders/>
          </w:tcPr>
          <w:p>
            <w:pPr>
              <w:pStyle w:val="TableContents"/>
              <w:bidi w:val="0"/>
              <w:spacing w:before="0" w:after="283"/>
              <w:jc w:val="left"/>
              <w:rPr/>
            </w:pPr>
            <w:r>
              <w:rPr/>
              <w:t>PLUS THERAPEUTICS,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the applicable assignment document(s) with the applicable Intellectual Property offices (PTO in the US) with respect to the following patents reflecting the assignment of such patents from Biocept, Inc.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
        <w:gridCol w:w="126"/>
        <w:gridCol w:w="1664"/>
        <w:gridCol w:w="168"/>
        <w:gridCol w:w="1600"/>
        <w:gridCol w:w="168"/>
        <w:gridCol w:w="1746"/>
        <w:gridCol w:w="168"/>
        <w:gridCol w:w="2485"/>
        <w:gridCol w:w="167"/>
        <w:gridCol w:w="1774"/>
      </w:tblGrid>
      <w:tr>
        <w:trPr/>
        <w:tc>
          <w:tcPr>
            <w:tcW w:w="1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1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6" w:type="dxa"/>
            <w:tcBorders/>
            <w:vAlign w:val="bottom"/>
          </w:tcPr>
          <w:p>
            <w:pPr>
              <w:pStyle w:val="TableContents"/>
              <w:bidi w:val="0"/>
              <w:spacing w:before="0" w:after="283"/>
              <w:jc w:val="left"/>
              <w:rPr/>
            </w:pPr>
            <w:r>
              <w:rPr/>
              <w:t>  </w:t>
            </w:r>
          </w:p>
        </w:tc>
        <w:tc>
          <w:tcPr>
            <w:tcW w:w="16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68" w:type="dxa"/>
            <w:tcBorders/>
            <w:vAlign w:val="bottom"/>
          </w:tcPr>
          <w:p>
            <w:pPr>
              <w:pStyle w:val="TableContents"/>
              <w:bidi w:val="0"/>
              <w:spacing w:before="0" w:after="283"/>
              <w:jc w:val="left"/>
              <w:rPr/>
            </w:pPr>
            <w:r>
              <w:rPr/>
              <w:t>  </w:t>
            </w:r>
          </w:p>
        </w:tc>
        <w:tc>
          <w:tcPr>
            <w:tcW w:w="16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Patent Number</w:t>
            </w:r>
          </w:p>
        </w:tc>
        <w:tc>
          <w:tcPr>
            <w:tcW w:w="168" w:type="dxa"/>
            <w:tcBorders/>
            <w:vAlign w:val="bottom"/>
          </w:tcPr>
          <w:p>
            <w:pPr>
              <w:pStyle w:val="TableContents"/>
              <w:bidi w:val="0"/>
              <w:spacing w:before="0" w:after="283"/>
              <w:jc w:val="left"/>
              <w:rPr/>
            </w:pPr>
            <w:r>
              <w:rPr/>
              <w:t>  </w:t>
            </w:r>
          </w:p>
        </w:tc>
        <w:tc>
          <w:tcPr>
            <w:tcW w:w="1746" w:type="dxa"/>
            <w:tcBorders>
              <w:bottom w:val="single" w:sz="8" w:space="0" w:color="000000"/>
            </w:tcBorders>
            <w:tcMar>
              <w:bottom w:w="28" w:type="dxa"/>
            </w:tcMar>
            <w:vAlign w:val="bottom"/>
          </w:tcPr>
          <w:p>
            <w:pPr>
              <w:pStyle w:val="TableContents"/>
              <w:bidi w:val="0"/>
              <w:spacing w:before="0" w:after="283"/>
              <w:jc w:val="left"/>
              <w:rPr>
                <w:b/>
              </w:rPr>
            </w:pPr>
            <w:r>
              <w:rPr>
                <w:b/>
              </w:rPr>
              <w:t>Publication Date</w:t>
            </w:r>
          </w:p>
        </w:tc>
        <w:tc>
          <w:tcPr>
            <w:tcW w:w="168" w:type="dxa"/>
            <w:tcBorders/>
            <w:vAlign w:val="bottom"/>
          </w:tcPr>
          <w:p>
            <w:pPr>
              <w:pStyle w:val="TableContents"/>
              <w:bidi w:val="0"/>
              <w:spacing w:before="0" w:after="283"/>
              <w:jc w:val="left"/>
              <w:rPr/>
            </w:pPr>
            <w:r>
              <w:rPr/>
              <w:t>  </w:t>
            </w:r>
          </w:p>
        </w:tc>
        <w:tc>
          <w:tcPr>
            <w:tcW w:w="248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Number</w:t>
            </w:r>
          </w:p>
        </w:tc>
        <w:tc>
          <w:tcPr>
            <w:tcW w:w="167" w:type="dxa"/>
            <w:tcBorders/>
            <w:vAlign w:val="bottom"/>
          </w:tcPr>
          <w:p>
            <w:pPr>
              <w:pStyle w:val="TableContents"/>
              <w:bidi w:val="0"/>
              <w:spacing w:before="0" w:after="283"/>
              <w:jc w:val="left"/>
              <w:rPr/>
            </w:pPr>
            <w:r>
              <w:rPr/>
              <w:t>  </w:t>
            </w:r>
          </w:p>
        </w:tc>
        <w:tc>
          <w:tcPr>
            <w:tcW w:w="1774" w:type="dxa"/>
            <w:tcBorders>
              <w:bottom w:val="single" w:sz="8" w:space="0" w:color="000000"/>
            </w:tcBorders>
            <w:tcMar>
              <w:bottom w:w="28" w:type="dxa"/>
            </w:tcMar>
            <w:vAlign w:val="bottom"/>
          </w:tcPr>
          <w:p>
            <w:pPr>
              <w:pStyle w:val="TableContents"/>
              <w:bidi w:val="0"/>
              <w:spacing w:before="0" w:after="283"/>
              <w:jc w:val="left"/>
              <w:rPr>
                <w:b/>
              </w:rPr>
            </w:pPr>
            <w:r>
              <w:rPr>
                <w:b/>
              </w:rPr>
              <w:t>Application Date</w:t>
            </w:r>
          </w:p>
        </w:tc>
      </w:tr>
      <w:tr>
        <w:trPr/>
        <w:tc>
          <w:tcPr>
            <w:tcW w:w="139" w:type="dxa"/>
            <w:tcBorders/>
          </w:tcPr>
          <w:p>
            <w:pPr>
              <w:pStyle w:val="TableContents"/>
              <w:bidi w:val="0"/>
              <w:spacing w:before="0" w:after="283"/>
              <w:jc w:val="left"/>
              <w:rPr/>
            </w:pPr>
            <w:r>
              <w:rPr/>
              <w:t>1.</w:t>
            </w:r>
          </w:p>
        </w:tc>
        <w:tc>
          <w:tcPr>
            <w:tcW w:w="126" w:type="dxa"/>
            <w:tcBorders/>
            <w:vAlign w:val="bottom"/>
          </w:tcPr>
          <w:p>
            <w:pPr>
              <w:pStyle w:val="TableContents"/>
              <w:bidi w:val="0"/>
              <w:spacing w:before="0" w:after="283"/>
              <w:jc w:val="left"/>
              <w:rPr/>
            </w:pPr>
            <w:r>
              <w:rPr/>
              <w:t>  </w:t>
            </w:r>
          </w:p>
        </w:tc>
        <w:tc>
          <w:tcPr>
            <w:tcW w:w="1664" w:type="dxa"/>
            <w:tcBorders/>
          </w:tcPr>
          <w:p>
            <w:pPr>
              <w:pStyle w:val="TableContents"/>
              <w:bidi w:val="0"/>
              <w:spacing w:before="0" w:after="283"/>
              <w:jc w:val="left"/>
              <w:rPr/>
            </w:pPr>
            <w:r>
              <w:rPr/>
              <w:t>DEVICES AND METHODS OF CELL CAPTURE AND ANALYSIS</w:t>
            </w:r>
          </w:p>
        </w:tc>
        <w:tc>
          <w:tcPr>
            <w:tcW w:w="168" w:type="dxa"/>
            <w:tcBorders/>
            <w:vAlign w:val="bottom"/>
          </w:tcPr>
          <w:p>
            <w:pPr>
              <w:pStyle w:val="TableContents"/>
              <w:bidi w:val="0"/>
              <w:spacing w:before="0" w:after="283"/>
              <w:jc w:val="left"/>
              <w:rPr/>
            </w:pPr>
            <w:r>
              <w:rPr/>
              <w:t>  </w:t>
            </w:r>
          </w:p>
        </w:tc>
        <w:tc>
          <w:tcPr>
            <w:tcW w:w="1600" w:type="dxa"/>
            <w:tcBorders/>
          </w:tcPr>
          <w:p>
            <w:pPr>
              <w:pStyle w:val="TableContents"/>
              <w:bidi w:val="0"/>
              <w:spacing w:before="0" w:after="283"/>
              <w:jc w:val="left"/>
              <w:rPr/>
            </w:pPr>
            <w:r>
              <w:rPr/>
              <w:t>CN102414562</w:t>
            </w:r>
          </w:p>
        </w:tc>
        <w:tc>
          <w:tcPr>
            <w:tcW w:w="168" w:type="dxa"/>
            <w:tcBorders/>
            <w:vAlign w:val="bottom"/>
          </w:tcPr>
          <w:p>
            <w:pPr>
              <w:pStyle w:val="TableContents"/>
              <w:bidi w:val="0"/>
              <w:spacing w:before="0" w:after="283"/>
              <w:jc w:val="left"/>
              <w:rPr/>
            </w:pPr>
            <w:r>
              <w:rPr/>
              <w:t>  </w:t>
            </w:r>
          </w:p>
        </w:tc>
        <w:tc>
          <w:tcPr>
            <w:tcW w:w="1746" w:type="dxa"/>
            <w:tcBorders/>
          </w:tcPr>
          <w:p>
            <w:pPr>
              <w:pStyle w:val="TableContents"/>
              <w:bidi w:val="0"/>
              <w:spacing w:before="0" w:after="283"/>
              <w:jc w:val="left"/>
              <w:rPr/>
            </w:pPr>
            <w:r>
              <w:rPr/>
              <w:t>20190507</w:t>
            </w:r>
          </w:p>
        </w:tc>
        <w:tc>
          <w:tcPr>
            <w:tcW w:w="168" w:type="dxa"/>
            <w:tcBorders/>
            <w:vAlign w:val="bottom"/>
          </w:tcPr>
          <w:p>
            <w:pPr>
              <w:pStyle w:val="TableContents"/>
              <w:bidi w:val="0"/>
              <w:spacing w:before="0" w:after="283"/>
              <w:jc w:val="left"/>
              <w:rPr/>
            </w:pPr>
            <w:r>
              <w:rPr/>
              <w:t>  </w:t>
            </w:r>
          </w:p>
        </w:tc>
        <w:tc>
          <w:tcPr>
            <w:tcW w:w="2485" w:type="dxa"/>
            <w:tcBorders/>
          </w:tcPr>
          <w:p>
            <w:pPr>
              <w:pStyle w:val="TableContents"/>
              <w:bidi w:val="0"/>
              <w:spacing w:before="0" w:after="283"/>
              <w:jc w:val="left"/>
              <w:rPr/>
            </w:pPr>
            <w:r>
              <w:rPr/>
              <w:t>CN201080019566</w:t>
            </w:r>
          </w:p>
        </w:tc>
        <w:tc>
          <w:tcPr>
            <w:tcW w:w="167"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283"/>
              <w:jc w:val="left"/>
              <w:rPr/>
            </w:pPr>
            <w:r>
              <w:rPr/>
              <w:t>20100324</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c>
          <w:tcPr>
            <w:tcW w:w="1914"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2.</w:t>
            </w:r>
          </w:p>
        </w:tc>
        <w:tc>
          <w:tcPr>
            <w:tcW w:w="126" w:type="dxa"/>
            <w:tcBorders/>
            <w:vAlign w:val="bottom"/>
          </w:tcPr>
          <w:p>
            <w:pPr>
              <w:pStyle w:val="TableContents"/>
              <w:bidi w:val="0"/>
              <w:spacing w:before="0" w:after="283"/>
              <w:jc w:val="left"/>
              <w:rPr/>
            </w:pPr>
            <w:r>
              <w:rPr/>
              <w:t>  </w:t>
            </w:r>
          </w:p>
        </w:tc>
        <w:tc>
          <w:tcPr>
            <w:tcW w:w="1664" w:type="dxa"/>
            <w:tcBorders/>
          </w:tcPr>
          <w:p>
            <w:pPr>
              <w:pStyle w:val="TableContents"/>
              <w:bidi w:val="0"/>
              <w:spacing w:before="0" w:after="283"/>
              <w:jc w:val="left"/>
              <w:rPr/>
            </w:pPr>
            <w:r>
              <w:rPr/>
              <w:t>DEVICES AND METHODS OF CELL CAPTURE AND ANALYSIS</w:t>
            </w:r>
          </w:p>
        </w:tc>
        <w:tc>
          <w:tcPr>
            <w:tcW w:w="168" w:type="dxa"/>
            <w:tcBorders/>
            <w:vAlign w:val="bottom"/>
          </w:tcPr>
          <w:p>
            <w:pPr>
              <w:pStyle w:val="TableContents"/>
              <w:bidi w:val="0"/>
              <w:spacing w:before="0" w:after="283"/>
              <w:jc w:val="left"/>
              <w:rPr/>
            </w:pPr>
            <w:r>
              <w:rPr/>
              <w:t>  </w:t>
            </w:r>
          </w:p>
        </w:tc>
        <w:tc>
          <w:tcPr>
            <w:tcW w:w="1600" w:type="dxa"/>
            <w:tcBorders/>
          </w:tcPr>
          <w:p>
            <w:pPr>
              <w:pStyle w:val="TableContents"/>
              <w:bidi w:val="0"/>
              <w:spacing w:before="0" w:after="283"/>
              <w:jc w:val="left"/>
              <w:rPr/>
            </w:pPr>
            <w:r>
              <w:rPr/>
              <w:t>EP2411808 (GB, DE, IT, FR, ES)</w:t>
            </w:r>
          </w:p>
        </w:tc>
        <w:tc>
          <w:tcPr>
            <w:tcW w:w="168" w:type="dxa"/>
            <w:tcBorders/>
            <w:vAlign w:val="bottom"/>
          </w:tcPr>
          <w:p>
            <w:pPr>
              <w:pStyle w:val="TableContents"/>
              <w:bidi w:val="0"/>
              <w:spacing w:before="0" w:after="283"/>
              <w:jc w:val="left"/>
              <w:rPr/>
            </w:pPr>
            <w:r>
              <w:rPr/>
              <w:t>  </w:t>
            </w:r>
          </w:p>
        </w:tc>
        <w:tc>
          <w:tcPr>
            <w:tcW w:w="1746" w:type="dxa"/>
            <w:tcBorders/>
          </w:tcPr>
          <w:p>
            <w:pPr>
              <w:pStyle w:val="TableContents"/>
              <w:bidi w:val="0"/>
              <w:spacing w:before="0" w:after="283"/>
              <w:jc w:val="left"/>
              <w:rPr/>
            </w:pPr>
            <w:r>
              <w:rPr/>
              <w:t>20151111</w:t>
            </w:r>
          </w:p>
        </w:tc>
        <w:tc>
          <w:tcPr>
            <w:tcW w:w="168" w:type="dxa"/>
            <w:tcBorders/>
            <w:vAlign w:val="bottom"/>
          </w:tcPr>
          <w:p>
            <w:pPr>
              <w:pStyle w:val="TableContents"/>
              <w:bidi w:val="0"/>
              <w:spacing w:before="0" w:after="283"/>
              <w:jc w:val="left"/>
              <w:rPr/>
            </w:pPr>
            <w:r>
              <w:rPr/>
              <w:t>  </w:t>
            </w:r>
          </w:p>
        </w:tc>
        <w:tc>
          <w:tcPr>
            <w:tcW w:w="2485" w:type="dxa"/>
            <w:tcBorders/>
          </w:tcPr>
          <w:p>
            <w:pPr>
              <w:pStyle w:val="TableContents"/>
              <w:bidi w:val="0"/>
              <w:spacing w:before="0" w:after="283"/>
              <w:jc w:val="left"/>
              <w:rPr/>
            </w:pPr>
            <w:r>
              <w:rPr/>
              <w:t>EP20100756790</w:t>
            </w:r>
          </w:p>
        </w:tc>
        <w:tc>
          <w:tcPr>
            <w:tcW w:w="167"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283"/>
              <w:jc w:val="left"/>
              <w:rPr/>
            </w:pPr>
            <w:r>
              <w:rPr/>
              <w:t>20100324</w:t>
            </w:r>
          </w:p>
        </w:tc>
      </w:tr>
      <w:tr>
        <w:trPr>
          <w:trHeight w:val="120" w:hRule="atLeast"/>
        </w:trPr>
        <w:tc>
          <w:tcPr>
            <w:tcW w:w="139" w:type="dxa"/>
            <w:tcBorders/>
            <w:vAlign w:val="center"/>
          </w:tcPr>
          <w:p>
            <w:pPr>
              <w:pStyle w:val="TableContents"/>
              <w:bidi w:val="0"/>
              <w:spacing w:before="0" w:after="283"/>
              <w:jc w:val="left"/>
              <w:rPr>
                <w:sz w:val="4"/>
                <w:szCs w:val="4"/>
              </w:rPr>
            </w:pPr>
            <w:r>
              <w:rPr>
                <w:sz w:val="4"/>
                <w:szCs w:val="4"/>
              </w:rPr>
            </w:r>
          </w:p>
        </w:tc>
        <w:tc>
          <w:tcPr>
            <w:tcW w:w="1790"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c>
          <w:tcPr>
            <w:tcW w:w="1914"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139" w:type="dxa"/>
            <w:tcBorders/>
          </w:tcPr>
          <w:p>
            <w:pPr>
              <w:pStyle w:val="TableContents"/>
              <w:bidi w:val="0"/>
              <w:spacing w:before="0" w:after="283"/>
              <w:jc w:val="left"/>
              <w:rPr/>
            </w:pPr>
            <w:r>
              <w:rPr/>
              <w:t>3.</w:t>
            </w:r>
          </w:p>
        </w:tc>
        <w:tc>
          <w:tcPr>
            <w:tcW w:w="126" w:type="dxa"/>
            <w:tcBorders/>
            <w:vAlign w:val="bottom"/>
          </w:tcPr>
          <w:p>
            <w:pPr>
              <w:pStyle w:val="TableContents"/>
              <w:bidi w:val="0"/>
              <w:spacing w:before="0" w:after="283"/>
              <w:jc w:val="left"/>
              <w:rPr/>
            </w:pPr>
            <w:r>
              <w:rPr/>
              <w:t>  </w:t>
            </w:r>
          </w:p>
        </w:tc>
        <w:tc>
          <w:tcPr>
            <w:tcW w:w="1664" w:type="dxa"/>
            <w:tcBorders/>
          </w:tcPr>
          <w:p>
            <w:pPr>
              <w:pStyle w:val="TableContents"/>
              <w:bidi w:val="0"/>
              <w:spacing w:before="0" w:after="283"/>
              <w:jc w:val="left"/>
              <w:rPr/>
            </w:pPr>
            <w:r>
              <w:rPr/>
              <w:t>DEVICES AND METHODS OF CELL CAPTURE AND ANALYSIS</w:t>
            </w:r>
          </w:p>
        </w:tc>
        <w:tc>
          <w:tcPr>
            <w:tcW w:w="168" w:type="dxa"/>
            <w:tcBorders/>
            <w:vAlign w:val="bottom"/>
          </w:tcPr>
          <w:p>
            <w:pPr>
              <w:pStyle w:val="TableContents"/>
              <w:bidi w:val="0"/>
              <w:spacing w:before="0" w:after="283"/>
              <w:jc w:val="left"/>
              <w:rPr/>
            </w:pPr>
            <w:r>
              <w:rPr/>
              <w:t>  </w:t>
            </w:r>
          </w:p>
        </w:tc>
        <w:tc>
          <w:tcPr>
            <w:tcW w:w="1600" w:type="dxa"/>
            <w:tcBorders/>
          </w:tcPr>
          <w:p>
            <w:pPr>
              <w:pStyle w:val="TableContents"/>
              <w:bidi w:val="0"/>
              <w:spacing w:before="0" w:after="283"/>
              <w:jc w:val="left"/>
              <w:rPr/>
            </w:pPr>
            <w:r>
              <w:rPr/>
              <w:t>EP2995953 (GB, DE, IT, FR)</w:t>
            </w:r>
          </w:p>
        </w:tc>
        <w:tc>
          <w:tcPr>
            <w:tcW w:w="168" w:type="dxa"/>
            <w:tcBorders/>
            <w:vAlign w:val="bottom"/>
          </w:tcPr>
          <w:p>
            <w:pPr>
              <w:pStyle w:val="TableContents"/>
              <w:bidi w:val="0"/>
              <w:spacing w:before="0" w:after="283"/>
              <w:jc w:val="left"/>
              <w:rPr/>
            </w:pPr>
            <w:r>
              <w:rPr/>
              <w:t>  </w:t>
            </w:r>
          </w:p>
        </w:tc>
        <w:tc>
          <w:tcPr>
            <w:tcW w:w="1746" w:type="dxa"/>
            <w:tcBorders/>
          </w:tcPr>
          <w:p>
            <w:pPr>
              <w:pStyle w:val="TableContents"/>
              <w:bidi w:val="0"/>
              <w:spacing w:before="0" w:after="283"/>
              <w:jc w:val="left"/>
              <w:rPr/>
            </w:pPr>
            <w:r>
              <w:rPr/>
              <w:t>20171129</w:t>
            </w:r>
          </w:p>
        </w:tc>
        <w:tc>
          <w:tcPr>
            <w:tcW w:w="168" w:type="dxa"/>
            <w:tcBorders/>
            <w:vAlign w:val="bottom"/>
          </w:tcPr>
          <w:p>
            <w:pPr>
              <w:pStyle w:val="TableContents"/>
              <w:bidi w:val="0"/>
              <w:spacing w:before="0" w:after="283"/>
              <w:jc w:val="left"/>
              <w:rPr/>
            </w:pPr>
            <w:r>
              <w:rPr/>
              <w:t>  </w:t>
            </w:r>
          </w:p>
        </w:tc>
        <w:tc>
          <w:tcPr>
            <w:tcW w:w="2485" w:type="dxa"/>
            <w:tcBorders/>
          </w:tcPr>
          <w:p>
            <w:pPr>
              <w:pStyle w:val="TableContents"/>
              <w:bidi w:val="0"/>
              <w:spacing w:before="0" w:after="283"/>
              <w:jc w:val="left"/>
              <w:rPr/>
            </w:pPr>
            <w:r>
              <w:rPr/>
              <w:t>EP20150188374</w:t>
            </w:r>
          </w:p>
        </w:tc>
        <w:tc>
          <w:tcPr>
            <w:tcW w:w="167"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283"/>
              <w:jc w:val="left"/>
              <w:rPr/>
            </w:pPr>
            <w:r>
              <w:rPr/>
              <w:t>20100324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1"/>
        <w:gridCol w:w="120"/>
        <w:gridCol w:w="2130"/>
        <w:gridCol w:w="120"/>
        <w:gridCol w:w="1810"/>
        <w:gridCol w:w="120"/>
        <w:gridCol w:w="1682"/>
        <w:gridCol w:w="120"/>
        <w:gridCol w:w="1955"/>
        <w:gridCol w:w="120"/>
        <w:gridCol w:w="1687"/>
      </w:tblGrid>
      <w:tr>
        <w:trPr/>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3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1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81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Patent Number</w:t>
            </w:r>
          </w:p>
        </w:tc>
        <w:tc>
          <w:tcPr>
            <w:tcW w:w="120" w:type="dxa"/>
            <w:tcBorders/>
            <w:vAlign w:val="bottom"/>
          </w:tcPr>
          <w:p>
            <w:pPr>
              <w:pStyle w:val="TableContents"/>
              <w:bidi w:val="0"/>
              <w:spacing w:before="0" w:after="283"/>
              <w:jc w:val="left"/>
              <w:rPr/>
            </w:pPr>
            <w:r>
              <w:rPr/>
              <w:t>  </w:t>
            </w:r>
          </w:p>
        </w:tc>
        <w:tc>
          <w:tcPr>
            <w:tcW w:w="16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120" w:type="dxa"/>
            <w:tcBorders/>
            <w:vAlign w:val="bottom"/>
          </w:tcPr>
          <w:p>
            <w:pPr>
              <w:pStyle w:val="TableContents"/>
              <w:bidi w:val="0"/>
              <w:spacing w:before="0" w:after="283"/>
              <w:jc w:val="left"/>
              <w:rPr/>
            </w:pPr>
            <w:r>
              <w:rPr/>
              <w:t>  </w:t>
            </w:r>
          </w:p>
        </w:tc>
        <w:tc>
          <w:tcPr>
            <w:tcW w:w="19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Number</w:t>
            </w:r>
          </w:p>
        </w:tc>
        <w:tc>
          <w:tcPr>
            <w:tcW w:w="120" w:type="dxa"/>
            <w:tcBorders/>
            <w:vAlign w:val="bottom"/>
          </w:tcPr>
          <w:p>
            <w:pPr>
              <w:pStyle w:val="TableContents"/>
              <w:bidi w:val="0"/>
              <w:spacing w:before="0" w:after="283"/>
              <w:jc w:val="left"/>
              <w:rPr/>
            </w:pPr>
            <w:r>
              <w:rPr/>
              <w:t>  </w:t>
            </w:r>
          </w:p>
        </w:tc>
        <w:tc>
          <w:tcPr>
            <w:tcW w:w="168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r>
      <w:tr>
        <w:trPr/>
        <w:tc>
          <w:tcPr>
            <w:tcW w:w="341"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2130" w:type="dxa"/>
            <w:tcBorders/>
          </w:tcPr>
          <w:p>
            <w:pPr>
              <w:pStyle w:val="TableContents"/>
              <w:bidi w:val="0"/>
              <w:spacing w:before="0" w:after="283"/>
              <w:jc w:val="left"/>
              <w:rPr/>
            </w:pPr>
            <w:r>
              <w:rPr/>
              <w:t>DEVICES AND METHODS OF CELL CAPTURE AND ANALYSIS</w:t>
            </w:r>
          </w:p>
        </w:tc>
        <w:tc>
          <w:tcPr>
            <w:tcW w:w="120" w:type="dxa"/>
            <w:tcBorders/>
            <w:vAlign w:val="bottom"/>
          </w:tcPr>
          <w:p>
            <w:pPr>
              <w:pStyle w:val="TableContents"/>
              <w:bidi w:val="0"/>
              <w:spacing w:before="0" w:after="283"/>
              <w:jc w:val="left"/>
              <w:rPr/>
            </w:pPr>
            <w:r>
              <w:rPr/>
              <w:t>  </w:t>
            </w:r>
          </w:p>
        </w:tc>
        <w:tc>
          <w:tcPr>
            <w:tcW w:w="1810" w:type="dxa"/>
            <w:tcBorders/>
          </w:tcPr>
          <w:p>
            <w:pPr>
              <w:pStyle w:val="TableContents"/>
              <w:bidi w:val="0"/>
              <w:spacing w:before="0" w:after="283"/>
              <w:jc w:val="left"/>
              <w:rPr/>
            </w:pPr>
            <w:r>
              <w:rPr/>
              <w:t>US96714071</w:t>
            </w:r>
          </w:p>
        </w:tc>
        <w:tc>
          <w:tcPr>
            <w:tcW w:w="120" w:type="dxa"/>
            <w:tcBorders/>
            <w:vAlign w:val="bottom"/>
          </w:tcPr>
          <w:p>
            <w:pPr>
              <w:pStyle w:val="TableContents"/>
              <w:bidi w:val="0"/>
              <w:spacing w:before="0" w:after="283"/>
              <w:jc w:val="left"/>
              <w:rPr/>
            </w:pPr>
            <w:r>
              <w:rPr/>
              <w:t>  </w:t>
            </w:r>
          </w:p>
        </w:tc>
        <w:tc>
          <w:tcPr>
            <w:tcW w:w="1682" w:type="dxa"/>
            <w:tcBorders/>
          </w:tcPr>
          <w:p>
            <w:pPr>
              <w:pStyle w:val="TableContents"/>
              <w:bidi w:val="0"/>
              <w:spacing w:before="0" w:after="283"/>
              <w:jc w:val="left"/>
              <w:rPr/>
            </w:pPr>
            <w:r>
              <w:rPr/>
              <w:t>20170606</w:t>
            </w:r>
          </w:p>
        </w:tc>
        <w:tc>
          <w:tcPr>
            <w:tcW w:w="120"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US20140223980</w:t>
            </w:r>
          </w:p>
        </w:tc>
        <w:tc>
          <w:tcPr>
            <w:tcW w:w="120"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20140324</w:t>
            </w:r>
          </w:p>
        </w:tc>
      </w:tr>
      <w:tr>
        <w:trPr>
          <w:trHeight w:val="120" w:hRule="atLeast"/>
        </w:trPr>
        <w:tc>
          <w:tcPr>
            <w:tcW w:w="341" w:type="dxa"/>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c>
          <w:tcPr>
            <w:tcW w:w="1930" w:type="dxa"/>
            <w:gridSpan w:val="2"/>
            <w:tcBorders/>
            <w:vAlign w:val="center"/>
          </w:tcPr>
          <w:p>
            <w:pPr>
              <w:pStyle w:val="TableContents"/>
              <w:bidi w:val="0"/>
              <w:spacing w:before="0" w:after="283"/>
              <w:jc w:val="left"/>
              <w:rPr>
                <w:sz w:val="4"/>
                <w:szCs w:val="4"/>
              </w:rPr>
            </w:pPr>
            <w:r>
              <w:rPr>
                <w:sz w:val="4"/>
                <w:szCs w:val="4"/>
              </w:rPr>
            </w:r>
          </w:p>
        </w:tc>
        <w:tc>
          <w:tcPr>
            <w:tcW w:w="1802"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1807"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tcPr>
          <w:p>
            <w:pPr>
              <w:pStyle w:val="TableContents"/>
              <w:bidi w:val="0"/>
              <w:spacing w:before="0" w:after="283"/>
              <w:jc w:val="left"/>
              <w:rPr/>
            </w:pPr>
            <w:r>
              <w:rPr/>
              <w:t>5.</w:t>
            </w:r>
          </w:p>
        </w:tc>
        <w:tc>
          <w:tcPr>
            <w:tcW w:w="120" w:type="dxa"/>
            <w:tcBorders/>
            <w:vAlign w:val="bottom"/>
          </w:tcPr>
          <w:p>
            <w:pPr>
              <w:pStyle w:val="TableContents"/>
              <w:bidi w:val="0"/>
              <w:spacing w:before="0" w:after="283"/>
              <w:jc w:val="left"/>
              <w:rPr/>
            </w:pPr>
            <w:r>
              <w:rPr/>
              <w:t>  </w:t>
            </w:r>
          </w:p>
        </w:tc>
        <w:tc>
          <w:tcPr>
            <w:tcW w:w="2130" w:type="dxa"/>
            <w:tcBorders/>
          </w:tcPr>
          <w:p>
            <w:pPr>
              <w:pStyle w:val="TableContents"/>
              <w:bidi w:val="0"/>
              <w:spacing w:before="0" w:after="283"/>
              <w:jc w:val="left"/>
              <w:rPr/>
            </w:pPr>
            <w:r>
              <w:rPr/>
              <w:t>METHODS AND REAGENTS FOR SIGNAL AMPLIFICATION</w:t>
            </w:r>
          </w:p>
        </w:tc>
        <w:tc>
          <w:tcPr>
            <w:tcW w:w="120" w:type="dxa"/>
            <w:tcBorders/>
            <w:vAlign w:val="bottom"/>
          </w:tcPr>
          <w:p>
            <w:pPr>
              <w:pStyle w:val="TableContents"/>
              <w:bidi w:val="0"/>
              <w:spacing w:before="0" w:after="283"/>
              <w:jc w:val="left"/>
              <w:rPr/>
            </w:pPr>
            <w:r>
              <w:rPr/>
              <w:t>  </w:t>
            </w:r>
          </w:p>
        </w:tc>
        <w:tc>
          <w:tcPr>
            <w:tcW w:w="1810" w:type="dxa"/>
            <w:tcBorders/>
          </w:tcPr>
          <w:p>
            <w:pPr>
              <w:pStyle w:val="TableContents"/>
              <w:bidi w:val="0"/>
              <w:spacing w:before="0" w:after="283"/>
              <w:jc w:val="left"/>
              <w:rPr/>
            </w:pPr>
            <w:r>
              <w:rPr/>
              <w:t>EP2619588 (DE,</w:t>
              <w:br/>
              <w:t>IT, GB, FR, CH)</w:t>
            </w:r>
          </w:p>
        </w:tc>
        <w:tc>
          <w:tcPr>
            <w:tcW w:w="120" w:type="dxa"/>
            <w:tcBorders/>
            <w:vAlign w:val="bottom"/>
          </w:tcPr>
          <w:p>
            <w:pPr>
              <w:pStyle w:val="TableContents"/>
              <w:bidi w:val="0"/>
              <w:spacing w:before="0" w:after="283"/>
              <w:jc w:val="left"/>
              <w:rPr/>
            </w:pPr>
            <w:r>
              <w:rPr/>
              <w:t>  </w:t>
            </w:r>
          </w:p>
        </w:tc>
        <w:tc>
          <w:tcPr>
            <w:tcW w:w="1682" w:type="dxa"/>
            <w:tcBorders/>
          </w:tcPr>
          <w:p>
            <w:pPr>
              <w:pStyle w:val="TableContents"/>
              <w:bidi w:val="0"/>
              <w:spacing w:before="0" w:after="283"/>
              <w:jc w:val="left"/>
              <w:rPr/>
            </w:pPr>
            <w:r>
              <w:rPr/>
              <w:t>20190807</w:t>
            </w:r>
          </w:p>
        </w:tc>
        <w:tc>
          <w:tcPr>
            <w:tcW w:w="120" w:type="dxa"/>
            <w:tcBorders/>
            <w:vAlign w:val="bottom"/>
          </w:tcPr>
          <w:p>
            <w:pPr>
              <w:pStyle w:val="TableContents"/>
              <w:bidi w:val="0"/>
              <w:spacing w:before="0" w:after="283"/>
              <w:jc w:val="left"/>
              <w:rPr/>
            </w:pPr>
            <w:r>
              <w:rPr/>
              <w:t>  </w:t>
            </w:r>
          </w:p>
        </w:tc>
        <w:tc>
          <w:tcPr>
            <w:tcW w:w="1955" w:type="dxa"/>
            <w:tcBorders/>
          </w:tcPr>
          <w:p>
            <w:pPr>
              <w:pStyle w:val="TableContents"/>
              <w:bidi w:val="0"/>
              <w:spacing w:before="0" w:after="283"/>
              <w:jc w:val="left"/>
              <w:rPr/>
            </w:pPr>
            <w:r>
              <w:rPr/>
              <w:t>EP20110827572</w:t>
            </w:r>
          </w:p>
        </w:tc>
        <w:tc>
          <w:tcPr>
            <w:tcW w:w="120" w:type="dxa"/>
            <w:tcBorders/>
            <w:vAlign w:val="bottom"/>
          </w:tcPr>
          <w:p>
            <w:pPr>
              <w:pStyle w:val="TableContents"/>
              <w:bidi w:val="0"/>
              <w:spacing w:before="0" w:after="283"/>
              <w:jc w:val="left"/>
              <w:rPr/>
            </w:pPr>
            <w:r>
              <w:rPr/>
              <w:t>  </w:t>
            </w:r>
          </w:p>
        </w:tc>
        <w:tc>
          <w:tcPr>
            <w:tcW w:w="1687" w:type="dxa"/>
            <w:tcBorders/>
          </w:tcPr>
          <w:p>
            <w:pPr>
              <w:pStyle w:val="TableContents"/>
              <w:bidi w:val="0"/>
              <w:spacing w:before="0" w:after="283"/>
              <w:jc w:val="left"/>
              <w:rPr/>
            </w:pPr>
            <w:r>
              <w:rPr/>
              <w:t>20110922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the applicable assignment document(s) with the applicable Intellectual Property offices (USPTO in the US) with respect to the following patents reflecting the assignment of such patents from Additive Therapy Co.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
        <w:gridCol w:w="120"/>
        <w:gridCol w:w="2210"/>
        <w:gridCol w:w="120"/>
        <w:gridCol w:w="1833"/>
        <w:gridCol w:w="120"/>
        <w:gridCol w:w="1618"/>
        <w:gridCol w:w="120"/>
        <w:gridCol w:w="2000"/>
        <w:gridCol w:w="120"/>
        <w:gridCol w:w="1622"/>
      </w:tblGrid>
      <w:tr>
        <w:trPr/>
        <w:tc>
          <w:tcPr>
            <w:tcW w:w="3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21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83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Patent Number</w:t>
            </w:r>
          </w:p>
        </w:tc>
        <w:tc>
          <w:tcPr>
            <w:tcW w:w="120" w:type="dxa"/>
            <w:tcBorders/>
            <w:vAlign w:val="bottom"/>
          </w:tcPr>
          <w:p>
            <w:pPr>
              <w:pStyle w:val="TableContents"/>
              <w:bidi w:val="0"/>
              <w:spacing w:before="0" w:after="283"/>
              <w:jc w:val="left"/>
              <w:rPr/>
            </w:pPr>
            <w:r>
              <w:rPr/>
              <w:t>  </w:t>
            </w:r>
          </w:p>
        </w:tc>
        <w:tc>
          <w:tcPr>
            <w:tcW w:w="161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120" w:type="dxa"/>
            <w:tcBorders/>
            <w:vAlign w:val="bottom"/>
          </w:tcPr>
          <w:p>
            <w:pPr>
              <w:pStyle w:val="TableContents"/>
              <w:bidi w:val="0"/>
              <w:spacing w:before="0" w:after="283"/>
              <w:jc w:val="left"/>
              <w:rPr/>
            </w:pPr>
            <w:r>
              <w:rPr/>
              <w:t>  </w:t>
            </w:r>
          </w:p>
        </w:tc>
        <w:tc>
          <w:tcPr>
            <w:tcW w:w="20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Number</w:t>
            </w:r>
          </w:p>
        </w:tc>
        <w:tc>
          <w:tcPr>
            <w:tcW w:w="120" w:type="dxa"/>
            <w:tcBorders/>
            <w:vAlign w:val="bottom"/>
          </w:tcPr>
          <w:p>
            <w:pPr>
              <w:pStyle w:val="TableContents"/>
              <w:bidi w:val="0"/>
              <w:spacing w:before="0" w:after="283"/>
              <w:jc w:val="left"/>
              <w:rPr/>
            </w:pPr>
            <w:r>
              <w:rPr/>
              <w:t>  </w:t>
            </w:r>
          </w:p>
        </w:tc>
        <w:tc>
          <w:tcPr>
            <w:tcW w:w="16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r>
      <w:tr>
        <w:trPr/>
        <w:tc>
          <w:tcPr>
            <w:tcW w:w="322"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left"/>
              <w:rPr/>
            </w:pPr>
            <w:r>
              <w:rPr/>
              <w:t>BIODEGRADABLE ALGINATE MICROSPHERES</w:t>
            </w:r>
          </w:p>
        </w:tc>
        <w:tc>
          <w:tcPr>
            <w:tcW w:w="120" w:type="dxa"/>
            <w:tcBorders/>
            <w:vAlign w:val="bottom"/>
          </w:tcPr>
          <w:p>
            <w:pPr>
              <w:pStyle w:val="TableContents"/>
              <w:bidi w:val="0"/>
              <w:spacing w:before="0" w:after="283"/>
              <w:jc w:val="left"/>
              <w:rPr/>
            </w:pPr>
            <w:r>
              <w:rPr/>
              <w:t>  </w:t>
            </w:r>
          </w:p>
        </w:tc>
        <w:tc>
          <w:tcPr>
            <w:tcW w:w="1833"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pPr>
            <w:r>
              <w:rPr/>
              <w:t>20251125</w:t>
            </w:r>
          </w:p>
        </w:tc>
        <w:tc>
          <w:tcPr>
            <w:tcW w:w="120" w:type="dxa"/>
            <w:tcBorders/>
            <w:vAlign w:val="bottom"/>
          </w:tcPr>
          <w:p>
            <w:pPr>
              <w:pStyle w:val="TableContents"/>
              <w:bidi w:val="0"/>
              <w:spacing w:before="0" w:after="283"/>
              <w:jc w:val="left"/>
              <w:rPr/>
            </w:pPr>
            <w:r>
              <w:rPr/>
              <w:t>  </w:t>
            </w:r>
          </w:p>
        </w:tc>
        <w:tc>
          <w:tcPr>
            <w:tcW w:w="2000" w:type="dxa"/>
            <w:tcBorders/>
          </w:tcPr>
          <w:p>
            <w:pPr>
              <w:pStyle w:val="TableContents"/>
              <w:bidi w:val="0"/>
              <w:spacing w:before="0" w:after="283"/>
              <w:jc w:val="left"/>
              <w:rPr/>
            </w:pPr>
            <w:r>
              <w:rPr/>
              <w:t>CN202380093881</w:t>
            </w:r>
          </w:p>
        </w:tc>
        <w:tc>
          <w:tcPr>
            <w:tcW w:w="120" w:type="dxa"/>
            <w:tcBorders/>
            <w:vAlign w:val="bottom"/>
          </w:tcPr>
          <w:p>
            <w:pPr>
              <w:pStyle w:val="TableContents"/>
              <w:bidi w:val="0"/>
              <w:spacing w:before="0" w:after="283"/>
              <w:jc w:val="left"/>
              <w:rPr/>
            </w:pPr>
            <w:r>
              <w:rPr/>
              <w:t>  </w:t>
            </w:r>
          </w:p>
        </w:tc>
        <w:tc>
          <w:tcPr>
            <w:tcW w:w="1622" w:type="dxa"/>
            <w:tcBorders/>
          </w:tcPr>
          <w:p>
            <w:pPr>
              <w:pStyle w:val="TableContents"/>
              <w:bidi w:val="0"/>
              <w:spacing w:before="0" w:after="283"/>
              <w:jc w:val="left"/>
              <w:rPr/>
            </w:pPr>
            <w:r>
              <w:rPr/>
              <w:t>20231220</w:t>
            </w:r>
          </w:p>
        </w:tc>
      </w:tr>
      <w:tr>
        <w:trPr>
          <w:trHeight w:val="120" w:hRule="atLeast"/>
        </w:trPr>
        <w:tc>
          <w:tcPr>
            <w:tcW w:w="322" w:type="dxa"/>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1953" w:type="dxa"/>
            <w:gridSpan w:val="2"/>
            <w:tcBorders/>
            <w:vAlign w:val="center"/>
          </w:tcPr>
          <w:p>
            <w:pPr>
              <w:pStyle w:val="TableContents"/>
              <w:bidi w:val="0"/>
              <w:spacing w:before="0" w:after="283"/>
              <w:jc w:val="left"/>
              <w:rPr>
                <w:sz w:val="4"/>
                <w:szCs w:val="4"/>
              </w:rPr>
            </w:pPr>
            <w:r>
              <w:rPr>
                <w:sz w:val="4"/>
                <w:szCs w:val="4"/>
              </w:rPr>
            </w:r>
          </w:p>
        </w:tc>
        <w:tc>
          <w:tcPr>
            <w:tcW w:w="1738" w:type="dxa"/>
            <w:gridSpan w:val="2"/>
            <w:tcBorders/>
            <w:vAlign w:val="center"/>
          </w:tcPr>
          <w:p>
            <w:pPr>
              <w:pStyle w:val="TableContents"/>
              <w:bidi w:val="0"/>
              <w:spacing w:before="0" w:after="283"/>
              <w:jc w:val="left"/>
              <w:rPr>
                <w:sz w:val="4"/>
                <w:szCs w:val="4"/>
              </w:rPr>
            </w:pPr>
            <w:r>
              <w:rPr>
                <w:sz w:val="4"/>
                <w:szCs w:val="4"/>
              </w:rPr>
            </w:r>
          </w:p>
        </w:tc>
        <w:tc>
          <w:tcPr>
            <w:tcW w:w="2120" w:type="dxa"/>
            <w:gridSpan w:val="2"/>
            <w:tcBorders/>
            <w:vAlign w:val="center"/>
          </w:tcPr>
          <w:p>
            <w:pPr>
              <w:pStyle w:val="TableContents"/>
              <w:bidi w:val="0"/>
              <w:spacing w:before="0" w:after="283"/>
              <w:jc w:val="left"/>
              <w:rPr>
                <w:sz w:val="4"/>
                <w:szCs w:val="4"/>
              </w:rPr>
            </w:pPr>
            <w:r>
              <w:rPr>
                <w:sz w:val="4"/>
                <w:szCs w:val="4"/>
              </w:rPr>
            </w:r>
          </w:p>
        </w:tc>
        <w:tc>
          <w:tcPr>
            <w:tcW w:w="1742" w:type="dxa"/>
            <w:gridSpan w:val="2"/>
            <w:tcBorders/>
            <w:vAlign w:val="center"/>
          </w:tcPr>
          <w:p>
            <w:pPr>
              <w:pStyle w:val="TableContents"/>
              <w:bidi w:val="0"/>
              <w:spacing w:before="0" w:after="283"/>
              <w:jc w:val="left"/>
              <w:rPr>
                <w:sz w:val="4"/>
                <w:szCs w:val="4"/>
              </w:rPr>
            </w:pPr>
            <w:r>
              <w:rPr>
                <w:sz w:val="4"/>
                <w:szCs w:val="4"/>
              </w:rPr>
            </w:r>
          </w:p>
        </w:tc>
      </w:tr>
      <w:tr>
        <w:trPr/>
        <w:tc>
          <w:tcPr>
            <w:tcW w:w="322"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left"/>
              <w:rPr/>
            </w:pPr>
            <w:r>
              <w:rPr/>
              <w:t>DETECTION OR ISOLATION OF TARGET MOLECULES USING A MICROCHANNEL APPARATUS</w:t>
            </w:r>
          </w:p>
        </w:tc>
        <w:tc>
          <w:tcPr>
            <w:tcW w:w="120" w:type="dxa"/>
            <w:tcBorders/>
            <w:vAlign w:val="bottom"/>
          </w:tcPr>
          <w:p>
            <w:pPr>
              <w:pStyle w:val="TableContents"/>
              <w:bidi w:val="0"/>
              <w:spacing w:before="0" w:after="283"/>
              <w:jc w:val="left"/>
              <w:rPr/>
            </w:pPr>
            <w:r>
              <w:rPr/>
              <w:t>  </w:t>
            </w:r>
          </w:p>
        </w:tc>
        <w:tc>
          <w:tcPr>
            <w:tcW w:w="1833" w:type="dxa"/>
            <w:tcBorders/>
          </w:tcPr>
          <w:p>
            <w:pPr>
              <w:pStyle w:val="TableContents"/>
              <w:bidi w:val="0"/>
              <w:spacing w:before="0" w:after="283"/>
              <w:jc w:val="left"/>
              <w:rPr/>
            </w:pPr>
            <w:r>
              <w:rPr/>
              <w:t>CN101535466</w:t>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pPr>
            <w:r>
              <w:rPr/>
              <w:t>20140709</w:t>
            </w:r>
          </w:p>
        </w:tc>
        <w:tc>
          <w:tcPr>
            <w:tcW w:w="120" w:type="dxa"/>
            <w:tcBorders/>
            <w:vAlign w:val="bottom"/>
          </w:tcPr>
          <w:p>
            <w:pPr>
              <w:pStyle w:val="TableContents"/>
              <w:bidi w:val="0"/>
              <w:spacing w:before="0" w:after="283"/>
              <w:jc w:val="left"/>
              <w:rPr/>
            </w:pPr>
            <w:r>
              <w:rPr/>
              <w:t>  </w:t>
            </w:r>
          </w:p>
        </w:tc>
        <w:tc>
          <w:tcPr>
            <w:tcW w:w="2000" w:type="dxa"/>
            <w:tcBorders/>
          </w:tcPr>
          <w:p>
            <w:pPr>
              <w:pStyle w:val="TableContents"/>
              <w:bidi w:val="0"/>
              <w:spacing w:before="0" w:after="283"/>
              <w:jc w:val="left"/>
              <w:rPr/>
            </w:pPr>
            <w:r>
              <w:rPr/>
              <w:t>CN200780032530</w:t>
            </w:r>
          </w:p>
        </w:tc>
        <w:tc>
          <w:tcPr>
            <w:tcW w:w="120" w:type="dxa"/>
            <w:tcBorders/>
            <w:vAlign w:val="bottom"/>
          </w:tcPr>
          <w:p>
            <w:pPr>
              <w:pStyle w:val="TableContents"/>
              <w:bidi w:val="0"/>
              <w:spacing w:before="0" w:after="283"/>
              <w:jc w:val="left"/>
              <w:rPr/>
            </w:pPr>
            <w:r>
              <w:rPr/>
              <w:t>  </w:t>
            </w:r>
          </w:p>
        </w:tc>
        <w:tc>
          <w:tcPr>
            <w:tcW w:w="1622" w:type="dxa"/>
            <w:tcBorders/>
          </w:tcPr>
          <w:p>
            <w:pPr>
              <w:pStyle w:val="TableContents"/>
              <w:bidi w:val="0"/>
              <w:spacing w:before="0" w:after="283"/>
              <w:jc w:val="left"/>
              <w:rPr/>
            </w:pPr>
            <w:r>
              <w:rPr/>
              <w:t>20070718</w:t>
            </w:r>
          </w:p>
        </w:tc>
      </w:tr>
      <w:tr>
        <w:trPr>
          <w:trHeight w:val="120" w:hRule="atLeast"/>
        </w:trPr>
        <w:tc>
          <w:tcPr>
            <w:tcW w:w="322" w:type="dxa"/>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1953" w:type="dxa"/>
            <w:gridSpan w:val="2"/>
            <w:tcBorders/>
            <w:vAlign w:val="center"/>
          </w:tcPr>
          <w:p>
            <w:pPr>
              <w:pStyle w:val="TableContents"/>
              <w:bidi w:val="0"/>
              <w:spacing w:before="0" w:after="283"/>
              <w:jc w:val="left"/>
              <w:rPr>
                <w:sz w:val="4"/>
                <w:szCs w:val="4"/>
              </w:rPr>
            </w:pPr>
            <w:r>
              <w:rPr>
                <w:sz w:val="4"/>
                <w:szCs w:val="4"/>
              </w:rPr>
            </w:r>
          </w:p>
        </w:tc>
        <w:tc>
          <w:tcPr>
            <w:tcW w:w="1738" w:type="dxa"/>
            <w:gridSpan w:val="2"/>
            <w:tcBorders/>
            <w:vAlign w:val="center"/>
          </w:tcPr>
          <w:p>
            <w:pPr>
              <w:pStyle w:val="TableContents"/>
              <w:bidi w:val="0"/>
              <w:spacing w:before="0" w:after="283"/>
              <w:jc w:val="left"/>
              <w:rPr>
                <w:sz w:val="4"/>
                <w:szCs w:val="4"/>
              </w:rPr>
            </w:pPr>
            <w:r>
              <w:rPr>
                <w:sz w:val="4"/>
                <w:szCs w:val="4"/>
              </w:rPr>
            </w:r>
          </w:p>
        </w:tc>
        <w:tc>
          <w:tcPr>
            <w:tcW w:w="2120" w:type="dxa"/>
            <w:gridSpan w:val="2"/>
            <w:tcBorders/>
            <w:vAlign w:val="center"/>
          </w:tcPr>
          <w:p>
            <w:pPr>
              <w:pStyle w:val="TableContents"/>
              <w:bidi w:val="0"/>
              <w:spacing w:before="0" w:after="283"/>
              <w:jc w:val="left"/>
              <w:rPr>
                <w:sz w:val="4"/>
                <w:szCs w:val="4"/>
              </w:rPr>
            </w:pPr>
            <w:r>
              <w:rPr>
                <w:sz w:val="4"/>
                <w:szCs w:val="4"/>
              </w:rPr>
            </w:r>
          </w:p>
        </w:tc>
        <w:tc>
          <w:tcPr>
            <w:tcW w:w="1742" w:type="dxa"/>
            <w:gridSpan w:val="2"/>
            <w:tcBorders/>
            <w:vAlign w:val="center"/>
          </w:tcPr>
          <w:p>
            <w:pPr>
              <w:pStyle w:val="TableContents"/>
              <w:bidi w:val="0"/>
              <w:spacing w:before="0" w:after="283"/>
              <w:jc w:val="left"/>
              <w:rPr>
                <w:sz w:val="4"/>
                <w:szCs w:val="4"/>
              </w:rPr>
            </w:pPr>
            <w:r>
              <w:rPr>
                <w:sz w:val="4"/>
                <w:szCs w:val="4"/>
              </w:rPr>
            </w:r>
          </w:p>
        </w:tc>
      </w:tr>
      <w:tr>
        <w:trPr/>
        <w:tc>
          <w:tcPr>
            <w:tcW w:w="322"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2210" w:type="dxa"/>
            <w:tcBorders/>
          </w:tcPr>
          <w:p>
            <w:pPr>
              <w:pStyle w:val="TableContents"/>
              <w:bidi w:val="0"/>
              <w:spacing w:before="0" w:after="283"/>
              <w:jc w:val="left"/>
              <w:rPr/>
            </w:pPr>
            <w:r>
              <w:rPr/>
              <w:t>METHODS AND REAGENTS FOR SIGNAL AMPLIFICATION</w:t>
            </w:r>
          </w:p>
        </w:tc>
        <w:tc>
          <w:tcPr>
            <w:tcW w:w="120" w:type="dxa"/>
            <w:tcBorders/>
            <w:vAlign w:val="bottom"/>
          </w:tcPr>
          <w:p>
            <w:pPr>
              <w:pStyle w:val="TableContents"/>
              <w:bidi w:val="0"/>
              <w:spacing w:before="0" w:after="283"/>
              <w:jc w:val="left"/>
              <w:rPr/>
            </w:pPr>
            <w:r>
              <w:rPr/>
              <w:t>  </w:t>
            </w:r>
          </w:p>
        </w:tc>
        <w:tc>
          <w:tcPr>
            <w:tcW w:w="1833" w:type="dxa"/>
            <w:tcBorders/>
          </w:tcPr>
          <w:p>
            <w:pPr>
              <w:pStyle w:val="TableContents"/>
              <w:bidi w:val="0"/>
              <w:spacing w:before="0" w:after="283"/>
              <w:jc w:val="left"/>
              <w:rPr/>
            </w:pPr>
            <w:r>
              <w:rPr/>
              <w:t>CN103229057</w:t>
            </w:r>
          </w:p>
        </w:tc>
        <w:tc>
          <w:tcPr>
            <w:tcW w:w="120" w:type="dxa"/>
            <w:tcBorders/>
            <w:vAlign w:val="bottom"/>
          </w:tcPr>
          <w:p>
            <w:pPr>
              <w:pStyle w:val="TableContents"/>
              <w:bidi w:val="0"/>
              <w:spacing w:before="0" w:after="283"/>
              <w:jc w:val="left"/>
              <w:rPr/>
            </w:pPr>
            <w:r>
              <w:rPr/>
              <w:t>  </w:t>
            </w:r>
          </w:p>
        </w:tc>
        <w:tc>
          <w:tcPr>
            <w:tcW w:w="1618" w:type="dxa"/>
            <w:tcBorders/>
          </w:tcPr>
          <w:p>
            <w:pPr>
              <w:pStyle w:val="TableContents"/>
              <w:bidi w:val="0"/>
              <w:spacing w:before="0" w:after="283"/>
              <w:jc w:val="left"/>
              <w:rPr/>
            </w:pPr>
            <w:r>
              <w:rPr/>
              <w:t>20160810</w:t>
            </w:r>
          </w:p>
        </w:tc>
        <w:tc>
          <w:tcPr>
            <w:tcW w:w="120" w:type="dxa"/>
            <w:tcBorders/>
            <w:vAlign w:val="bottom"/>
          </w:tcPr>
          <w:p>
            <w:pPr>
              <w:pStyle w:val="TableContents"/>
              <w:bidi w:val="0"/>
              <w:spacing w:before="0" w:after="283"/>
              <w:jc w:val="left"/>
              <w:rPr/>
            </w:pPr>
            <w:r>
              <w:rPr/>
              <w:t>  </w:t>
            </w:r>
          </w:p>
        </w:tc>
        <w:tc>
          <w:tcPr>
            <w:tcW w:w="2000" w:type="dxa"/>
            <w:tcBorders/>
          </w:tcPr>
          <w:p>
            <w:pPr>
              <w:pStyle w:val="TableContents"/>
              <w:bidi w:val="0"/>
              <w:spacing w:before="0" w:after="283"/>
              <w:jc w:val="left"/>
              <w:rPr/>
            </w:pPr>
            <w:r>
              <w:rPr/>
              <w:t>CN201180056340</w:t>
            </w:r>
          </w:p>
        </w:tc>
        <w:tc>
          <w:tcPr>
            <w:tcW w:w="120" w:type="dxa"/>
            <w:tcBorders/>
            <w:vAlign w:val="bottom"/>
          </w:tcPr>
          <w:p>
            <w:pPr>
              <w:pStyle w:val="TableContents"/>
              <w:bidi w:val="0"/>
              <w:spacing w:before="0" w:after="283"/>
              <w:jc w:val="left"/>
              <w:rPr/>
            </w:pPr>
            <w:r>
              <w:rPr/>
              <w:t>  </w:t>
            </w:r>
          </w:p>
        </w:tc>
        <w:tc>
          <w:tcPr>
            <w:tcW w:w="1622" w:type="dxa"/>
            <w:tcBorders/>
          </w:tcPr>
          <w:p>
            <w:pPr>
              <w:pStyle w:val="TableContents"/>
              <w:bidi w:val="0"/>
              <w:spacing w:before="0" w:after="283"/>
              <w:jc w:val="left"/>
              <w:rPr/>
            </w:pPr>
            <w:r>
              <w:rPr/>
              <w:t>20110922</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name change from Cerenome, Inc. to Plus Therapeutics, Inc. has been received by the Collateral Agent. No later than thirty (30) days after the Initial Closing Date, Company shall file the applicable assignment document(s) with the applicable Intellectual Property offices (USPTO in the US) with respect to this patent reflecting the assignment of such patent from Biocept, Inc. to Cerenome, Inc., in form and substance reasonably satisfactory to the Collateral Agent.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the applicable assignment document(s) with the applicable Intellectual Property offices (USPTO in the US) with respect to the following patents reflecting the assignment of such patents from Additive Therapy Co. and Unity Semiconductor SAS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
        <w:gridCol w:w="120"/>
        <w:gridCol w:w="2151"/>
        <w:gridCol w:w="120"/>
        <w:gridCol w:w="1648"/>
        <w:gridCol w:w="120"/>
        <w:gridCol w:w="1712"/>
        <w:gridCol w:w="120"/>
        <w:gridCol w:w="2030"/>
        <w:gridCol w:w="120"/>
        <w:gridCol w:w="1715"/>
      </w:tblGrid>
      <w:tr>
        <w:trPr/>
        <w:tc>
          <w:tcPr>
            <w:tcW w:w="3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1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Patent Number</w:t>
            </w:r>
          </w:p>
        </w:tc>
        <w:tc>
          <w:tcPr>
            <w:tcW w:w="120" w:type="dxa"/>
            <w:tcBorders/>
            <w:vAlign w:val="bottom"/>
          </w:tcPr>
          <w:p>
            <w:pPr>
              <w:pStyle w:val="TableContents"/>
              <w:bidi w:val="0"/>
              <w:spacing w:before="0" w:after="283"/>
              <w:jc w:val="left"/>
              <w:rPr/>
            </w:pPr>
            <w:r>
              <w:rPr/>
              <w:t>  </w:t>
            </w:r>
          </w:p>
        </w:tc>
        <w:tc>
          <w:tcPr>
            <w:tcW w:w="17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Publication Date</w:t>
            </w:r>
          </w:p>
        </w:tc>
        <w:tc>
          <w:tcPr>
            <w:tcW w:w="120" w:type="dxa"/>
            <w:tcBorders/>
            <w:vAlign w:val="bottom"/>
          </w:tcPr>
          <w:p>
            <w:pPr>
              <w:pStyle w:val="TableContents"/>
              <w:bidi w:val="0"/>
              <w:spacing w:before="0" w:after="283"/>
              <w:jc w:val="left"/>
              <w:rPr/>
            </w:pPr>
            <w:r>
              <w:rPr/>
              <w:t>  </w:t>
            </w:r>
          </w:p>
        </w:tc>
        <w:tc>
          <w:tcPr>
            <w:tcW w:w="2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Application Number</w:t>
            </w:r>
          </w:p>
        </w:tc>
        <w:tc>
          <w:tcPr>
            <w:tcW w:w="120" w:type="dxa"/>
            <w:tcBorders/>
            <w:vAlign w:val="bottom"/>
          </w:tcPr>
          <w:p>
            <w:pPr>
              <w:pStyle w:val="TableContents"/>
              <w:bidi w:val="0"/>
              <w:spacing w:before="0" w:after="283"/>
              <w:jc w:val="left"/>
              <w:rPr/>
            </w:pPr>
            <w:r>
              <w:rPr/>
              <w:t>  </w:t>
            </w:r>
          </w:p>
        </w:tc>
        <w:tc>
          <w:tcPr>
            <w:tcW w:w="17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Application Date</w:t>
            </w:r>
          </w:p>
        </w:tc>
      </w:tr>
      <w:tr>
        <w:trPr/>
        <w:tc>
          <w:tcPr>
            <w:tcW w:w="349"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2151"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648"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712" w:type="dxa"/>
            <w:tcBorders/>
            <w:vAlign w:val="center"/>
          </w:tcPr>
          <w:p>
            <w:pPr>
              <w:pStyle w:val="TableContents"/>
              <w:bidi w:val="0"/>
              <w:spacing w:before="0" w:after="283"/>
              <w:jc w:val="left"/>
              <w:rPr/>
            </w:pPr>
            <w:r>
              <w:rPr/>
              <w:t>20231222</w:t>
            </w:r>
          </w:p>
        </w:tc>
        <w:tc>
          <w:tcPr>
            <w:tcW w:w="120" w:type="dxa"/>
            <w:tcBorders/>
            <w:vAlign w:val="bottom"/>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CN202180090926</w:t>
            </w:r>
          </w:p>
        </w:tc>
        <w:tc>
          <w:tcPr>
            <w:tcW w:w="120" w:type="dxa"/>
            <w:tcBorders/>
            <w:vAlign w:val="bottom"/>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20211118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the applicable assignment document(s) with the applicable Intellectual Property offices (USPTO in the US) with respect to the following patents reflecting the assignment of such patents from Nanotx Corp. and Plus Therapeutics Inc.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
        <w:gridCol w:w="120"/>
        <w:gridCol w:w="2264"/>
        <w:gridCol w:w="120"/>
        <w:gridCol w:w="1630"/>
        <w:gridCol w:w="120"/>
        <w:gridCol w:w="1695"/>
        <w:gridCol w:w="120"/>
        <w:gridCol w:w="1973"/>
        <w:gridCol w:w="120"/>
        <w:gridCol w:w="1698"/>
      </w:tblGrid>
      <w:tr>
        <w:trPr/>
        <w:tc>
          <w:tcPr>
            <w:tcW w:w="3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r>
      <w:tr>
        <w:trPr/>
        <w:tc>
          <w:tcPr>
            <w:tcW w:w="3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2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6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Patent Number</w:t>
            </w:r>
          </w:p>
        </w:tc>
        <w:tc>
          <w:tcPr>
            <w:tcW w:w="120" w:type="dxa"/>
            <w:tcBorders/>
            <w:vAlign w:val="bottom"/>
          </w:tcPr>
          <w:p>
            <w:pPr>
              <w:pStyle w:val="TableContents"/>
              <w:bidi w:val="0"/>
              <w:spacing w:before="0" w:after="283"/>
              <w:jc w:val="left"/>
              <w:rPr/>
            </w:pPr>
            <w:r>
              <w:rPr/>
              <w:t>  </w:t>
            </w:r>
          </w:p>
        </w:tc>
        <w:tc>
          <w:tcPr>
            <w:tcW w:w="169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120" w:type="dxa"/>
            <w:tcBorders/>
            <w:vAlign w:val="bottom"/>
          </w:tcPr>
          <w:p>
            <w:pPr>
              <w:pStyle w:val="TableContents"/>
              <w:bidi w:val="0"/>
              <w:spacing w:before="0" w:after="283"/>
              <w:jc w:val="left"/>
              <w:rPr/>
            </w:pPr>
            <w:r>
              <w:rPr/>
              <w:t>  </w:t>
            </w:r>
          </w:p>
        </w:tc>
        <w:tc>
          <w:tcPr>
            <w:tcW w:w="19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Number</w:t>
            </w:r>
          </w:p>
        </w:tc>
        <w:tc>
          <w:tcPr>
            <w:tcW w:w="120" w:type="dxa"/>
            <w:tcBorders/>
            <w:vAlign w:val="bottom"/>
          </w:tcPr>
          <w:p>
            <w:pPr>
              <w:pStyle w:val="TableContents"/>
              <w:bidi w:val="0"/>
              <w:spacing w:before="0" w:after="283"/>
              <w:jc w:val="left"/>
              <w:rPr/>
            </w:pPr>
            <w:r>
              <w:rPr/>
              <w:t>  </w:t>
            </w:r>
          </w:p>
        </w:tc>
        <w:tc>
          <w:tcPr>
            <w:tcW w:w="16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r>
      <w:tr>
        <w:trPr/>
        <w:tc>
          <w:tcPr>
            <w:tcW w:w="345"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2264" w:type="dxa"/>
            <w:tcBorders/>
          </w:tcPr>
          <w:p>
            <w:pPr>
              <w:pStyle w:val="TableContents"/>
              <w:bidi w:val="0"/>
              <w:spacing w:before="0" w:after="283"/>
              <w:jc w:val="left"/>
              <w:rPr/>
            </w:pPr>
            <w:r>
              <w:rPr/>
              <w:t>RADIOLABELED LIPOSOMES AND METHODS OF USE FOR TREATING LEPTOMENINGEAL METASTASES</w:t>
            </w:r>
          </w:p>
        </w:tc>
        <w:tc>
          <w:tcPr>
            <w:tcW w:w="120" w:type="dxa"/>
            <w:tcBorders/>
            <w:vAlign w:val="bottom"/>
          </w:tcPr>
          <w:p>
            <w:pPr>
              <w:pStyle w:val="TableContents"/>
              <w:bidi w:val="0"/>
              <w:spacing w:before="0" w:after="283"/>
              <w:jc w:val="left"/>
              <w:rPr/>
            </w:pPr>
            <w:r>
              <w:rPr/>
              <w:t>  </w:t>
            </w:r>
          </w:p>
        </w:tc>
        <w:tc>
          <w:tcPr>
            <w:tcW w:w="1630"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20230803</w:t>
            </w:r>
          </w:p>
        </w:tc>
        <w:tc>
          <w:tcPr>
            <w:tcW w:w="120" w:type="dxa"/>
            <w:tcBorders/>
            <w:vAlign w:val="bottom"/>
          </w:tcPr>
          <w:p>
            <w:pPr>
              <w:pStyle w:val="TableContents"/>
              <w:bidi w:val="0"/>
              <w:spacing w:before="0" w:after="283"/>
              <w:jc w:val="left"/>
              <w:rPr/>
            </w:pPr>
            <w:r>
              <w:rPr/>
              <w:t>  </w:t>
            </w:r>
          </w:p>
        </w:tc>
        <w:tc>
          <w:tcPr>
            <w:tcW w:w="1973" w:type="dxa"/>
            <w:tcBorders/>
          </w:tcPr>
          <w:p>
            <w:pPr>
              <w:pStyle w:val="TableContents"/>
              <w:bidi w:val="0"/>
              <w:spacing w:before="0" w:after="283"/>
              <w:jc w:val="left"/>
              <w:rPr/>
            </w:pPr>
            <w:r>
              <w:rPr/>
              <w:t>CA20233243234</w:t>
            </w:r>
          </w:p>
        </w:tc>
        <w:tc>
          <w:tcPr>
            <w:tcW w:w="120" w:type="dxa"/>
            <w:tcBorders/>
            <w:vAlign w:val="bottom"/>
          </w:tcPr>
          <w:p>
            <w:pPr>
              <w:pStyle w:val="TableContents"/>
              <w:bidi w:val="0"/>
              <w:spacing w:before="0" w:after="283"/>
              <w:jc w:val="left"/>
              <w:rPr/>
            </w:pPr>
            <w:r>
              <w:rPr/>
              <w:t>  </w:t>
            </w:r>
          </w:p>
        </w:tc>
        <w:tc>
          <w:tcPr>
            <w:tcW w:w="1698" w:type="dxa"/>
            <w:tcBorders/>
          </w:tcPr>
          <w:p>
            <w:pPr>
              <w:pStyle w:val="TableContents"/>
              <w:bidi w:val="0"/>
              <w:spacing w:before="0" w:after="283"/>
              <w:jc w:val="left"/>
              <w:rPr/>
            </w:pPr>
            <w:r>
              <w:rPr/>
              <w:t>20230125</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2"/>
        <w:gridCol w:w="120"/>
        <w:gridCol w:w="2271"/>
        <w:gridCol w:w="120"/>
        <w:gridCol w:w="1621"/>
        <w:gridCol w:w="120"/>
        <w:gridCol w:w="1688"/>
        <w:gridCol w:w="120"/>
        <w:gridCol w:w="1992"/>
        <w:gridCol w:w="120"/>
        <w:gridCol w:w="1691"/>
      </w:tblGrid>
      <w:tr>
        <w:trPr/>
        <w:tc>
          <w:tcPr>
            <w:tcW w:w="3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27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6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Patent Number</w:t>
            </w:r>
          </w:p>
        </w:tc>
        <w:tc>
          <w:tcPr>
            <w:tcW w:w="120" w:type="dxa"/>
            <w:tcBorders/>
            <w:vAlign w:val="bottom"/>
          </w:tcPr>
          <w:p>
            <w:pPr>
              <w:pStyle w:val="TableContents"/>
              <w:bidi w:val="0"/>
              <w:spacing w:before="0" w:after="283"/>
              <w:jc w:val="left"/>
              <w:rPr/>
            </w:pPr>
            <w:r>
              <w:rPr/>
              <w:t>  </w:t>
            </w:r>
          </w:p>
        </w:tc>
        <w:tc>
          <w:tcPr>
            <w:tcW w:w="16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120" w:type="dxa"/>
            <w:tcBorders/>
            <w:vAlign w:val="bottom"/>
          </w:tcPr>
          <w:p>
            <w:pPr>
              <w:pStyle w:val="TableContents"/>
              <w:bidi w:val="0"/>
              <w:spacing w:before="0" w:after="283"/>
              <w:jc w:val="left"/>
              <w:rPr/>
            </w:pPr>
            <w:r>
              <w:rPr/>
              <w:t>  </w:t>
            </w:r>
          </w:p>
        </w:tc>
        <w:tc>
          <w:tcPr>
            <w:tcW w:w="19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Number</w:t>
            </w:r>
          </w:p>
        </w:tc>
        <w:tc>
          <w:tcPr>
            <w:tcW w:w="120" w:type="dxa"/>
            <w:tcBorders/>
            <w:vAlign w:val="bottom"/>
          </w:tcPr>
          <w:p>
            <w:pPr>
              <w:pStyle w:val="TableContents"/>
              <w:bidi w:val="0"/>
              <w:spacing w:before="0" w:after="283"/>
              <w:jc w:val="left"/>
              <w:rPr/>
            </w:pPr>
            <w:r>
              <w:rPr/>
              <w:t>  </w:t>
            </w:r>
          </w:p>
        </w:tc>
        <w:tc>
          <w:tcPr>
            <w:tcW w:w="169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r>
      <w:tr>
        <w:trPr/>
        <w:tc>
          <w:tcPr>
            <w:tcW w:w="342"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2271" w:type="dxa"/>
            <w:tcBorders/>
          </w:tcPr>
          <w:p>
            <w:pPr>
              <w:pStyle w:val="TableContents"/>
              <w:bidi w:val="0"/>
              <w:spacing w:before="0" w:after="283"/>
              <w:jc w:val="left"/>
              <w:rPr/>
            </w:pPr>
            <w:r>
              <w:rPr/>
              <w:t>RADIOLABELED LIPOSOMES AND METHODS OF USE FOR TREATING LEPTOMENINGEAL METASTASES</w:t>
            </w:r>
          </w:p>
        </w:tc>
        <w:tc>
          <w:tcPr>
            <w:tcW w:w="120" w:type="dxa"/>
            <w:tcBorders/>
            <w:vAlign w:val="bottom"/>
          </w:tcPr>
          <w:p>
            <w:pPr>
              <w:pStyle w:val="TableContents"/>
              <w:bidi w:val="0"/>
              <w:spacing w:before="0" w:after="283"/>
              <w:jc w:val="left"/>
              <w:rPr/>
            </w:pPr>
            <w:r>
              <w:rPr/>
              <w:t>  </w:t>
            </w:r>
          </w:p>
        </w:tc>
        <w:tc>
          <w:tcPr>
            <w:tcW w:w="1621" w:type="dxa"/>
            <w:tcBorders/>
          </w:tcPr>
          <w:p>
            <w:pPr>
              <w:pStyle w:val="TableContents"/>
              <w:bidi w:val="0"/>
              <w:spacing w:before="0" w:after="283"/>
              <w:jc w:val="left"/>
              <w:rPr/>
            </w:pPr>
            <w:r>
              <w:rPr>
                <w:i/>
              </w:rPr>
              <w:t>Pending</w:t>
            </w:r>
            <w:r>
              <w:rPr/>
              <w:t xml:space="preserve"> (AL AT BE BG CH CY CZ DE DK EE ES FI FR GB GR HR HU IE IS IT LI LT LU LV MC ME MK MT NL NO PL PT RO RS SE SI SK SM TR)</w:t>
            </w:r>
          </w:p>
        </w:tc>
        <w:tc>
          <w:tcPr>
            <w:tcW w:w="120"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20241204</w:t>
            </w:r>
          </w:p>
        </w:tc>
        <w:tc>
          <w:tcPr>
            <w:tcW w:w="120"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EP20230747577</w:t>
            </w:r>
          </w:p>
        </w:tc>
        <w:tc>
          <w:tcPr>
            <w:tcW w:w="120"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pPr>
            <w:r>
              <w:rPr/>
              <w:t>20230125</w:t>
            </w:r>
          </w:p>
        </w:tc>
      </w:tr>
      <w:tr>
        <w:trPr>
          <w:trHeight w:val="120" w:hRule="atLeast"/>
        </w:trPr>
        <w:tc>
          <w:tcPr>
            <w:tcW w:w="342" w:type="dxa"/>
            <w:tcBorders/>
            <w:vAlign w:val="center"/>
          </w:tcPr>
          <w:p>
            <w:pPr>
              <w:pStyle w:val="TableContents"/>
              <w:bidi w:val="0"/>
              <w:spacing w:before="0" w:after="283"/>
              <w:jc w:val="left"/>
              <w:rPr>
                <w:sz w:val="4"/>
                <w:szCs w:val="4"/>
              </w:rPr>
            </w:pPr>
            <w:r>
              <w:rPr>
                <w:sz w:val="4"/>
                <w:szCs w:val="4"/>
              </w:rPr>
            </w:r>
          </w:p>
        </w:tc>
        <w:tc>
          <w:tcPr>
            <w:tcW w:w="2391"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c>
          <w:tcPr>
            <w:tcW w:w="1811"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3.</w:t>
            </w:r>
          </w:p>
        </w:tc>
        <w:tc>
          <w:tcPr>
            <w:tcW w:w="120" w:type="dxa"/>
            <w:tcBorders/>
            <w:vAlign w:val="bottom"/>
          </w:tcPr>
          <w:p>
            <w:pPr>
              <w:pStyle w:val="TableContents"/>
              <w:bidi w:val="0"/>
              <w:spacing w:before="0" w:after="283"/>
              <w:jc w:val="left"/>
              <w:rPr/>
            </w:pPr>
            <w:r>
              <w:rPr/>
              <w:t>  </w:t>
            </w:r>
          </w:p>
        </w:tc>
        <w:tc>
          <w:tcPr>
            <w:tcW w:w="2271" w:type="dxa"/>
            <w:tcBorders/>
          </w:tcPr>
          <w:p>
            <w:pPr>
              <w:pStyle w:val="TableContents"/>
              <w:bidi w:val="0"/>
              <w:spacing w:before="0" w:after="283"/>
              <w:jc w:val="left"/>
              <w:rPr/>
            </w:pPr>
            <w:r>
              <w:rPr/>
              <w:t>RADIOLABELED LIPOSOMES AND METHODS OF USE FOR TREATING LEPTOMENINGEAL METASTASES</w:t>
            </w:r>
          </w:p>
        </w:tc>
        <w:tc>
          <w:tcPr>
            <w:tcW w:w="120" w:type="dxa"/>
            <w:tcBorders/>
            <w:vAlign w:val="bottom"/>
          </w:tcPr>
          <w:p>
            <w:pPr>
              <w:pStyle w:val="TableContents"/>
              <w:bidi w:val="0"/>
              <w:spacing w:before="0" w:after="283"/>
              <w:jc w:val="left"/>
              <w:rPr/>
            </w:pPr>
            <w:r>
              <w:rPr/>
              <w:t>  </w:t>
            </w:r>
          </w:p>
        </w:tc>
        <w:tc>
          <w:tcPr>
            <w:tcW w:w="1621"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20250822</w:t>
            </w:r>
          </w:p>
        </w:tc>
        <w:tc>
          <w:tcPr>
            <w:tcW w:w="120"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HK20256109733</w:t>
            </w:r>
          </w:p>
        </w:tc>
        <w:tc>
          <w:tcPr>
            <w:tcW w:w="120"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pPr>
            <w:r>
              <w:rPr/>
              <w:t>20250710</w:t>
            </w:r>
          </w:p>
        </w:tc>
      </w:tr>
      <w:tr>
        <w:trPr>
          <w:trHeight w:val="120" w:hRule="atLeast"/>
        </w:trPr>
        <w:tc>
          <w:tcPr>
            <w:tcW w:w="342" w:type="dxa"/>
            <w:tcBorders/>
            <w:vAlign w:val="center"/>
          </w:tcPr>
          <w:p>
            <w:pPr>
              <w:pStyle w:val="TableContents"/>
              <w:bidi w:val="0"/>
              <w:spacing w:before="0" w:after="283"/>
              <w:jc w:val="left"/>
              <w:rPr>
                <w:sz w:val="4"/>
                <w:szCs w:val="4"/>
              </w:rPr>
            </w:pPr>
            <w:r>
              <w:rPr>
                <w:sz w:val="4"/>
                <w:szCs w:val="4"/>
              </w:rPr>
            </w:r>
          </w:p>
        </w:tc>
        <w:tc>
          <w:tcPr>
            <w:tcW w:w="2391"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c>
          <w:tcPr>
            <w:tcW w:w="1811"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2271" w:type="dxa"/>
            <w:tcBorders/>
          </w:tcPr>
          <w:p>
            <w:pPr>
              <w:pStyle w:val="TableContents"/>
              <w:bidi w:val="0"/>
              <w:spacing w:before="0" w:after="283"/>
              <w:jc w:val="left"/>
              <w:rPr/>
            </w:pPr>
            <w:r>
              <w:rPr/>
              <w:t>RADIOLABELED LIPOSOMES AND METHODS OF USE FOR TREATING LEPTOMENINGEAL METASTASES</w:t>
            </w:r>
          </w:p>
        </w:tc>
        <w:tc>
          <w:tcPr>
            <w:tcW w:w="120" w:type="dxa"/>
            <w:tcBorders/>
            <w:vAlign w:val="bottom"/>
          </w:tcPr>
          <w:p>
            <w:pPr>
              <w:pStyle w:val="TableContents"/>
              <w:bidi w:val="0"/>
              <w:spacing w:before="0" w:after="283"/>
              <w:jc w:val="left"/>
              <w:rPr/>
            </w:pPr>
            <w:r>
              <w:rPr/>
              <w:t>  </w:t>
            </w:r>
          </w:p>
        </w:tc>
        <w:tc>
          <w:tcPr>
            <w:tcW w:w="1621"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20240901</w:t>
            </w:r>
          </w:p>
        </w:tc>
        <w:tc>
          <w:tcPr>
            <w:tcW w:w="120"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IL20230314471</w:t>
            </w:r>
          </w:p>
        </w:tc>
        <w:tc>
          <w:tcPr>
            <w:tcW w:w="120"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pPr>
            <w:r>
              <w:rPr/>
              <w:t>20230125</w:t>
            </w:r>
          </w:p>
        </w:tc>
      </w:tr>
      <w:tr>
        <w:trPr>
          <w:trHeight w:val="120" w:hRule="atLeast"/>
        </w:trPr>
        <w:tc>
          <w:tcPr>
            <w:tcW w:w="342" w:type="dxa"/>
            <w:tcBorders/>
            <w:vAlign w:val="center"/>
          </w:tcPr>
          <w:p>
            <w:pPr>
              <w:pStyle w:val="TableContents"/>
              <w:bidi w:val="0"/>
              <w:spacing w:before="0" w:after="283"/>
              <w:jc w:val="left"/>
              <w:rPr>
                <w:sz w:val="4"/>
                <w:szCs w:val="4"/>
              </w:rPr>
            </w:pPr>
            <w:r>
              <w:rPr>
                <w:sz w:val="4"/>
                <w:szCs w:val="4"/>
              </w:rPr>
            </w:r>
          </w:p>
        </w:tc>
        <w:tc>
          <w:tcPr>
            <w:tcW w:w="2391"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c>
          <w:tcPr>
            <w:tcW w:w="1811"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5.</w:t>
            </w:r>
          </w:p>
        </w:tc>
        <w:tc>
          <w:tcPr>
            <w:tcW w:w="120" w:type="dxa"/>
            <w:tcBorders/>
            <w:vAlign w:val="bottom"/>
          </w:tcPr>
          <w:p>
            <w:pPr>
              <w:pStyle w:val="TableContents"/>
              <w:bidi w:val="0"/>
              <w:spacing w:before="0" w:after="283"/>
              <w:jc w:val="left"/>
              <w:rPr/>
            </w:pPr>
            <w:r>
              <w:rPr/>
              <w:t>  </w:t>
            </w:r>
          </w:p>
        </w:tc>
        <w:tc>
          <w:tcPr>
            <w:tcW w:w="2271" w:type="dxa"/>
            <w:tcBorders/>
          </w:tcPr>
          <w:p>
            <w:pPr>
              <w:pStyle w:val="TableContents"/>
              <w:bidi w:val="0"/>
              <w:spacing w:before="0" w:after="283"/>
              <w:jc w:val="left"/>
              <w:rPr/>
            </w:pPr>
            <w:r>
              <w:rPr/>
              <w:t>RADIOLABELED LIPOSOMES AND METHODS OF USE FOR TREATING LEPTOMENINGEAL METASTASES</w:t>
            </w:r>
          </w:p>
        </w:tc>
        <w:tc>
          <w:tcPr>
            <w:tcW w:w="120" w:type="dxa"/>
            <w:tcBorders/>
            <w:vAlign w:val="bottom"/>
          </w:tcPr>
          <w:p>
            <w:pPr>
              <w:pStyle w:val="TableContents"/>
              <w:bidi w:val="0"/>
              <w:spacing w:before="0" w:after="283"/>
              <w:jc w:val="left"/>
              <w:rPr/>
            </w:pPr>
            <w:r>
              <w:rPr/>
              <w:t>  </w:t>
            </w:r>
          </w:p>
        </w:tc>
        <w:tc>
          <w:tcPr>
            <w:tcW w:w="1621"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20250107</w:t>
            </w:r>
          </w:p>
        </w:tc>
        <w:tc>
          <w:tcPr>
            <w:tcW w:w="120"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KR20247028450</w:t>
            </w:r>
          </w:p>
        </w:tc>
        <w:tc>
          <w:tcPr>
            <w:tcW w:w="120"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pPr>
            <w:r>
              <w:rPr/>
              <w:t>20230125</w:t>
            </w:r>
          </w:p>
        </w:tc>
      </w:tr>
      <w:tr>
        <w:trPr>
          <w:trHeight w:val="120" w:hRule="atLeast"/>
        </w:trPr>
        <w:tc>
          <w:tcPr>
            <w:tcW w:w="342" w:type="dxa"/>
            <w:tcBorders/>
            <w:vAlign w:val="center"/>
          </w:tcPr>
          <w:p>
            <w:pPr>
              <w:pStyle w:val="TableContents"/>
              <w:bidi w:val="0"/>
              <w:spacing w:before="0" w:after="283"/>
              <w:jc w:val="left"/>
              <w:rPr>
                <w:sz w:val="4"/>
                <w:szCs w:val="4"/>
              </w:rPr>
            </w:pPr>
            <w:r>
              <w:rPr>
                <w:sz w:val="4"/>
                <w:szCs w:val="4"/>
              </w:rPr>
            </w:r>
          </w:p>
        </w:tc>
        <w:tc>
          <w:tcPr>
            <w:tcW w:w="2391" w:type="dxa"/>
            <w:gridSpan w:val="2"/>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c>
          <w:tcPr>
            <w:tcW w:w="2112" w:type="dxa"/>
            <w:gridSpan w:val="2"/>
            <w:tcBorders/>
            <w:vAlign w:val="center"/>
          </w:tcPr>
          <w:p>
            <w:pPr>
              <w:pStyle w:val="TableContents"/>
              <w:bidi w:val="0"/>
              <w:spacing w:before="0" w:after="283"/>
              <w:jc w:val="left"/>
              <w:rPr>
                <w:sz w:val="4"/>
                <w:szCs w:val="4"/>
              </w:rPr>
            </w:pPr>
            <w:r>
              <w:rPr>
                <w:sz w:val="4"/>
                <w:szCs w:val="4"/>
              </w:rPr>
            </w:r>
          </w:p>
        </w:tc>
        <w:tc>
          <w:tcPr>
            <w:tcW w:w="1811"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2271" w:type="dxa"/>
            <w:tcBorders/>
          </w:tcPr>
          <w:p>
            <w:pPr>
              <w:pStyle w:val="TableContents"/>
              <w:bidi w:val="0"/>
              <w:spacing w:before="0" w:after="283"/>
              <w:jc w:val="left"/>
              <w:rPr/>
            </w:pPr>
            <w:r>
              <w:rPr/>
              <w:t>RADIOLABELED LIPOSOMES AND METHODS OF USE FOR TREATING LEPTOMENINGEAL METASTASES</w:t>
            </w:r>
          </w:p>
        </w:tc>
        <w:tc>
          <w:tcPr>
            <w:tcW w:w="120" w:type="dxa"/>
            <w:tcBorders/>
            <w:vAlign w:val="bottom"/>
          </w:tcPr>
          <w:p>
            <w:pPr>
              <w:pStyle w:val="TableContents"/>
              <w:bidi w:val="0"/>
              <w:spacing w:before="0" w:after="283"/>
              <w:jc w:val="left"/>
              <w:rPr/>
            </w:pPr>
            <w:r>
              <w:rPr/>
              <w:t>  </w:t>
            </w:r>
          </w:p>
        </w:tc>
        <w:tc>
          <w:tcPr>
            <w:tcW w:w="1621"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88" w:type="dxa"/>
            <w:tcBorders/>
          </w:tcPr>
          <w:p>
            <w:pPr>
              <w:pStyle w:val="TableContents"/>
              <w:bidi w:val="0"/>
              <w:spacing w:before="0" w:after="283"/>
              <w:jc w:val="left"/>
              <w:rPr/>
            </w:pPr>
            <w:r>
              <w:rPr/>
              <w:t>20240923</w:t>
            </w:r>
          </w:p>
        </w:tc>
        <w:tc>
          <w:tcPr>
            <w:tcW w:w="120" w:type="dxa"/>
            <w:tcBorders/>
            <w:vAlign w:val="bottom"/>
          </w:tcPr>
          <w:p>
            <w:pPr>
              <w:pStyle w:val="TableContents"/>
              <w:bidi w:val="0"/>
              <w:spacing w:before="0" w:after="283"/>
              <w:jc w:val="left"/>
              <w:rPr/>
            </w:pPr>
            <w:r>
              <w:rPr/>
              <w:t>  </w:t>
            </w:r>
          </w:p>
        </w:tc>
        <w:tc>
          <w:tcPr>
            <w:tcW w:w="1992" w:type="dxa"/>
            <w:tcBorders/>
          </w:tcPr>
          <w:p>
            <w:pPr>
              <w:pStyle w:val="TableContents"/>
              <w:bidi w:val="0"/>
              <w:spacing w:before="0" w:after="283"/>
              <w:jc w:val="left"/>
              <w:rPr/>
            </w:pPr>
            <w:r>
              <w:rPr/>
              <w:t>MX20240009199</w:t>
            </w:r>
          </w:p>
        </w:tc>
        <w:tc>
          <w:tcPr>
            <w:tcW w:w="120" w:type="dxa"/>
            <w:tcBorders/>
            <w:vAlign w:val="bottom"/>
          </w:tcPr>
          <w:p>
            <w:pPr>
              <w:pStyle w:val="TableContents"/>
              <w:bidi w:val="0"/>
              <w:spacing w:before="0" w:after="283"/>
              <w:jc w:val="left"/>
              <w:rPr/>
            </w:pPr>
            <w:r>
              <w:rPr/>
              <w:t>  </w:t>
            </w:r>
          </w:p>
        </w:tc>
        <w:tc>
          <w:tcPr>
            <w:tcW w:w="1691" w:type="dxa"/>
            <w:tcBorders/>
          </w:tcPr>
          <w:p>
            <w:pPr>
              <w:pStyle w:val="TableContents"/>
              <w:bidi w:val="0"/>
              <w:spacing w:before="0" w:after="283"/>
              <w:jc w:val="left"/>
              <w:rPr/>
            </w:pPr>
            <w:r>
              <w:rPr/>
              <w:t>20230125</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85"/>
        <w:gridCol w:w="120"/>
        <w:gridCol w:w="2135"/>
        <w:gridCol w:w="120"/>
        <w:gridCol w:w="1757"/>
        <w:gridCol w:w="120"/>
        <w:gridCol w:w="1667"/>
        <w:gridCol w:w="120"/>
        <w:gridCol w:w="1982"/>
        <w:gridCol w:w="120"/>
        <w:gridCol w:w="1679"/>
      </w:tblGrid>
      <w:tr>
        <w:trPr/>
        <w:tc>
          <w:tcPr>
            <w:tcW w:w="3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385"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w:t>
            </w:r>
          </w:p>
        </w:tc>
        <w:tc>
          <w:tcPr>
            <w:tcW w:w="120" w:type="dxa"/>
            <w:tcBorders/>
            <w:vAlign w:val="bottom"/>
          </w:tcPr>
          <w:p>
            <w:pPr>
              <w:pStyle w:val="TableContents"/>
              <w:bidi w:val="0"/>
              <w:spacing w:before="0" w:after="283"/>
              <w:jc w:val="left"/>
              <w:rPr/>
            </w:pPr>
            <w:r>
              <w:rPr/>
              <w:t>  </w:t>
            </w:r>
          </w:p>
        </w:tc>
        <w:tc>
          <w:tcPr>
            <w:tcW w:w="21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Title</w:t>
            </w:r>
          </w:p>
        </w:tc>
        <w:tc>
          <w:tcPr>
            <w:tcW w:w="120" w:type="dxa"/>
            <w:tcBorders/>
            <w:vAlign w:val="bottom"/>
          </w:tcPr>
          <w:p>
            <w:pPr>
              <w:pStyle w:val="TableContents"/>
              <w:bidi w:val="0"/>
              <w:spacing w:before="0" w:after="283"/>
              <w:jc w:val="left"/>
              <w:rPr/>
            </w:pPr>
            <w:r>
              <w:rPr/>
              <w:t>  </w:t>
            </w:r>
          </w:p>
        </w:tc>
        <w:tc>
          <w:tcPr>
            <w:tcW w:w="17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Patent Number</w:t>
            </w:r>
          </w:p>
        </w:tc>
        <w:tc>
          <w:tcPr>
            <w:tcW w:w="120" w:type="dxa"/>
            <w:tcBorders/>
            <w:vAlign w:val="bottom"/>
          </w:tcPr>
          <w:p>
            <w:pPr>
              <w:pStyle w:val="TableContents"/>
              <w:bidi w:val="0"/>
              <w:spacing w:before="0" w:after="283"/>
              <w:jc w:val="left"/>
              <w:rPr/>
            </w:pPr>
            <w:r>
              <w:rPr/>
              <w:t>  </w:t>
            </w:r>
          </w:p>
        </w:tc>
        <w:tc>
          <w:tcPr>
            <w:tcW w:w="166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Publication Date</w:t>
            </w:r>
          </w:p>
        </w:tc>
        <w:tc>
          <w:tcPr>
            <w:tcW w:w="120" w:type="dxa"/>
            <w:tcBorders/>
            <w:vAlign w:val="bottom"/>
          </w:tcPr>
          <w:p>
            <w:pPr>
              <w:pStyle w:val="TableContents"/>
              <w:bidi w:val="0"/>
              <w:spacing w:before="0" w:after="283"/>
              <w:jc w:val="left"/>
              <w:rPr/>
            </w:pPr>
            <w:r>
              <w:rPr/>
              <w:t>  </w:t>
            </w:r>
          </w:p>
        </w:tc>
        <w:tc>
          <w:tcPr>
            <w:tcW w:w="198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Application Number</w:t>
            </w:r>
          </w:p>
        </w:tc>
        <w:tc>
          <w:tcPr>
            <w:tcW w:w="120" w:type="dxa"/>
            <w:tcBorders/>
            <w:vAlign w:val="bottom"/>
          </w:tcPr>
          <w:p>
            <w:pPr>
              <w:pStyle w:val="TableContents"/>
              <w:bidi w:val="0"/>
              <w:spacing w:before="0" w:after="283"/>
              <w:jc w:val="left"/>
              <w:rPr/>
            </w:pPr>
            <w:r>
              <w:rPr/>
              <w:t>  </w:t>
            </w:r>
          </w:p>
        </w:tc>
        <w:tc>
          <w:tcPr>
            <w:tcW w:w="16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Application Date</w:t>
            </w:r>
          </w:p>
        </w:tc>
      </w:tr>
      <w:tr>
        <w:trPr/>
        <w:tc>
          <w:tcPr>
            <w:tcW w:w="385" w:type="dxa"/>
            <w:tcBorders/>
          </w:tcPr>
          <w:p>
            <w:pPr>
              <w:pStyle w:val="TableContents"/>
              <w:bidi w:val="0"/>
              <w:spacing w:before="0" w:after="283"/>
              <w:jc w:val="left"/>
              <w:rPr/>
            </w:pPr>
            <w:r>
              <w:rPr/>
              <w:t>7.</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pPr>
            <w:r>
              <w:rPr/>
              <w:t>CA3198991</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20220527</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CA20213198991</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20211118</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8.</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20250723</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EP20210895620</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20211118</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9.</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20240510</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HK20246089306</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20240327</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10.</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20240816</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HK20246093102</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20240624</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11.</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20230701</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IL20210302964</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20211118</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12.</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20240423</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JP20230553170T</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20211118</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13.</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20231005</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KR20237020403</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20211118</w:t>
            </w:r>
          </w:p>
        </w:tc>
      </w:tr>
      <w:tr>
        <w:trPr>
          <w:trHeight w:val="120" w:hRule="atLeast"/>
        </w:trPr>
        <w:tc>
          <w:tcPr>
            <w:tcW w:w="385" w:type="dxa"/>
            <w:tcBorders/>
            <w:vAlign w:val="center"/>
          </w:tcPr>
          <w:p>
            <w:pPr>
              <w:pStyle w:val="TableContents"/>
              <w:bidi w:val="0"/>
              <w:spacing w:before="0" w:after="283"/>
              <w:jc w:val="left"/>
              <w:rPr>
                <w:sz w:val="4"/>
                <w:szCs w:val="4"/>
              </w:rPr>
            </w:pPr>
            <w:r>
              <w:rPr>
                <w:sz w:val="4"/>
                <w:szCs w:val="4"/>
              </w:rPr>
            </w:r>
          </w:p>
        </w:tc>
        <w:tc>
          <w:tcPr>
            <w:tcW w:w="2255" w:type="dxa"/>
            <w:gridSpan w:val="2"/>
            <w:tcBorders/>
            <w:vAlign w:val="center"/>
          </w:tcPr>
          <w:p>
            <w:pPr>
              <w:pStyle w:val="TableContents"/>
              <w:bidi w:val="0"/>
              <w:spacing w:before="0" w:after="283"/>
              <w:jc w:val="left"/>
              <w:rPr>
                <w:sz w:val="4"/>
                <w:szCs w:val="4"/>
              </w:rPr>
            </w:pPr>
            <w:r>
              <w:rPr>
                <w:sz w:val="4"/>
                <w:szCs w:val="4"/>
              </w:rPr>
            </w:r>
          </w:p>
        </w:tc>
        <w:tc>
          <w:tcPr>
            <w:tcW w:w="1877" w:type="dxa"/>
            <w:gridSpan w:val="2"/>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2102"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14.</w:t>
            </w:r>
          </w:p>
        </w:tc>
        <w:tc>
          <w:tcPr>
            <w:tcW w:w="120" w:type="dxa"/>
            <w:tcBorders/>
            <w:vAlign w:val="bottom"/>
          </w:tcPr>
          <w:p>
            <w:pPr>
              <w:pStyle w:val="TableContents"/>
              <w:bidi w:val="0"/>
              <w:spacing w:before="0" w:after="283"/>
              <w:jc w:val="left"/>
              <w:rPr/>
            </w:pPr>
            <w:r>
              <w:rPr/>
              <w:t>  </w:t>
            </w:r>
          </w:p>
        </w:tc>
        <w:tc>
          <w:tcPr>
            <w:tcW w:w="2135"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757"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667" w:type="dxa"/>
            <w:tcBorders/>
          </w:tcPr>
          <w:p>
            <w:pPr>
              <w:pStyle w:val="TableContents"/>
              <w:bidi w:val="0"/>
              <w:spacing w:before="0" w:after="283"/>
              <w:jc w:val="left"/>
              <w:rPr/>
            </w:pPr>
            <w:r>
              <w:rPr/>
              <w:t>20231019</w:t>
            </w:r>
          </w:p>
        </w:tc>
        <w:tc>
          <w:tcPr>
            <w:tcW w:w="120" w:type="dxa"/>
            <w:tcBorders/>
            <w:vAlign w:val="bottom"/>
          </w:tcPr>
          <w:p>
            <w:pPr>
              <w:pStyle w:val="TableContents"/>
              <w:bidi w:val="0"/>
              <w:spacing w:before="0" w:after="283"/>
              <w:jc w:val="left"/>
              <w:rPr/>
            </w:pPr>
            <w:r>
              <w:rPr/>
              <w:t>  </w:t>
            </w:r>
          </w:p>
        </w:tc>
        <w:tc>
          <w:tcPr>
            <w:tcW w:w="1982" w:type="dxa"/>
            <w:tcBorders/>
          </w:tcPr>
          <w:p>
            <w:pPr>
              <w:pStyle w:val="TableContents"/>
              <w:bidi w:val="0"/>
              <w:spacing w:before="0" w:after="283"/>
              <w:jc w:val="left"/>
              <w:rPr/>
            </w:pPr>
            <w:r>
              <w:rPr/>
              <w:t>MX20230005857</w:t>
            </w:r>
          </w:p>
        </w:tc>
        <w:tc>
          <w:tcPr>
            <w:tcW w:w="120"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283"/>
              <w:jc w:val="left"/>
              <w:rPr/>
            </w:pPr>
            <w:r>
              <w:rPr/>
              <w:t>20230517</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later than thirty (30) days after the Initial Closing Date, Company shall file the applicable assignment document(s) with the applicable Intellectual Property offices (USPTO in the US) with respect to the following patents reflecting the assignment of such patents from GAFA Therapeutics and Nanotech Solutions to Cerenome, Inc., in form and substance reasonably satisfactory to the Collateral Agent: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154"/>
        <w:gridCol w:w="120"/>
        <w:gridCol w:w="1661"/>
        <w:gridCol w:w="120"/>
        <w:gridCol w:w="1723"/>
        <w:gridCol w:w="120"/>
        <w:gridCol w:w="2034"/>
        <w:gridCol w:w="120"/>
        <w:gridCol w:w="1681"/>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t>
            </w:r>
          </w:p>
        </w:tc>
        <w:tc>
          <w:tcPr>
            <w:tcW w:w="120" w:type="dxa"/>
            <w:tcBorders/>
            <w:vAlign w:val="bottom"/>
          </w:tcPr>
          <w:p>
            <w:pPr>
              <w:pStyle w:val="TableContents"/>
              <w:bidi w:val="0"/>
              <w:spacing w:before="0" w:after="283"/>
              <w:jc w:val="left"/>
              <w:rPr/>
            </w:pPr>
            <w:r>
              <w:rPr/>
              <w:t>  </w:t>
            </w:r>
          </w:p>
        </w:tc>
        <w:tc>
          <w:tcPr>
            <w:tcW w:w="21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66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Patent Number</w:t>
            </w:r>
          </w:p>
        </w:tc>
        <w:tc>
          <w:tcPr>
            <w:tcW w:w="120" w:type="dxa"/>
            <w:tcBorders/>
            <w:vAlign w:val="bottom"/>
          </w:tcPr>
          <w:p>
            <w:pPr>
              <w:pStyle w:val="TableContents"/>
              <w:bidi w:val="0"/>
              <w:spacing w:before="0" w:after="283"/>
              <w:jc w:val="left"/>
              <w:rPr/>
            </w:pPr>
            <w:r>
              <w:rPr/>
              <w:t>  </w:t>
            </w:r>
          </w:p>
        </w:tc>
        <w:tc>
          <w:tcPr>
            <w:tcW w:w="172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Publication Date</w:t>
            </w:r>
          </w:p>
        </w:tc>
        <w:tc>
          <w:tcPr>
            <w:tcW w:w="120" w:type="dxa"/>
            <w:tcBorders/>
            <w:vAlign w:val="bottom"/>
          </w:tcPr>
          <w:p>
            <w:pPr>
              <w:pStyle w:val="TableContents"/>
              <w:bidi w:val="0"/>
              <w:spacing w:before="0" w:after="283"/>
              <w:jc w:val="left"/>
              <w:rPr/>
            </w:pPr>
            <w:r>
              <w:rPr/>
              <w:t>  </w:t>
            </w:r>
          </w:p>
        </w:tc>
        <w:tc>
          <w:tcPr>
            <w:tcW w:w="203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Number</w:t>
            </w:r>
          </w:p>
        </w:tc>
        <w:tc>
          <w:tcPr>
            <w:tcW w:w="120" w:type="dxa"/>
            <w:tcBorders/>
            <w:vAlign w:val="bottom"/>
          </w:tcPr>
          <w:p>
            <w:pPr>
              <w:pStyle w:val="TableContents"/>
              <w:bidi w:val="0"/>
              <w:spacing w:before="0" w:after="283"/>
              <w:jc w:val="left"/>
              <w:rPr/>
            </w:pPr>
            <w:r>
              <w:rPr/>
              <w:t>  </w:t>
            </w:r>
          </w:p>
        </w:tc>
        <w:tc>
          <w:tcPr>
            <w:tcW w:w="16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Application Date</w:t>
            </w:r>
          </w:p>
        </w:tc>
      </w:tr>
      <w:tr>
        <w:trPr/>
        <w:tc>
          <w:tcPr>
            <w:tcW w:w="352" w:type="dxa"/>
            <w:tcBorders/>
          </w:tcPr>
          <w:p>
            <w:pPr>
              <w:pStyle w:val="TableContents"/>
              <w:bidi w:val="0"/>
              <w:spacing w:before="0" w:after="283"/>
              <w:jc w:val="left"/>
              <w:rPr/>
            </w:pPr>
            <w:r>
              <w:rPr/>
              <w:t>1.</w:t>
            </w:r>
          </w:p>
        </w:tc>
        <w:tc>
          <w:tcPr>
            <w:tcW w:w="120" w:type="dxa"/>
            <w:tcBorders/>
            <w:vAlign w:val="bottom"/>
          </w:tcPr>
          <w:p>
            <w:pPr>
              <w:pStyle w:val="TableContents"/>
              <w:bidi w:val="0"/>
              <w:spacing w:before="0" w:after="283"/>
              <w:jc w:val="left"/>
              <w:rPr/>
            </w:pPr>
            <w:r>
              <w:rPr/>
              <w:t>  </w:t>
            </w:r>
          </w:p>
        </w:tc>
        <w:tc>
          <w:tcPr>
            <w:tcW w:w="2154" w:type="dxa"/>
            <w:tcBorders/>
          </w:tcPr>
          <w:p>
            <w:pPr>
              <w:pStyle w:val="TableContents"/>
              <w:bidi w:val="0"/>
              <w:spacing w:before="0" w:after="283"/>
              <w:jc w:val="left"/>
              <w:rPr/>
            </w:pPr>
            <w:r>
              <w:rPr/>
              <w:t>RADIOLABELED LIPOSOMES AND METHODS OF USE THEREOF</w:t>
            </w:r>
          </w:p>
        </w:tc>
        <w:tc>
          <w:tcPr>
            <w:tcW w:w="120" w:type="dxa"/>
            <w:tcBorders/>
            <w:vAlign w:val="bottom"/>
          </w:tcPr>
          <w:p>
            <w:pPr>
              <w:pStyle w:val="TableContents"/>
              <w:bidi w:val="0"/>
              <w:spacing w:before="0" w:after="283"/>
              <w:jc w:val="left"/>
              <w:rPr/>
            </w:pPr>
            <w:r>
              <w:rPr/>
              <w:t>  </w:t>
            </w:r>
          </w:p>
        </w:tc>
        <w:tc>
          <w:tcPr>
            <w:tcW w:w="1661" w:type="dxa"/>
            <w:tcBorders/>
          </w:tcPr>
          <w:p>
            <w:pPr>
              <w:pStyle w:val="TableContents"/>
              <w:bidi w:val="0"/>
              <w:spacing w:before="0" w:after="283"/>
              <w:jc w:val="left"/>
              <w:rPr>
                <w:i/>
              </w:rPr>
            </w:pPr>
            <w:r>
              <w:rPr>
                <w:i/>
              </w:rPr>
              <w:t>Pending</w:t>
            </w:r>
          </w:p>
        </w:tc>
        <w:tc>
          <w:tcPr>
            <w:tcW w:w="120" w:type="dxa"/>
            <w:tcBorders/>
            <w:vAlign w:val="bottom"/>
          </w:tcPr>
          <w:p>
            <w:pPr>
              <w:pStyle w:val="TableContents"/>
              <w:bidi w:val="0"/>
              <w:spacing w:before="0" w:after="283"/>
              <w:jc w:val="left"/>
              <w:rPr/>
            </w:pPr>
            <w:r>
              <w:rPr/>
              <w:t>  </w:t>
            </w:r>
          </w:p>
        </w:tc>
        <w:tc>
          <w:tcPr>
            <w:tcW w:w="1723" w:type="dxa"/>
            <w:tcBorders/>
          </w:tcPr>
          <w:p>
            <w:pPr>
              <w:pStyle w:val="TableContents"/>
              <w:bidi w:val="0"/>
              <w:spacing w:before="0" w:after="283"/>
              <w:jc w:val="left"/>
              <w:rPr/>
            </w:pPr>
            <w:r>
              <w:rPr/>
              <w:t>20250110</w:t>
            </w:r>
          </w:p>
        </w:tc>
        <w:tc>
          <w:tcPr>
            <w:tcW w:w="120"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left"/>
              <w:rPr/>
            </w:pPr>
            <w:r>
              <w:rPr/>
              <w:t>CN202380027947</w:t>
            </w:r>
          </w:p>
        </w:tc>
        <w:tc>
          <w:tcPr>
            <w:tcW w:w="120"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0"/>
              <w:jc w:val="left"/>
              <w:rPr>
                <w:rFonts w:ascii="Times New Roman" w:hAnsi="Times New Roman"/>
                <w:sz w:val="20"/>
              </w:rPr>
            </w:pPr>
            <w:r>
              <w:rPr>
                <w:rFonts w:ascii="Times New Roman" w:hAnsi="Times New Roman"/>
                <w:sz w:val="20"/>
              </w:rPr>
              <w:t>20230125</w:t>
            </w:r>
          </w:p>
        </w:tc>
      </w:tr>
    </w:tbl>
    <w:p>
      <w:pPr>
        <w:pStyle w:val="TextBody"/>
        <w:bidi w:val="0"/>
        <w:spacing w:before="0" w:after="0"/>
        <w:jc w:val="right"/>
        <w:rPr>
          <w:rFonts w:ascii="Times New Roman" w:hAnsi="Times New Roman"/>
          <w:b/>
          <w:sz w:val="20"/>
        </w:rPr>
      </w:pPr>
      <w:bookmarkStart w:id="10" w:name="d382364dex104.htm"/>
      <w:bookmarkStart w:id="11" w:name="ksd382364dex104"/>
      <w:bookmarkEnd w:id="10"/>
      <w:bookmarkEnd w:id="11"/>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ROYALTY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September 10,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CERENOME, INC., </w:t>
      </w:r>
    </w:p>
    <w:p>
      <w:pPr>
        <w:pStyle w:val="TextBody"/>
        <w:bidi w:val="0"/>
        <w:spacing w:before="240" w:after="0"/>
        <w:jc w:val="center"/>
        <w:rPr>
          <w:rFonts w:ascii="Times New Roman" w:hAnsi="Times New Roman"/>
          <w:b/>
          <w:sz w:val="20"/>
        </w:rPr>
      </w:pPr>
      <w:r>
        <w:rPr>
          <w:rFonts w:ascii="Times New Roman" w:hAnsi="Times New Roman"/>
          <w:b/>
          <w:sz w:val="20"/>
        </w:rPr>
        <w:t xml:space="preserve">CNSIDE DIAGNOSTICS,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Payor Parties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3i, LP,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Payee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10"/>
        <w:gridCol w:w="101"/>
        <w:gridCol w:w="7960"/>
        <w:gridCol w:w="154"/>
        <w:gridCol w:w="96"/>
        <w:gridCol w:w="420"/>
        <w:gridCol w:w="64"/>
      </w:tblGrid>
      <w:tr>
        <w:trPr/>
        <w:tc>
          <w:tcPr>
            <w:tcW w:w="14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1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 DEFINED TERMS AND RULES OF CONSTRUCTION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61"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Defined Terms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Rules of Construction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 ROYALTY AND GUARANTEE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61"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Royalty Obligation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Consideration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Payment of Royalty Payments to the Payee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No Assumed Obligations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Excluded Assets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 OF THE PAYOR PARTIES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61"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Organization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No Conflicts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Authorization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Ownership</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Governmental and Third-Party Authorizations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Compliance with Laws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Material Contracts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PAYEE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61"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Organization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No Conflicts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Authorization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 COVENANTS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61"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Books and Records; Notices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Public Announcement</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Further Assurances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Inspections and Audits of CNSide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Tax Matters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Existence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Additional Sales; Liens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Change of Control; Covered Transaction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1"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Material Contracts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537"/>
        <w:gridCol w:w="105"/>
        <w:gridCol w:w="8027"/>
        <w:gridCol w:w="152"/>
        <w:gridCol w:w="60"/>
        <w:gridCol w:w="261"/>
        <w:gridCol w:w="63"/>
      </w:tblGrid>
      <w:tr>
        <w:trPr/>
        <w:tc>
          <w:tcPr>
            <w:tcW w:w="153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02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 THE CLOSING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537" w:type="dxa"/>
            <w:tcBorders/>
            <w:vAlign w:val="center"/>
          </w:tcPr>
          <w:p>
            <w:pPr>
              <w:pStyle w:val="TableContents"/>
              <w:bidi w:val="0"/>
              <w:spacing w:before="0" w:after="283"/>
              <w:jc w:val="left"/>
              <w:rPr>
                <w:sz w:val="4"/>
                <w:szCs w:val="4"/>
              </w:rPr>
            </w:pPr>
            <w:r>
              <w:rPr>
                <w:sz w:val="4"/>
                <w:szCs w:val="4"/>
              </w:rPr>
            </w:r>
          </w:p>
        </w:tc>
        <w:tc>
          <w:tcPr>
            <w:tcW w:w="8132"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Closing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Closing Deliverables of the Payor Parties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Closing Deliverables of the Payee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 INDEMNIFICATION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537" w:type="dxa"/>
            <w:tcBorders/>
            <w:vAlign w:val="center"/>
          </w:tcPr>
          <w:p>
            <w:pPr>
              <w:pStyle w:val="TableContents"/>
              <w:bidi w:val="0"/>
              <w:spacing w:before="0" w:after="283"/>
              <w:jc w:val="left"/>
              <w:rPr>
                <w:sz w:val="4"/>
                <w:szCs w:val="4"/>
              </w:rPr>
            </w:pPr>
            <w:r>
              <w:rPr>
                <w:sz w:val="4"/>
                <w:szCs w:val="4"/>
              </w:rPr>
            </w:r>
          </w:p>
        </w:tc>
        <w:tc>
          <w:tcPr>
            <w:tcW w:w="8132"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Indemnification by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Indemnification by the Payee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Claims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Survival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Remedies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Limitations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VIII. CONFIDENTIALITY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1537" w:type="dxa"/>
            <w:tcBorders/>
            <w:vAlign w:val="center"/>
          </w:tcPr>
          <w:p>
            <w:pPr>
              <w:pStyle w:val="TableContents"/>
              <w:bidi w:val="0"/>
              <w:spacing w:before="0" w:after="283"/>
              <w:jc w:val="left"/>
              <w:rPr>
                <w:sz w:val="4"/>
                <w:szCs w:val="4"/>
              </w:rPr>
            </w:pPr>
            <w:r>
              <w:rPr>
                <w:sz w:val="4"/>
                <w:szCs w:val="4"/>
              </w:rPr>
            </w:r>
          </w:p>
        </w:tc>
        <w:tc>
          <w:tcPr>
            <w:tcW w:w="8132"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Confidentiality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Permitted Disclosure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537" w:type="dxa"/>
            <w:tcBorders/>
            <w:vAlign w:val="center"/>
          </w:tcPr>
          <w:p>
            <w:pPr>
              <w:pStyle w:val="TableContents"/>
              <w:bidi w:val="0"/>
              <w:spacing w:before="0" w:after="283"/>
              <w:jc w:val="left"/>
              <w:rPr>
                <w:sz w:val="4"/>
                <w:szCs w:val="4"/>
              </w:rPr>
            </w:pPr>
            <w:r>
              <w:rPr>
                <w:sz w:val="4"/>
                <w:szCs w:val="4"/>
              </w:rPr>
            </w:r>
          </w:p>
        </w:tc>
        <w:tc>
          <w:tcPr>
            <w:tcW w:w="8132"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Termination of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669" w:type="dxa"/>
            <w:gridSpan w:val="3"/>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966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537" w:type="dxa"/>
            <w:tcBorders/>
            <w:vAlign w:val="center"/>
          </w:tcPr>
          <w:p>
            <w:pPr>
              <w:pStyle w:val="TableContents"/>
              <w:bidi w:val="0"/>
              <w:spacing w:before="0" w:after="283"/>
              <w:jc w:val="left"/>
              <w:rPr>
                <w:sz w:val="4"/>
                <w:szCs w:val="4"/>
              </w:rPr>
            </w:pPr>
            <w:r>
              <w:rPr>
                <w:sz w:val="4"/>
                <w:szCs w:val="4"/>
              </w:rPr>
            </w:r>
          </w:p>
        </w:tc>
        <w:tc>
          <w:tcPr>
            <w:tcW w:w="8132"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Specific Performance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Successors and Assigns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Independent Nature of Relationship</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Entire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Governing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Severability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Amendments; No Waivers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No Third Party Rights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5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105" w:type="dxa"/>
            <w:tcBorders/>
            <w:vAlign w:val="bottom"/>
          </w:tcPr>
          <w:p>
            <w:pPr>
              <w:pStyle w:val="TableContents"/>
              <w:bidi w:val="0"/>
              <w:spacing w:before="0" w:after="283"/>
              <w:jc w:val="left"/>
              <w:rPr/>
            </w:pPr>
            <w:r>
              <w:rPr/>
              <w:t> </w:t>
            </w:r>
          </w:p>
        </w:tc>
        <w:tc>
          <w:tcPr>
            <w:tcW w:w="8027" w:type="dxa"/>
            <w:tcBorders/>
            <w:vAlign w:val="bottom"/>
          </w:tcPr>
          <w:p>
            <w:pPr>
              <w:pStyle w:val="TableContents"/>
              <w:bidi w:val="0"/>
              <w:spacing w:before="0" w:after="283"/>
              <w:jc w:val="left"/>
              <w:rPr/>
            </w:pPr>
            <w:r>
              <w:rPr/>
              <w:t>Table of Contents and Headings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8"/>
        <w:gridCol w:w="123"/>
        <w:gridCol w:w="8064"/>
      </w:tblGrid>
      <w:tr>
        <w:trPr/>
        <w:tc>
          <w:tcPr>
            <w:tcW w:w="201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64" w:type="dxa"/>
            <w:tcBorders/>
            <w:vAlign w:val="center"/>
          </w:tcPr>
          <w:p>
            <w:pPr>
              <w:pStyle w:val="TableContents"/>
              <w:bidi w:val="0"/>
              <w:spacing w:before="0" w:after="283"/>
              <w:jc w:val="left"/>
              <w:rPr>
                <w:sz w:val="4"/>
                <w:szCs w:val="4"/>
              </w:rPr>
            </w:pPr>
            <w:r>
              <w:rPr>
                <w:sz w:val="4"/>
                <w:szCs w:val="4"/>
              </w:rPr>
            </w:r>
          </w:p>
        </w:tc>
      </w:tr>
      <w:tr>
        <w:trPr/>
        <w:tc>
          <w:tcPr>
            <w:tcW w:w="201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Exhibits</w:t>
            </w:r>
          </w:p>
        </w:tc>
        <w:tc>
          <w:tcPr>
            <w:tcW w:w="123" w:type="dxa"/>
            <w:tcBorders/>
            <w:vAlign w:val="bottom"/>
          </w:tcPr>
          <w:p>
            <w:pPr>
              <w:pStyle w:val="TableContents"/>
              <w:bidi w:val="0"/>
              <w:spacing w:before="0" w:after="283"/>
              <w:jc w:val="left"/>
              <w:rPr/>
            </w:pPr>
            <w:r>
              <w:rPr/>
              <w:t>  </w:t>
            </w:r>
          </w:p>
        </w:tc>
        <w:tc>
          <w:tcPr>
            <w:tcW w:w="80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018" w:type="dxa"/>
            <w:tcBorders/>
            <w:vAlign w:val="center"/>
          </w:tcPr>
          <w:p>
            <w:pPr>
              <w:pStyle w:val="TableContents"/>
              <w:bidi w:val="0"/>
              <w:spacing w:before="0" w:after="283"/>
              <w:jc w:val="left"/>
              <w:rPr>
                <w:sz w:val="4"/>
                <w:szCs w:val="4"/>
              </w:rPr>
            </w:pPr>
            <w:r>
              <w:rPr>
                <w:sz w:val="4"/>
                <w:szCs w:val="4"/>
              </w:rPr>
            </w:r>
          </w:p>
        </w:tc>
        <w:tc>
          <w:tcPr>
            <w:tcW w:w="8187" w:type="dxa"/>
            <w:gridSpan w:val="2"/>
            <w:tcBorders/>
            <w:vAlign w:val="center"/>
          </w:tcPr>
          <w:p>
            <w:pPr>
              <w:pStyle w:val="TableContents"/>
              <w:bidi w:val="0"/>
              <w:spacing w:before="0" w:after="283"/>
              <w:jc w:val="left"/>
              <w:rPr>
                <w:sz w:val="4"/>
                <w:szCs w:val="4"/>
              </w:rPr>
            </w:pPr>
            <w:r>
              <w:rPr>
                <w:sz w:val="4"/>
                <w:szCs w:val="4"/>
              </w:rPr>
            </w:r>
          </w:p>
        </w:tc>
      </w:tr>
      <w:tr>
        <w:trPr/>
        <w:tc>
          <w:tcPr>
            <w:tcW w:w="2018" w:type="dxa"/>
            <w:tcBorders/>
          </w:tcPr>
          <w:p>
            <w:pPr>
              <w:pStyle w:val="TableContents"/>
              <w:bidi w:val="0"/>
              <w:spacing w:before="0" w:after="283"/>
              <w:jc w:val="center"/>
              <w:rPr/>
            </w:pPr>
            <w:r>
              <w:rPr/>
              <w:t>Exhibit A:</w:t>
            </w:r>
          </w:p>
        </w:tc>
        <w:tc>
          <w:tcPr>
            <w:tcW w:w="123" w:type="dxa"/>
            <w:tcBorders/>
            <w:vAlign w:val="bottom"/>
          </w:tcPr>
          <w:p>
            <w:pPr>
              <w:pStyle w:val="TableContents"/>
              <w:bidi w:val="0"/>
              <w:spacing w:before="0" w:after="283"/>
              <w:jc w:val="left"/>
              <w:rPr/>
            </w:pPr>
            <w:r>
              <w:rPr/>
              <w:t>  </w:t>
            </w:r>
          </w:p>
        </w:tc>
        <w:tc>
          <w:tcPr>
            <w:tcW w:w="8064" w:type="dxa"/>
            <w:tcBorders/>
          </w:tcPr>
          <w:p>
            <w:pPr>
              <w:pStyle w:val="TableContents"/>
              <w:bidi w:val="0"/>
              <w:spacing w:before="0" w:after="283"/>
              <w:jc w:val="left"/>
              <w:rPr/>
            </w:pPr>
            <w:r>
              <w:rPr/>
              <w:t>Payee Accounts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ROYALTY AGREEMENT </w:t>
      </w:r>
    </w:p>
    <w:p>
      <w:pPr>
        <w:pStyle w:val="TextBody"/>
        <w:bidi w:val="0"/>
        <w:spacing w:before="240" w:after="0"/>
        <w:jc w:val="left"/>
        <w:rPr>
          <w:rFonts w:ascii="Times New Roman" w:hAnsi="Times New Roman"/>
          <w:sz w:val="20"/>
        </w:rPr>
      </w:pPr>
      <w:r>
        <w:rPr>
          <w:rFonts w:ascii="Times New Roman" w:hAnsi="Times New Roman"/>
          <w:sz w:val="20"/>
        </w:rPr>
        <w:t>This ROYALTY AGREEMENT (this “</w:t>
      </w:r>
      <w:r>
        <w:rPr>
          <w:rFonts w:ascii="Times New Roman" w:hAnsi="Times New Roman"/>
          <w:sz w:val="20"/>
          <w:u w:val="single"/>
        </w:rPr>
        <w:t>Agreement</w:t>
      </w:r>
      <w:r>
        <w:rPr>
          <w:rFonts w:ascii="Times New Roman" w:hAnsi="Times New Roman"/>
          <w:sz w:val="20"/>
        </w:rPr>
        <w:t>”), dated as of September 10, 2026, is by and among CNSide Diagnostics, LLC, a Delaware limited liability company (“</w:t>
      </w:r>
      <w:r>
        <w:rPr>
          <w:rFonts w:ascii="Times New Roman" w:hAnsi="Times New Roman"/>
          <w:sz w:val="20"/>
          <w:u w:val="single"/>
        </w:rPr>
        <w:t>CNSide</w:t>
      </w:r>
      <w:r>
        <w:rPr>
          <w:rFonts w:ascii="Times New Roman" w:hAnsi="Times New Roman"/>
          <w:sz w:val="20"/>
        </w:rPr>
        <w:t>”), Cerenome, Inc., a Delaware corporation (the “</w:t>
      </w:r>
      <w:r>
        <w:rPr>
          <w:rFonts w:ascii="Times New Roman" w:hAnsi="Times New Roman"/>
          <w:sz w:val="20"/>
          <w:u w:val="single"/>
        </w:rPr>
        <w:t>Parent</w:t>
      </w:r>
      <w:r>
        <w:rPr>
          <w:rFonts w:ascii="Times New Roman" w:hAnsi="Times New Roman"/>
          <w:sz w:val="20"/>
        </w:rPr>
        <w:t>,” and together with CNSide, the “</w:t>
      </w:r>
      <w:r>
        <w:rPr>
          <w:rFonts w:ascii="Times New Roman" w:hAnsi="Times New Roman"/>
          <w:sz w:val="20"/>
          <w:u w:val="single"/>
        </w:rPr>
        <w:t>Payor Parties</w:t>
      </w:r>
      <w:r>
        <w:rPr>
          <w:rFonts w:ascii="Times New Roman" w:hAnsi="Times New Roman"/>
          <w:sz w:val="20"/>
        </w:rPr>
        <w:t>”), and 3i, LP, a Delaware limited partnership (the “</w:t>
      </w:r>
      <w:r>
        <w:rPr>
          <w:rFonts w:ascii="Times New Roman" w:hAnsi="Times New Roman"/>
          <w:sz w:val="20"/>
          <w:u w:val="single"/>
        </w:rPr>
        <w:t>Payee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CNSide holds certain assets and rights relating to the Covered Revenue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CNSide desires to pay to Payee the Royalty (as defined herein)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CNSide is a direct subsidiary of the Parent;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 condition precedent to the Payee’s obligations to make available to the Parent the funds and other financial accommodations under the Purchase Agreement (as defined herein) that the Parent shall guarantee the payment by CNSide when due of all Royalty Payments (as defined herein) all other obligations of CNSide to the Payee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mutual agreements, representations and warranties set forth herein and of other good and valuable consideration, the receipt and adequacy of which are hereby acknowledged, the Parties covenant and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DEFINED TERMS AND RULES OF CONSTRUCTION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Defined Terms</w:t>
      </w:r>
      <w:r>
        <w:rPr>
          <w:rFonts w:ascii="Times New Roman" w:hAnsi="Times New Roman"/>
          <w:sz w:val="20"/>
        </w:rPr>
        <w:t xml:space="preserve">. The following terms, as used herein, shall have the following respective meanings: </w:t>
      </w:r>
    </w:p>
    <w:p>
      <w:pPr>
        <w:pStyle w:val="TextBody"/>
        <w:bidi w:val="0"/>
        <w:spacing w:before="120" w:after="0"/>
        <w:jc w:val="left"/>
        <w:rPr/>
      </w:pPr>
      <w:r>
        <w:rPr/>
        <w:t>“</w:t>
      </w:r>
      <w:r>
        <w:rPr>
          <w:rFonts w:ascii="Times New Roman" w:hAnsi="Times New Roman"/>
          <w:sz w:val="20"/>
          <w:u w:val="single"/>
        </w:rPr>
        <w:t>Account Bank</w:t>
      </w:r>
      <w:r>
        <w:rPr>
          <w:rFonts w:ascii="Times New Roman" w:hAnsi="Times New Roman"/>
          <w:sz w:val="20"/>
        </w:rPr>
        <w:t xml:space="preserve">” means Pershing Advisor Solutions LLC, Wells Fargo Bank, or such other bank approved by the Payee and the Parent. </w:t>
      </w:r>
    </w:p>
    <w:p>
      <w:pPr>
        <w:pStyle w:val="TextBody"/>
        <w:bidi w:val="0"/>
        <w:spacing w:before="240" w:after="0"/>
        <w:jc w:val="left"/>
        <w:rPr/>
      </w:pPr>
      <w:r>
        <w:rPr/>
        <w:t>“</w:t>
      </w:r>
      <w:r>
        <w:rPr>
          <w:rFonts w:ascii="Times New Roman" w:hAnsi="Times New Roman"/>
          <w:sz w:val="20"/>
          <w:u w:val="single"/>
        </w:rPr>
        <w:t>Account Control Agreement</w:t>
      </w:r>
      <w:r>
        <w:rPr>
          <w:rFonts w:ascii="Times New Roman" w:hAnsi="Times New Roman"/>
          <w:sz w:val="20"/>
        </w:rPr>
        <w:t xml:space="preserve">” means any agreement entered into by the Account Bank, CNSide and the Payee in form and substance reasonably satisfactory to the Payee, pursuant to which, among other things, the Payee shall have control over the Collection Account within the meaning of Section 9-104 of the UCC.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with respect to any designated Person, any other Person that, directly or indirectly, controls, is controlled by or is under common control with such designated Person. For purposes of this definition, “</w:t>
      </w:r>
      <w:r>
        <w:rPr>
          <w:rFonts w:ascii="Times New Roman" w:hAnsi="Times New Roman"/>
          <w:sz w:val="20"/>
          <w:u w:val="single"/>
        </w:rPr>
        <w:t>control</w:t>
      </w:r>
      <w:r>
        <w:rPr>
          <w:rFonts w:ascii="Times New Roman" w:hAnsi="Times New Roman"/>
          <w:sz w:val="20"/>
        </w:rPr>
        <w:t>” of a Person means the possession, directly or indirectly, of the power to direct or cause the direction of the management and policies of such Person, whether through the ownership of Equity Interests, by contract or otherwise, and the terms “</w:t>
      </w:r>
      <w:r>
        <w:rPr>
          <w:rFonts w:ascii="Times New Roman" w:hAnsi="Times New Roman"/>
          <w:sz w:val="20"/>
          <w:u w:val="single"/>
        </w:rPr>
        <w:t>controlled</w:t>
      </w:r>
      <w:r>
        <w:rPr>
          <w:rFonts w:ascii="Times New Roman" w:hAnsi="Times New Roman"/>
          <w:sz w:val="20"/>
        </w:rPr>
        <w:t>” and “</w:t>
      </w:r>
      <w:r>
        <w:rPr>
          <w:rFonts w:ascii="Times New Roman" w:hAnsi="Times New Roman"/>
          <w:sz w:val="20"/>
          <w:u w:val="single"/>
        </w:rPr>
        <w:t>controlling</w:t>
      </w:r>
      <w:r>
        <w:rPr>
          <w:rFonts w:ascii="Times New Roman" w:hAnsi="Times New Roman"/>
          <w:sz w:val="20"/>
        </w:rPr>
        <w:t xml:space="preserve">” have meanings correlative to the foregoing.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means, with respect to any Person, all laws, rules, regulations and orders of Governmental Authorities applicable to such Person, the conduct of its business, or any of its properties, products or assets. </w:t>
      </w:r>
    </w:p>
    <w:p>
      <w:pPr>
        <w:pStyle w:val="TextBody"/>
        <w:bidi w:val="0"/>
        <w:spacing w:before="240" w:after="0"/>
        <w:jc w:val="left"/>
        <w:rPr/>
      </w:pPr>
      <w:r>
        <w:rPr/>
        <w:t>“</w:t>
      </w:r>
      <w:r>
        <w:rPr>
          <w:rFonts w:ascii="Times New Roman" w:hAnsi="Times New Roman"/>
          <w:sz w:val="20"/>
          <w:u w:val="single"/>
        </w:rPr>
        <w:t>Bankruptcy Event</w:t>
      </w:r>
      <w:r>
        <w:rPr>
          <w:rFonts w:ascii="Times New Roman" w:hAnsi="Times New Roman"/>
          <w:sz w:val="20"/>
        </w:rPr>
        <w:t xml:space="preserve">” means the occurrence of any of the following in respect of any Person: (a) an admission in writing by such Person of its inability to pay its debts as they become due or a general assignment by such Person for the benefit of creditors; (b) the filing of any petition or answer by such Person seeking to adjudicate itself as bankrupt or insolvent, or seeking for itself any liquidation, winding-up, reorganization, arrangement, adjustment, protection, relief or composition of such Person or its debts under any law relating to bankruptcy, insolvency, receivership, winding-up, liquidation, reorganization, examination, relief of debtors or other similar law now or hereafter in effect, or seeking, consenting to or acquiescing in the entry of an order for relief in any case under any such law, or the appointment of or taking possession by a receiver, trustee, custodian, liquidator, examiner, assignee, sequestrator or other similar official for such Person or for any substantial part of its property; (c) corporate or other entity action taken by such Person to authorize any of the actions set forth in clause (a) or (b) of this definition; or (d) without the consent or acquiescence of such Person, the entering of an order for relief or approving a petition for relief or reorganization or any other petition seeking any reorganization, arrangement, composition, readjustment, liquidation, dissolution or other similar relief under any present or future bankruptcy, insolvency or similar statute, law or regulation, or the filing of any such petition against such Person, or, without the consent or acquiescence of such Person, the entering of an order appointing a trustee, custodian, receiver or liquidator of such Person or of all or any substantial part of the property of such Person, in each case where such petition or order shall remain unstayed or shall not have been stayed or dismissed within 90 days from entry thereof. </w:t>
      </w:r>
    </w:p>
    <w:p>
      <w:pPr>
        <w:pStyle w:val="TextBody"/>
        <w:bidi w:val="0"/>
        <w:spacing w:before="240" w:after="0"/>
        <w:jc w:val="left"/>
        <w:rPr/>
      </w:pPr>
      <w:r>
        <w:rPr/>
        <w:t>“</w:t>
      </w:r>
      <w:r>
        <w:rPr>
          <w:rFonts w:ascii="Times New Roman" w:hAnsi="Times New Roman"/>
          <w:sz w:val="20"/>
          <w:u w:val="single"/>
        </w:rPr>
        <w:t>Business</w:t>
      </w:r>
      <w:r>
        <w:rPr>
          <w:rFonts w:ascii="Times New Roman" w:hAnsi="Times New Roman"/>
          <w:sz w:val="20"/>
        </w:rPr>
        <w:t xml:space="preserve">” means CNSide’s business to develop and commercialize proprietary laboratory-developed tests, including the CNSide® cerebrospinal fluid assay platform, which is designed to identify, characterize and monitor tumor cells in patients with central nervous system cancers.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are authorized or required by Applicable Law to remain closed. </w:t>
      </w:r>
    </w:p>
    <w:p>
      <w:pPr>
        <w:pStyle w:val="TextBody"/>
        <w:bidi w:val="0"/>
        <w:spacing w:before="240" w:after="0"/>
        <w:jc w:val="left"/>
        <w:rPr/>
      </w:pPr>
      <w:r>
        <w:rPr/>
        <w:t>“</w:t>
      </w:r>
      <w:r>
        <w:rPr>
          <w:rFonts w:ascii="Times New Roman" w:hAnsi="Times New Roman"/>
          <w:sz w:val="20"/>
          <w:u w:val="single"/>
        </w:rPr>
        <w:t>CNSide Indemnified Party</w:t>
      </w:r>
      <w:r>
        <w:rPr>
          <w:rFonts w:ascii="Times New Roman" w:hAnsi="Times New Roman"/>
          <w:sz w:val="20"/>
        </w:rPr>
        <w:t xml:space="preserve">” has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any (w) reorganization, recapitalization, consolidation or merger (or similar transaction or series of related transactions) of CNSide or issuance, sale or exchange of shares (or similar transaction or series of related transactions) of CNSide in which the holders of the CNSide’s outstanding shares immediately before consummation of such transaction or series of related transactions do not, immediately after consummation of such transaction or series of related transactions, retain shares representing more than 50% of the voting power of the surviving entity of such transaction or series of related transactions (or the parent of such surviving entity if such surviving entity is wholly owned by such parent), in each case without regard to whether CNSide is the surviving entity, or (x) Disposition of all or substantially all of the properties or assets of CNSide.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8-K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as amended, and the regulations thereunder. </w:t>
      </w:r>
    </w:p>
    <w:p>
      <w:pPr>
        <w:pStyle w:val="TextBody"/>
        <w:bidi w:val="0"/>
        <w:spacing w:before="240" w:after="0"/>
        <w:jc w:val="left"/>
        <w:rPr/>
      </w:pPr>
      <w:r>
        <w:rPr/>
        <w:t>“</w:t>
      </w:r>
      <w:r>
        <w:rPr>
          <w:rFonts w:ascii="Times New Roman" w:hAnsi="Times New Roman"/>
          <w:sz w:val="20"/>
          <w:u w:val="single"/>
        </w:rPr>
        <w:t>Collection Account</w:t>
      </w:r>
      <w:r>
        <w:rPr>
          <w:rFonts w:ascii="Times New Roman" w:hAnsi="Times New Roman"/>
          <w:sz w:val="20"/>
        </w:rPr>
        <w:t xml:space="preserve">” means a segregated deposit account of CNSide established and maintained at an Account Bank pursuant to an Account Control Agreement for the purpose of receiving remittances from the Lockbox Account.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has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Counterparty</w:t>
      </w:r>
      <w:r>
        <w:rPr>
          <w:rFonts w:ascii="Times New Roman" w:hAnsi="Times New Roman"/>
          <w:sz w:val="20"/>
        </w:rPr>
        <w:t xml:space="preserve">” means any counterparty to a Material Contract. </w:t>
      </w:r>
    </w:p>
    <w:p>
      <w:pPr>
        <w:pStyle w:val="TextBody"/>
        <w:bidi w:val="0"/>
        <w:spacing w:before="240" w:after="0"/>
        <w:jc w:val="left"/>
        <w:rPr/>
      </w:pPr>
      <w:r>
        <w:rPr/>
        <w:t>“</w:t>
      </w:r>
      <w:r>
        <w:rPr>
          <w:rFonts w:ascii="Times New Roman" w:hAnsi="Times New Roman"/>
          <w:sz w:val="20"/>
          <w:u w:val="single"/>
        </w:rPr>
        <w:t>Covered Revenue</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Covered Transaction</w:t>
      </w:r>
      <w:r>
        <w:rPr>
          <w:rFonts w:ascii="Times New Roman" w:hAnsi="Times New Roman"/>
          <w:sz w:val="20"/>
        </w:rPr>
        <w:t xml:space="preserve">” means a sale, assignment, transfer, license or other disposition, in whole or in part, of any material rights in or to the Covered Revenue,. </w:t>
      </w:r>
    </w:p>
    <w:p>
      <w:pPr>
        <w:pStyle w:val="TextBody"/>
        <w:bidi w:val="0"/>
        <w:spacing w:before="240" w:after="0"/>
        <w:jc w:val="left"/>
        <w:rPr/>
      </w:pPr>
      <w:r>
        <w:rPr/>
        <w:t>“</w:t>
      </w:r>
      <w:r>
        <w:rPr>
          <w:rFonts w:ascii="Times New Roman" w:hAnsi="Times New Roman"/>
          <w:sz w:val="20"/>
          <w:u w:val="single"/>
        </w:rPr>
        <w:t>Disclosing Party</w:t>
      </w:r>
      <w:r>
        <w:rPr>
          <w:rFonts w:ascii="Times New Roman" w:hAnsi="Times New Roman"/>
          <w:sz w:val="20"/>
        </w:rPr>
        <w:t xml:space="preserve">” has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with respect to any Person, directly or indirectly, the sale, assignment, conveyance, transfer, license, sublicense or other disposition (whether in a single transaction or a series of related transactions) (including by way of a sale and leaseback transaction) of property or assets by any Person.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xml:space="preserve">” or the sign “$” means United States dollars.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with respect to any Person, all of the (i) shares of capital stock of (or other ownership or profit interests in) such Person, (ii) warrants, options or other rights for the purchase or acquisition from such Person of shares of capital stock of (or other ownership or profit interests in) such Person, (iii) securities convertible into or exchangeable for shares of capital stock of (or other ownership or profit interests in) such Person or warrants, rights or options for the purchase or acquisition from such Person of such shares (or such other interests), and (iv) other ownership or profit interests in such Person (including partnership, member, membership or trust interests therein), whether voting or nonvoting, and whether or not such shares, warrants, options, rights or other interests are outstanding on any date of determination. </w:t>
      </w:r>
    </w:p>
    <w:p>
      <w:pPr>
        <w:pStyle w:val="TextBody"/>
        <w:bidi w:val="0"/>
        <w:spacing w:before="240" w:after="0"/>
        <w:jc w:val="left"/>
        <w:rPr/>
      </w:pPr>
      <w:r>
        <w:rPr/>
        <w:t>“</w:t>
      </w:r>
      <w:r>
        <w:rPr>
          <w:rFonts w:ascii="Times New Roman" w:hAnsi="Times New Roman"/>
          <w:sz w:val="20"/>
          <w:u w:val="single"/>
        </w:rPr>
        <w:t>Excluded Liabilities and Obligations</w:t>
      </w:r>
      <w:r>
        <w:rPr>
          <w:rFonts w:ascii="Times New Roman" w:hAnsi="Times New Roman"/>
          <w:sz w:val="20"/>
        </w:rPr>
        <w:t xml:space="preserve">” has the meaning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and any successor agency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effect in the United States from time to time.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any other nation or any political subdivision thereof, whether state or local, and any agency, authority (including supranational authority), commission, instrumentality, regulatory body, court, central bank or other Person exercising executive, legislative, judicial, taxing, regulatory or administrative powers or functions of or pertaining to government, including the FDA and any other government authority in any country.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of any Person means (a) any obligation of such Person for borrowed money, (b) any obligation of such Person evidenced by a bond, debenture, note or other similar instrument, (c) any obligation of such Person to pay the deferred purchase price of property or services (except (i) any accounts payable that arise in the ordinary course of business that are not in dispute and are not 90 days or more past due, (ii) payroll liabilities and deferred compensation, and (iii) any purchase price adjustment, royalty, earnout, milestone payments, contingent payment or deferred payment of a similar nature incurred in connection with any license, lease, contract research and clinic trial arrangements or acquisition), (d) any obligation of such Person as lessee under a capital lease (under GAAP as in effect on the date hereof), (e) any obligation of such Person to purchase securities or other property that arises out of or in connection with the sale of the same or substantially similar securities or property, (f) any non-contingent obligation of such Person to reimburse any other Person in respect of amounts paid under a letter of credit or other guaranty issued by such other Person, (g) any Indebtedness of others secured by a Lien on any asset of such Person, and (h) any Indebtedness of others guaranteed by such Person; provided that intercompany loans among CNSide and its Affiliates shall not constitute Indebtedness.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with respect to CNSide, (a) for the purposes of ARTICLE III, the actual knowledge, as of the date of this Agreement, of Marc Hedrick or Andrew Sims, after due inquiry by each such person of each of her direct reports and (b) for the other purposes of this Agreement, the actual knowledge, as of a specified time, of Marc Hedrick or Andrew Sims or any successor to any of such persons holding the same or substantially similar position at such time; provided, however, that for purposes of this clause (b), each such person shall be deemed to have actual knowledge of any fact or matter such officer would reasonably be expected to discover in performing his or her duties and responsibilities, in such capacity, in the ordinary course of business.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security interest, mortgage, pledge, hypothecation, assignment, deposit arrangement, encumbrance, lien (statutory or otherwise), charge against or interest in property or other priority or preferential arrangement of any kind or nature whatsoever, including any conditional sale or any sale with recourse, or any other restriction on transfer. </w:t>
      </w:r>
    </w:p>
    <w:p>
      <w:pPr>
        <w:pStyle w:val="TextBody"/>
        <w:bidi w:val="0"/>
        <w:spacing w:before="240" w:after="0"/>
        <w:jc w:val="left"/>
        <w:rPr/>
      </w:pPr>
      <w:r>
        <w:rPr/>
        <w:t>“</w:t>
      </w:r>
      <w:r>
        <w:rPr>
          <w:rFonts w:ascii="Times New Roman" w:hAnsi="Times New Roman"/>
          <w:sz w:val="20"/>
          <w:u w:val="single"/>
        </w:rPr>
        <w:t>Lockbox Account</w:t>
      </w:r>
      <w:r>
        <w:rPr>
          <w:rFonts w:ascii="Times New Roman" w:hAnsi="Times New Roman"/>
          <w:sz w:val="20"/>
        </w:rPr>
        <w:t xml:space="preserve">” means a segregated deposit account of CNSide established and maintained at an Account Bank pursuant to an Account Control Agreement for the purpose of receiving Royalty Payments owed to the Payee.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Loss</w:t>
      </w:r>
      <w:r>
        <w:rPr>
          <w:rFonts w:ascii="Times New Roman" w:hAnsi="Times New Roman"/>
          <w:sz w:val="20"/>
        </w:rPr>
        <w:t xml:space="preserve">” means any loss, liability, cost, expense (including reasonable costs of investigation and defense and reasonable attorneys’ fees and expenses), charge, fine, penalty, obligation, judgment, award, assessment, claim or cause of action.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legality, validity or enforceability of this Agreement or the Material Contracts, (b) the ability of CNSide to perform their obligations under this Agreement, (c) the rights or remedies of the Payee under this Agreement, (d) the right of the Payee to receive the Royalty Payments, the timing, amount or duration of the Royalty Payments, or the right to receive royalty reports and other information (including audit information) on the terms set forth in this Agreement, or (e) the business of CNSide and its subsidiaries, taken as a whole.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means any license agreement, distribution agreement, supply agreement, any agreement or arrangement, in each case between CNSide and a Third Party (other than Affiliates of CNSide) that is necessary or useful for the conduct of the Business by CNSide. </w:t>
      </w:r>
    </w:p>
    <w:p>
      <w:pPr>
        <w:pStyle w:val="TextBody"/>
        <w:bidi w:val="0"/>
        <w:spacing w:before="240" w:after="0"/>
        <w:jc w:val="left"/>
        <w:rPr/>
      </w:pPr>
      <w:r>
        <w:rPr/>
        <w:t>“</w:t>
      </w:r>
      <w:r>
        <w:rPr>
          <w:rFonts w:ascii="Times New Roman" w:hAnsi="Times New Roman"/>
          <w:sz w:val="20"/>
          <w:u w:val="single"/>
        </w:rPr>
        <w:t>Material Nonpublic Information</w:t>
      </w:r>
      <w:r>
        <w:rPr>
          <w:rFonts w:ascii="Times New Roman" w:hAnsi="Times New Roman"/>
          <w:sz w:val="20"/>
        </w:rPr>
        <w:t xml:space="preserve">” means any information that has not been disseminated to the general public, including, without limitation, through public filing with a securities regulatory authority, issuance of a press release, disclosure of the information in a national or broadly disseminated news service, or the issuance of a proxy statement or prospectus, that might (i) affect the market value or trading of a security generally or (ii) affect an investment decision of a reasonable investor.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Payor Parties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Party</w:t>
      </w:r>
      <w:r>
        <w:rPr>
          <w:rFonts w:ascii="Times New Roman" w:hAnsi="Times New Roman"/>
          <w:sz w:val="20"/>
        </w:rPr>
        <w:t xml:space="preserve">” means each of the Payor Parties or the Payee, as the context requires, and “Parties” means, together, the Payor Parties and the Payee. </w:t>
      </w:r>
    </w:p>
    <w:p>
      <w:pPr>
        <w:pStyle w:val="TextBody"/>
        <w:bidi w:val="0"/>
        <w:spacing w:before="240" w:after="0"/>
        <w:jc w:val="left"/>
        <w:rPr/>
      </w:pPr>
      <w:r>
        <w:rPr/>
        <w:t>“</w:t>
      </w:r>
      <w:r>
        <w:rPr>
          <w:rFonts w:ascii="Times New Roman" w:hAnsi="Times New Roman"/>
          <w:sz w:val="20"/>
          <w:u w:val="single"/>
        </w:rPr>
        <w:t>Payee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Payee Account</w:t>
      </w:r>
      <w:r>
        <w:rPr>
          <w:rFonts w:ascii="Times New Roman" w:hAnsi="Times New Roman"/>
          <w:sz w:val="20"/>
        </w:rPr>
        <w:t xml:space="preserve">” means the account set forth on Exhibit A (or to such other account as a Payee shall notify CNSide in writing from time to time). </w:t>
      </w:r>
    </w:p>
    <w:p>
      <w:pPr>
        <w:pStyle w:val="TextBody"/>
        <w:bidi w:val="0"/>
        <w:spacing w:before="240" w:after="0"/>
        <w:jc w:val="left"/>
        <w:rPr/>
      </w:pPr>
      <w:r>
        <w:rPr/>
        <w:t>“</w:t>
      </w:r>
      <w:r>
        <w:rPr>
          <w:rFonts w:ascii="Times New Roman" w:hAnsi="Times New Roman"/>
          <w:sz w:val="20"/>
          <w:u w:val="single"/>
        </w:rPr>
        <w:t>Payee Connection Tax</w:t>
      </w:r>
      <w:r>
        <w:rPr>
          <w:rFonts w:ascii="Times New Roman" w:hAnsi="Times New Roman"/>
          <w:sz w:val="20"/>
        </w:rPr>
        <w:t xml:space="preserve">” means any Tax to the extent that it would not be imposed but for (i) the Payee being organized in or having a permanent establishment (or otherwise actively conducting a business in) in (other than in connection arising from this Agreement and/or any transactions contemplated hereby) the jurisdiction of the applicable taxing authority (ii) any failure of the Payee to provide the withholding agent any valid applicable documentation, certificates, or other tax forms, which allow such withholding agent to make payments under this Agreement to the Payee without deduction or withholding for any U.S. federal withholding taxes (iii) any U.S. federal withholding taxes imposed on amounts payable to Payee (or its successor or assignee, including pursuant to </w:t>
      </w:r>
      <w:r>
        <w:rPr>
          <w:rFonts w:ascii="Times New Roman" w:hAnsi="Times New Roman"/>
          <w:sz w:val="20"/>
          <w:u w:val="single"/>
        </w:rPr>
        <w:t>Section 10.3</w:t>
      </w:r>
      <w:r>
        <w:rPr>
          <w:rFonts w:ascii="Times New Roman" w:hAnsi="Times New Roman"/>
          <w:sz w:val="20"/>
        </w:rPr>
        <w:t xml:space="preserve">) pursuant to a law in effect on the date the Payee (or its successor or assignee, including pursuant to </w:t>
      </w:r>
      <w:r>
        <w:rPr>
          <w:rFonts w:ascii="Times New Roman" w:hAnsi="Times New Roman"/>
          <w:sz w:val="20"/>
          <w:u w:val="single"/>
        </w:rPr>
        <w:t>Section 10.3</w:t>
      </w:r>
      <w:r>
        <w:rPr>
          <w:rFonts w:ascii="Times New Roman" w:hAnsi="Times New Roman"/>
          <w:sz w:val="20"/>
        </w:rPr>
        <w:t xml:space="preserve">) becomes party to this Agreement, or (iv) any payment to the Payee under this Agreement being characterized as compensation for services to such Payee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Payee Indemnified Party</w:t>
      </w:r>
      <w:r>
        <w:rPr>
          <w:rFonts w:ascii="Times New Roman" w:hAnsi="Times New Roman"/>
          <w:sz w:val="20"/>
        </w:rPr>
        <w:t xml:space="preserve">” has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Payee Indemnified Tax</w:t>
      </w:r>
      <w:r>
        <w:rPr>
          <w:rFonts w:ascii="Times New Roman" w:hAnsi="Times New Roman"/>
          <w:sz w:val="20"/>
        </w:rPr>
        <w:t xml:space="preserve">” means any withholding Tax (other than a Payee Connection Tax) withheld by any licensee, sublicensee, CNSide, or any other applicable withholding agent in respect of any payment made to the Payee pursuant to this Agreement or to CNSide (or its Affiliates) that are attributable to the Royalty Payments; provided that, notwithstanding the foregoing, Payee Indemnified Tax shall include any Tax resulting from or attributable to any action taken or caused to be taken by CNSide or its Affiliates or any failure of such Persons to provide any information that is necessary to establish an exemption, after the effective date hereof, that results in any additional withholding or deduction, which would not have resulted absent CNSide or any of its Affiliates taking, causing to be taken, or failing to take such action. </w:t>
      </w:r>
    </w:p>
    <w:p>
      <w:pPr>
        <w:pStyle w:val="TextBody"/>
        <w:bidi w:val="0"/>
        <w:spacing w:before="240" w:after="0"/>
        <w:jc w:val="left"/>
        <w:rPr/>
      </w:pPr>
      <w:r>
        <w:rPr/>
        <w:t>“</w:t>
      </w:r>
      <w:r>
        <w:rPr>
          <w:rFonts w:ascii="Times New Roman" w:hAnsi="Times New Roman"/>
          <w:sz w:val="20"/>
          <w:u w:val="single"/>
        </w:rPr>
        <w:t>Pending Arrangement</w:t>
      </w:r>
      <w:r>
        <w:rPr>
          <w:rFonts w:ascii="Times New Roman" w:hAnsi="Times New Roman"/>
          <w:sz w:val="20"/>
        </w:rPr>
        <w:t xml:space="preserve">” has the meaning set forth in </w:t>
      </w:r>
      <w:r>
        <w:rPr>
          <w:rFonts w:ascii="Times New Roman" w:hAnsi="Times New Roman"/>
          <w:sz w:val="20"/>
          <w:u w:val="single"/>
        </w:rPr>
        <w:t>Section 3.7(a)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 </w:t>
      </w:r>
    </w:p>
    <w:p>
      <w:pPr>
        <w:pStyle w:val="TextBody"/>
        <w:bidi w:val="0"/>
        <w:spacing w:before="240" w:after="0"/>
        <w:jc w:val="left"/>
        <w:rPr/>
      </w:pPr>
      <w:r>
        <w:rPr/>
        <w:t>“</w:t>
      </w:r>
      <w:r>
        <w:rPr>
          <w:rFonts w:ascii="Times New Roman" w:hAnsi="Times New Roman"/>
          <w:sz w:val="20"/>
          <w:u w:val="single"/>
        </w:rPr>
        <w:t>Purchase Agreement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Receiving Party</w:t>
      </w:r>
      <w:r>
        <w:rPr>
          <w:rFonts w:ascii="Times New Roman" w:hAnsi="Times New Roman"/>
          <w:sz w:val="20"/>
        </w:rPr>
        <w:t xml:space="preserve">” has the meaning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Royalty</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Royalty Payment</w:t>
      </w:r>
      <w:r>
        <w:rPr>
          <w:rFonts w:ascii="Times New Roman" w:hAnsi="Times New Roman"/>
          <w:sz w:val="20"/>
        </w:rPr>
        <w:t xml:space="preserve">” means, for each calendar quarter that begins (i) from and after the Closing Date and (ii) on or prior to the expiration of the Royalty Term, the amount payable to the Payee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Royalty Payment Date</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Royalty Report</w:t>
      </w:r>
      <w:r>
        <w:rPr>
          <w:rFonts w:ascii="Times New Roman" w:hAnsi="Times New Roman"/>
          <w:sz w:val="20"/>
        </w:rPr>
        <w:t xml:space="preserve">” has the meaning set forth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Royalty Term</w:t>
      </w:r>
      <w:r>
        <w:rPr>
          <w:rFonts w:ascii="Times New Roman" w:hAnsi="Times New Roman"/>
          <w:sz w:val="20"/>
        </w:rPr>
        <w:t xml:space="preserve">” means the period commencing on the Closing Date and continuing until the date on which all principal, accrued and unpaid interest, fees, expenses and all other amounts owing to the Payee under the Notes (as defined in the Purchase Agreement) have been indefeasibly paid in full in cash or shares and the Notes have been terminated or cancelled.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Specified Breach Event</w:t>
      </w:r>
      <w:r>
        <w:rPr>
          <w:rFonts w:ascii="Times New Roman" w:hAnsi="Times New Roman"/>
          <w:sz w:val="20"/>
        </w:rPr>
        <w:t xml:space="preserve">” means the breach of this Agreement by CNSide, as would reasonably be expected to have a Material Adverse Effect, where the Payee has provided notice of such breach to CNSide in writing and CNSide has not cured such breach within forty-five (45) days following receipt in writing of such notice of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U.S. federal, state, local or non-U.S. income, gross receipts, license, payroll, employment, excise, severance, occupation, premium, windfall profits, environmental, customs duties, capital stock, franchise, profits, withholding, social security, unemployment, disability, real property, personal property, escheat or unclaimed property, sales, use, value added, alternative or add-on minimum, estimated or other tax of any kind whatsoever, including, in each case, (a) any interest, penalty or addition thereto and (b) whether disputed or not. </w:t>
      </w:r>
    </w:p>
    <w:p>
      <w:pPr>
        <w:pStyle w:val="TextBody"/>
        <w:bidi w:val="0"/>
        <w:spacing w:before="240" w:after="0"/>
        <w:jc w:val="left"/>
        <w:rPr/>
      </w:pPr>
      <w:r>
        <w:rPr/>
        <w:t>“</w:t>
      </w:r>
      <w:r>
        <w:rPr>
          <w:rFonts w:ascii="Times New Roman" w:hAnsi="Times New Roman"/>
          <w:sz w:val="20"/>
          <w:u w:val="single"/>
        </w:rPr>
        <w:t>Territory</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that is not a Party. </w:t>
      </w:r>
    </w:p>
    <w:p>
      <w:pPr>
        <w:pStyle w:val="TextBody"/>
        <w:bidi w:val="0"/>
        <w:spacing w:before="240" w:after="0"/>
        <w:jc w:val="left"/>
        <w:rPr/>
      </w:pPr>
      <w:r>
        <w:rPr/>
        <w:t>“</w:t>
      </w:r>
      <w:r>
        <w:rPr>
          <w:rFonts w:ascii="Times New Roman" w:hAnsi="Times New Roman"/>
          <w:sz w:val="20"/>
          <w:u w:val="single"/>
        </w:rPr>
        <w:t>Third Party Claim</w:t>
      </w:r>
      <w:r>
        <w:rPr>
          <w:rFonts w:ascii="Times New Roman" w:hAnsi="Times New Roman"/>
          <w:sz w:val="20"/>
        </w:rPr>
        <w:t xml:space="preserve">” means any claim, action, suit or proceeding by a Third Party, including any investigation by any Governmental Authority. </w:t>
      </w:r>
    </w:p>
    <w:p>
      <w:pPr>
        <w:pStyle w:val="TextBody"/>
        <w:bidi w:val="0"/>
        <w:spacing w:before="240" w:after="0"/>
        <w:jc w:val="left"/>
        <w:rPr/>
      </w:pPr>
      <w:r>
        <w:rPr/>
        <w:t>“</w:t>
      </w:r>
      <w:r>
        <w:rPr>
          <w:rFonts w:ascii="Times New Roman" w:hAnsi="Times New Roman"/>
          <w:sz w:val="20"/>
          <w:u w:val="single"/>
        </w:rPr>
        <w:t>U.S.</w:t>
      </w:r>
      <w:r>
        <w:rPr>
          <w:rFonts w:ascii="Times New Roman" w:hAnsi="Times New Roman"/>
          <w:sz w:val="20"/>
        </w:rPr>
        <w:t>” or “</w:t>
      </w:r>
      <w:r>
        <w:rPr>
          <w:rFonts w:ascii="Times New Roman" w:hAnsi="Times New Roman"/>
          <w:sz w:val="20"/>
          <w:u w:val="single"/>
        </w:rPr>
        <w:t>United States</w:t>
      </w:r>
      <w:r>
        <w:rPr>
          <w:rFonts w:ascii="Times New Roman" w:hAnsi="Times New Roman"/>
          <w:sz w:val="20"/>
        </w:rPr>
        <w:t xml:space="preserve">” means the United States of America, its 50 states, each territory thereof and the District of Columbia.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Delaware. </w:t>
      </w:r>
    </w:p>
    <w:p>
      <w:pPr>
        <w:pStyle w:val="TextBody"/>
        <w:bidi w:val="0"/>
        <w:spacing w:before="240" w:after="0"/>
        <w:jc w:val="left"/>
        <w:rPr/>
      </w:pPr>
      <w:r>
        <w:rPr/>
        <w:t>“</w:t>
      </w:r>
      <w:r>
        <w:rPr>
          <w:rFonts w:ascii="Times New Roman" w:hAnsi="Times New Roman"/>
          <w:sz w:val="20"/>
          <w:u w:val="single"/>
        </w:rPr>
        <w:t>Unpaid Note Balance</w:t>
      </w:r>
      <w:r>
        <w:rPr>
          <w:rFonts w:ascii="Times New Roman" w:hAnsi="Times New Roman"/>
          <w:sz w:val="20"/>
        </w:rPr>
        <w:t xml:space="preserve">” means, as of any date of determination, the aggregate amount of all outstanding principal, accrued and unpaid interest, fees, expenses and all other amounts then owing to the Payee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context otherwise requires,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a term has the meaning assigned to it and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(ii) words of the masculine, feminine or neuter gender shall mean and include the correlative words of other genders; </w:t>
      </w:r>
    </w:p>
    <w:p>
      <w:pPr>
        <w:pStyle w:val="TextBody"/>
        <w:bidi w:val="0"/>
        <w:spacing w:before="120" w:after="0"/>
        <w:jc w:val="left"/>
        <w:rPr>
          <w:rFonts w:ascii="Times New Roman" w:hAnsi="Times New Roman"/>
          <w:sz w:val="20"/>
        </w:rPr>
      </w:pPr>
      <w:r>
        <w:rPr>
          <w:rFonts w:ascii="Times New Roman" w:hAnsi="Times New Roman"/>
          <w:sz w:val="20"/>
        </w:rPr>
        <w:t xml:space="preserve">(iii) the terms “include,” “including” and similar terms shall be construed as if followed by the phrase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(iv) unless otherwise specified, references to a contract or agreement include references to such contract or agreement as from time to time amended, restated, reformed, supplemented or otherwise modified in accordance with its terms (subject to any restrictions on such amendments, restatements, reformations, supplements or modifications set forth herein), and include any annexes, exhibits and schedules hereto or thereto,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(v) any reference to any Person shall be construed to include such Person’s successors and assigns (subject to any restrictions on assignment, transfer or delegation set forth herein) and any reference to a Person in a particular capacity excludes such Person in other capacities;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references to any Applicable Law shall include such Applicable Law as from time to time in effect, including any amendment, modification, codification, replacement, or reenactment thereof or any substitution therefor; </w:t>
      </w:r>
    </w:p>
    <w:p>
      <w:pPr>
        <w:pStyle w:val="TextBody"/>
        <w:bidi w:val="0"/>
        <w:spacing w:before="120" w:after="0"/>
        <w:jc w:val="left"/>
        <w:rPr>
          <w:rFonts w:ascii="Times New Roman" w:hAnsi="Times New Roman"/>
          <w:sz w:val="20"/>
        </w:rPr>
      </w:pPr>
      <w:r>
        <w:rPr>
          <w:rFonts w:ascii="Times New Roman" w:hAnsi="Times New Roman"/>
          <w:sz w:val="20"/>
        </w:rPr>
        <w:t xml:space="preserve">(vii) the word “will” shall be construed to have the same meaning and effect as the word “shall”; </w:t>
      </w:r>
    </w:p>
    <w:p>
      <w:pPr>
        <w:pStyle w:val="TextBody"/>
        <w:bidi w:val="0"/>
        <w:spacing w:before="120" w:after="0"/>
        <w:jc w:val="left"/>
        <w:rPr>
          <w:rFonts w:ascii="Times New Roman" w:hAnsi="Times New Roman"/>
          <w:sz w:val="20"/>
        </w:rPr>
      </w:pPr>
      <w:r>
        <w:rPr>
          <w:rFonts w:ascii="Times New Roman" w:hAnsi="Times New Roman"/>
          <w:sz w:val="20"/>
        </w:rPr>
        <w:t xml:space="preserve">(viii) the words “hereof,” “herein,” “hereunder” and similar terms shall refer to this Agreement as a whole and not to any particular provision hereof, and Article, Section and Exhibit references herein are references to Articles, Sections of, and Exhibits to, this Agreement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(ix) the definitions of terms shall apply equally to the singular and plural forms of the terms defined; </w:t>
      </w:r>
    </w:p>
    <w:p>
      <w:pPr>
        <w:pStyle w:val="TextBody"/>
        <w:bidi w:val="0"/>
        <w:spacing w:before="120" w:after="0"/>
        <w:jc w:val="left"/>
        <w:rPr>
          <w:rFonts w:ascii="Times New Roman" w:hAnsi="Times New Roman"/>
          <w:sz w:val="20"/>
        </w:rPr>
      </w:pPr>
      <w:r>
        <w:rPr>
          <w:rFonts w:ascii="Times New Roman" w:hAnsi="Times New Roman"/>
          <w:sz w:val="20"/>
        </w:rPr>
        <w:t xml:space="preserve">(x) in the computation of a period of time from a specified date to a later specified date, the word “from” means “from and including” and each of the words “to” and “until” means “to but excluding”; and </w:t>
      </w:r>
    </w:p>
    <w:p>
      <w:pPr>
        <w:pStyle w:val="TextBody"/>
        <w:bidi w:val="0"/>
        <w:spacing w:before="120" w:after="0"/>
        <w:jc w:val="left"/>
        <w:rPr>
          <w:rFonts w:ascii="Times New Roman" w:hAnsi="Times New Roman"/>
          <w:sz w:val="20"/>
        </w:rPr>
      </w:pPr>
      <w:r>
        <w:rPr>
          <w:rFonts w:ascii="Times New Roman" w:hAnsi="Times New Roman"/>
          <w:sz w:val="20"/>
        </w:rPr>
        <w:t xml:space="preserve">(xi) 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this Agreement shall be construed according to their fair meaning and neither for nor against any Party irrespective of which Party caused such provisions to be drafted. Each Party acknowledges that it has been represented by an attorney in connection with the preparation and execution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ROYALTY AND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Royalty Obligation</w:t>
      </w:r>
      <w:r>
        <w:rPr>
          <w:rFonts w:ascii="Times New Roman" w:hAnsi="Times New Roman"/>
          <w:sz w:val="20"/>
        </w:rPr>
        <w:t>. During the Royalty Term, CNSide agrees to pay the Payee a quarterly Royalty Payment (the “</w:t>
      </w:r>
      <w:r>
        <w:rPr>
          <w:rFonts w:ascii="Times New Roman" w:hAnsi="Times New Roman"/>
          <w:sz w:val="20"/>
          <w:u w:val="single"/>
        </w:rPr>
        <w:t>Royalty</w:t>
      </w:r>
      <w:r>
        <w:rPr>
          <w:rFonts w:ascii="Times New Roman" w:hAnsi="Times New Roman"/>
          <w:sz w:val="20"/>
        </w:rPr>
        <w:t>”) in accordance with this Agreement equal to two and one-half percent (2.5%) of the gross revenues actually received by CNSide from Third Parties in the applicable calendar quarter for goods and services constituting the Business, determined in accordance with GAAP and CNSide’s consistent revenue recognition policies, (the “</w:t>
      </w:r>
      <w:r>
        <w:rPr>
          <w:rFonts w:ascii="Times New Roman" w:hAnsi="Times New Roman"/>
          <w:sz w:val="20"/>
          <w:u w:val="single"/>
        </w:rPr>
        <w:t>Covered Revenue</w:t>
      </w:r>
      <w:r>
        <w:rPr>
          <w:rFonts w:ascii="Times New Roman" w:hAnsi="Times New Roman"/>
          <w:sz w:val="20"/>
        </w:rPr>
        <w:t xml:space="preserve">”). Covered Revenue shall exclude only (i) refunds, rebates, credits and chargebacks actually paid or allowed to customers, (ii) sales, use, value-added and similar Taxes collected from customers and remitted to a Governmental Authority and (iii) amounts invoiced solely as reimbursement of identified third-party out-of-pocket costs, in each case without markup and only to the extent included in the gross amount received. Notwithstanding anything to the contrary in this Agreement, the Royalty payable with respect to any calendar quarter shall not exceed an amount equal to two and one-half percent (2.5%) of the Unpaid Note Balance as of the first day of such calendar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Consideration</w:t>
      </w:r>
      <w:r>
        <w:rPr>
          <w:rFonts w:ascii="Times New Roman" w:hAnsi="Times New Roman"/>
          <w:sz w:val="20"/>
        </w:rPr>
        <w:t>. The Parties acknowledge and agree that CNSide’s agreement to pay the Royalty constitutes an inducement to the Payee to enter into the Purchase Agreement and acquire the Notes and is part of the consideration for the Payee’s participation in the transactions contemplated by that certain Securities Purchase Agreement, dated September 4, 2026, by and among Parent, the Payee and certain other investors party thereto (the “</w:t>
      </w:r>
      <w:r>
        <w:rPr>
          <w:rFonts w:ascii="Times New Roman" w:hAnsi="Times New Roman"/>
          <w:sz w:val="20"/>
          <w:u w:val="single"/>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Payment of Royalty Payments to the Payee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CNSide shall pay to the Payee, by wire transfer of immediately available funds in U.S. dollars to such Payee’s Payee Account, such Payee’s Royalty Payment for each calendar quarter, or applicable portion thereof, occurring during the Royalty Term, promptly, but in any event no later than thirty (30) calendar days after the end of each calendar quarter (each such date, a “</w:t>
      </w:r>
      <w:r>
        <w:rPr>
          <w:rFonts w:ascii="Times New Roman" w:hAnsi="Times New Roman"/>
          <w:sz w:val="20"/>
          <w:u w:val="single"/>
        </w:rPr>
        <w:t>Royalty Payment Date</w:t>
      </w:r>
      <w:r>
        <w:rPr>
          <w:rFonts w:ascii="Times New Roman" w:hAnsi="Times New Roman"/>
          <w:sz w:val="20"/>
        </w:rPr>
        <w:t xml:space="preserve">”). For the calendar quarter in which the Closing Date occurs, Covered Revenue shall include only amounts actually collected on or after the Closing Date. For the calendar quarter in which the Royalty Term expires, Covered Revenue shall include only amounts actually collected on or before the expiration of the Royalty Term. </w:t>
      </w:r>
    </w:p>
    <w:p>
      <w:pPr>
        <w:pStyle w:val="TextBody"/>
        <w:bidi w:val="0"/>
        <w:spacing w:before="240" w:after="0"/>
        <w:jc w:val="left"/>
        <w:rPr>
          <w:rFonts w:ascii="Times New Roman" w:hAnsi="Times New Roman"/>
          <w:sz w:val="20"/>
        </w:rPr>
      </w:pPr>
      <w:r>
        <w:rPr>
          <w:rFonts w:ascii="Times New Roman" w:hAnsi="Times New Roman"/>
          <w:sz w:val="20"/>
        </w:rPr>
        <w:t xml:space="preserve">(b) A late fee of 1.5% per month (or, if lower, the maximum rate permitted by Applicable Law) will accrue on all unpaid amounts with respect to any Royalty Payment from the applicable Royalty Payment Date. The imposition and payment of a late fee shall not constitute a waiver of the Payee’s rights with respect to such payment default. Payment of such accrued late fee shall accompany payment of the outstanding Royalty Payment.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each Royalty Payment Date, CNSide shall provide to the Payee a written report pursuant to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 Assumed Obligations</w:t>
      </w:r>
      <w:r>
        <w:rPr>
          <w:rFonts w:ascii="Times New Roman" w:hAnsi="Times New Roman"/>
          <w:sz w:val="20"/>
        </w:rPr>
        <w:t>. Notwithstanding any provision in this Agreement or any other writing to the contrary, the Payee is being granted the Royalty and is not assuming any liability or obligation of CNSide or any of its Affiliates of whatever nature, whether presently in existence or arising or asserted hereafter, including any liability or obligation of CNSide under the Material Contracts. All such liabilities and obligations shall be retained by, and remain liabilities and obligations of, CNSide or its Affiliates, as the case may be (the “</w:t>
      </w:r>
      <w:r>
        <w:rPr>
          <w:rFonts w:ascii="Times New Roman" w:hAnsi="Times New Roman"/>
          <w:sz w:val="20"/>
          <w:u w:val="single"/>
        </w:rPr>
        <w:t>Excluded Liabilities and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Excluded Assets</w:t>
      </w:r>
      <w:r>
        <w:rPr>
          <w:rFonts w:ascii="Times New Roman" w:hAnsi="Times New Roman"/>
          <w:sz w:val="20"/>
        </w:rPr>
        <w:t xml:space="preserve">. The Payee does not, by receipt or acceptance of the right, title or interest granted hereunder, purchase, acquire or accept any assets or contract rights of CNSide under the Material Contracts or any other assets of CNSide.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hereby unconditionally and irrevocably guarantees to the Payee and its respective successors, endorsees, transferees and assigns, the prompt and complete payment and performance when due (whether at the stated maturity, by acceleration or otherwise) of the Royalty Payments and all other obligations of CNSide to the Payee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Anything herein or in the Purchase Agreement to the contrary notwithstanding, the maximum liability of the Parent hereunder shall in no event exceed the amount which can be guaranteed by the Parent under applicable federal and state laws, including laws relating to the insolvency of debtors, fraudulent conveyance or transfer or laws affecting the rights of creditors generally. </w:t>
      </w:r>
    </w:p>
    <w:p>
      <w:pPr>
        <w:pStyle w:val="TextBody"/>
        <w:bidi w:val="0"/>
        <w:spacing w:before="240" w:after="0"/>
        <w:jc w:val="left"/>
        <w:rPr>
          <w:rFonts w:ascii="Times New Roman" w:hAnsi="Times New Roman"/>
          <w:sz w:val="20"/>
        </w:rPr>
      </w:pPr>
      <w:r>
        <w:rPr>
          <w:rFonts w:ascii="Times New Roman" w:hAnsi="Times New Roman"/>
          <w:sz w:val="20"/>
        </w:rPr>
        <w:t xml:space="preserve">(c) The Parent agrees that the Royalty Payments may at any time and from time to time exceed the amount of the liability of the Parent hereunder without impairing the guarantee contained in this Section 2.6 or affecting the rights and remedies of any Payee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guarantee contained in this Section 2.6 shall remain in full force and effect until all the Royalty Payments and the obligations of the Parent under the guarantee contained in this Section 2.6 shall have been satisfied by indefeasible payment in full. </w:t>
      </w:r>
    </w:p>
    <w:p>
      <w:pPr>
        <w:pStyle w:val="TextBody"/>
        <w:bidi w:val="0"/>
        <w:spacing w:before="240" w:after="0"/>
        <w:jc w:val="left"/>
        <w:rPr>
          <w:rFonts w:ascii="Times New Roman" w:hAnsi="Times New Roman"/>
          <w:sz w:val="20"/>
        </w:rPr>
      </w:pPr>
      <w:r>
        <w:rPr>
          <w:rFonts w:ascii="Times New Roman" w:hAnsi="Times New Roman"/>
          <w:sz w:val="20"/>
        </w:rPr>
        <w:t xml:space="preserve">(e) No payment made by CNSide, the Parent, any other guarantor or any other Person or received or collected by any Payee from CNSide, the Parent, any other guarantor or any other Person by virtue of any action or proceeding or any set-off or appropriation or application at any time or from time to time in reduction of or in payment of the Royalty Payments shall be deemed to release or otherwise affect the liability of the Parent hereunder which shall, notwithstanding any such payment (other than any payment made by the Parent in respect of the obligations of CNSide or any payment received or collected from the Parent in respect of the Royalty Payments), remain liable for the Royalty Payments up to the maximum liability of the Parent hereunder until the Royalty Payments are indefeasibly paid in full.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the guarantee contained in this Section 2.6, with respect to any defaulted non-monetary obligations of CNSide under this Agreement the specific performance of which by the Parent is not reasonably possible, the Parent shall only be liable for making the Payee whole on a monetary basis for CNSide’s failure to perform such obligations in accordance with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REPRESENTATIONS AND WARRANTIES OF THE PAYOR PARTIES </w:t>
      </w:r>
    </w:p>
    <w:p>
      <w:pPr>
        <w:pStyle w:val="TextBody"/>
        <w:bidi w:val="0"/>
        <w:spacing w:before="240" w:after="0"/>
        <w:jc w:val="left"/>
        <w:rPr>
          <w:rFonts w:ascii="Times New Roman" w:hAnsi="Times New Roman"/>
          <w:sz w:val="20"/>
        </w:rPr>
      </w:pPr>
      <w:r>
        <w:rPr>
          <w:rFonts w:ascii="Times New Roman" w:hAnsi="Times New Roman"/>
          <w:sz w:val="20"/>
        </w:rPr>
        <w:t xml:space="preserve">The Payor Parties, jointly and severally, hereby make each of the following representations and warranties to the Payee: </w:t>
      </w:r>
    </w:p>
    <w:p>
      <w:pPr>
        <w:pStyle w:val="TextBody"/>
        <w:bidi w:val="0"/>
        <w:spacing w:before="12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is a corporation duly incorporated, validly existing and in good standing under the laws of the State of Delaware and has all corporate power and authority, and all licenses, permits, registrations, franchises, authorizations, consents and approvals of all Governmental Authorities, required to own its property and conduct its business, as now conducted, and to exercise its rights and to perform its obligations. The Parent is duly qualified to transact business and is in good standing in every jurisdiction in which such qualification or good standing is required by Applicable Law (except where the failure to be so qualified or in good standing would not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CNSide is a limited liability company duly formed, validly existing and in good standing under the laws of the State of Delaware and has all corporate power and authority, and all licenses, permits, registrations, franchises, authorizations, consents and approvals of all Governmental Authorities, required to own its property and conduct its business, as now conducted, and to exercise its rights and to perform its obligations. CNSide is duly qualified to transact business and is in good standing in every jurisdiction in which such qualification or good standing is required by Applicable Law (except where the failure to be so qualified or in good standing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Other than CNSide, no subsidiary of the Parent has any ownership interest in, or assets relating to or otherwise necessary for,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No Conflicts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by the Payor Parties of this Agreement, the performance by the Payor Parties of their obligations hereunder or the consummation by the Payor Parties of the transactions contemplated hereby will not (i) contravene, conflict with or violate any term or provision of any of the organizational documents of the Payor Parties or any of their subsidiaries, (ii) contravene, conflict with or violate, or give any Governmental Authority or other Person the right to exercise any remedy or obtain any relief under, any Applicable Law or any judgment, order, writ, decree, permit or license of any Governmental Authority to which the Payor Parties or any of their subsidiaries or any of their respective assets or properties may be subject or bound, except as would not have a Material Adverse Effect, (iii) result in a breach or violation of, constitute a default (with or without notice or lapse of time, or both) under, or give any Person the right to exercise any remedy or obtain any additional rights under, or accelerate the maturity or performance of, or payment under, or cancel or terminate, (A) except as would not be reasonably expected to result in a Material Adverse Effect, to any contract, agreement, indenture, lease, license, deed, commitment, obligation or instrument to which the Payor Parties or any of their subsidiaries is a party or by which CNSide or any of its subsidiaries or any of their respective assets or properties is bound or committed (other than any Material Contract) or (B) any Material Contract, and (iv) except as provided in this Agreement result in or require the creation or imposition of any Lien on the Covered Revenue or the Royalty Payments. </w:t>
      </w:r>
    </w:p>
    <w:p>
      <w:pPr>
        <w:pStyle w:val="TextBody"/>
        <w:bidi w:val="0"/>
        <w:spacing w:before="240" w:after="0"/>
        <w:jc w:val="left"/>
        <w:rPr>
          <w:rFonts w:ascii="Times New Roman" w:hAnsi="Times New Roman"/>
          <w:sz w:val="20"/>
        </w:rPr>
      </w:pPr>
      <w:r>
        <w:rPr>
          <w:rFonts w:ascii="Times New Roman" w:hAnsi="Times New Roman"/>
          <w:sz w:val="20"/>
        </w:rPr>
        <w:t xml:space="preserve">(b) The Payor Parties have not granted, nor does there exist, any Lien on or relating to the Covered Revenue or the Royalty.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Authorization</w:t>
      </w:r>
      <w:r>
        <w:rPr>
          <w:rFonts w:ascii="Times New Roman" w:hAnsi="Times New Roman"/>
          <w:sz w:val="20"/>
        </w:rPr>
        <w:t xml:space="preserve">. Each Payor Party has all necessary corporate power and authority to execute and deliver this Agreement, to perform its obligations hereunder and thereunder and to consummate the transactions contemplated hereby and thereby. The execution and delivery of this Agreement and the performance by each Payor Party of its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and thereunder have been duly authorized by all necessary corporate action on the part of such Payor Party. This Agreement has been, and on or prior to Closing will be, duly executed and delivered by an authorized officer of each Payor Party. This Agreement constitutes the legal, valid and binding obligation of each Payor Party, enforceable against such Payor Party in accordance with its terms, subject to applicable bankruptcy, insolvency, reorganization, moratorium or similar laws affecting creditors’ rights generally, general equitable principles and principles of public policy.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Ownership</w:t>
      </w:r>
      <w:r>
        <w:rPr>
          <w:rFonts w:ascii="Times New Roman" w:hAnsi="Times New Roman"/>
          <w:sz w:val="20"/>
        </w:rPr>
        <w:t xml:space="preserve">. CNSide is the exclusive owner, or exclusive licensee, of the entire right, title (legal and equitable) and interest in, to and under the Covered Revenue. The Royalty being conveyed and granted to the Payee has not been conveyed or granted by CNSide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Governmental and Third-Party Authorizations</w:t>
      </w:r>
      <w:r>
        <w:rPr>
          <w:rFonts w:ascii="Times New Roman" w:hAnsi="Times New Roman"/>
          <w:sz w:val="20"/>
        </w:rPr>
        <w:t xml:space="preserve">. The execution and delivery by each Payor Party of this Agreement, the performance by such Payor Party of its obligations hereunder and the consummation by such Payor Party of the transactions contemplated hereby do not require any consent, approval, license, order, authorization or declaration from, notice to, action or registration by, or filing with, any Governmental Authority or any other Person, except (i) for the filing of the Closing 8-K with the SEC and (ii) the filing of UCC financing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Compliance with Laws</w:t>
      </w:r>
      <w:r>
        <w:rPr>
          <w:rFonts w:ascii="Times New Roman" w:hAnsi="Times New Roman"/>
          <w:sz w:val="20"/>
        </w:rPr>
        <w:t xml:space="preserve">. None of the Payor Parties nor any of their subsidiaries (a) has violated or is in violation of, has been given notice of any violation of, or, to the Knowledge of the Parent or CNSide, is under investigation with respect to or has been threatened to be charged with, any material violation of, any Applicable Law or any judgment, order, writ, decree, injunction, stipulation, consent order, permit, registration or license granted, issued or entered by any Governmental Authority or (b) is subject to any judgment, order, writ, decree, injunction, stipulation or consent order issued or entered by any Governmental Authority, in each case, in a manner that would be reasonably expected to materially and adversely affect the Covered Revenue.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Material Contracts is in full force and effect and is the legal, valid and binding obligation of CNSide and, to the Knowledge of CNSide, the Counterparties, enforceable against CNSide and, to the Knowledge of CNSide, the Counterparties in accordance with its terms, subject, as to enforceability, to bankruptcy, insolvency, reorganization, moratorium or similar laws now or hereafter in effect relating to or affecting creditors’ rights generally, general equitable principles and principles of public policy. CNSide is not in material breach or violation of or in default under any of the Material Contracts. There is no event or circumstance that, upon notice or the passage of time, or both, would constitute or give rise to any material breach or default in the performance of any of the Material Contracts by CNSide or, to the Knowledge of CNSide, the Counterparties. Notwithstanding anything to the contrary in this </w:t>
      </w:r>
      <w:r>
        <w:rPr>
          <w:rFonts w:ascii="Times New Roman" w:hAnsi="Times New Roman"/>
          <w:sz w:val="20"/>
          <w:u w:val="single"/>
        </w:rPr>
        <w:t>Section 3.7</w:t>
      </w:r>
      <w:r>
        <w:rPr>
          <w:rFonts w:ascii="Times New Roman" w:hAnsi="Times New Roman"/>
          <w:sz w:val="20"/>
        </w:rPr>
        <w:t>, the representations and warranties set forth in this Section 3.7 do not apply to, and CNSide makes no representation or warranty with respect to, (i) any equipment leases, facility leases, or other contracts that are under negotiation or pending execution as of the date hereof, or (ii) any equipment or other assets for which CNSide has not yet obtained perfected title as of the date hereof (collectively, the “</w:t>
      </w:r>
      <w:r>
        <w:rPr>
          <w:rFonts w:ascii="Times New Roman" w:hAnsi="Times New Roman"/>
          <w:b/>
          <w:sz w:val="20"/>
        </w:rPr>
        <w:t>Pending Arrangements</w:t>
      </w:r>
      <w:r>
        <w:rPr>
          <w:rFonts w:ascii="Times New Roman" w:hAnsi="Times New Roman"/>
          <w:sz w:val="20"/>
        </w:rPr>
        <w:t xml:space="preserve">”). CNSide shall use commercially reasonable efforts to finalize the Pending Arrangements and obtain perfected title to such equipment and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CNSide has not received any notice of an intention by a Counterparty to terminate or breach any of the Material Contracts, in whole or in part, or challenging the validity or enforceability of any of the Material Contracts, or alleging that CNSide or a Counterparty is currently in material default of its obligations under any of a Material Contract.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REPRESENTATIONS AND WARRANTIES OF THE PAYEE </w:t>
      </w:r>
    </w:p>
    <w:p>
      <w:pPr>
        <w:pStyle w:val="TextBody"/>
        <w:bidi w:val="0"/>
        <w:spacing w:before="240" w:after="0"/>
        <w:jc w:val="left"/>
        <w:rPr>
          <w:rFonts w:ascii="Times New Roman" w:hAnsi="Times New Roman"/>
          <w:sz w:val="20"/>
        </w:rPr>
      </w:pPr>
      <w:r>
        <w:rPr>
          <w:rFonts w:ascii="Times New Roman" w:hAnsi="Times New Roman"/>
          <w:sz w:val="20"/>
        </w:rPr>
        <w:t xml:space="preserve">The Payee hereby represents and warrants to the Payor Parties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w:t>
      </w:r>
      <w:r>
        <w:rPr>
          <w:rFonts w:ascii="Times New Roman" w:hAnsi="Times New Roman"/>
          <w:sz w:val="20"/>
        </w:rPr>
        <w:t xml:space="preserve">. The Payee is a corporation, limited liability company or limited partnership, as applicable, duly organized, validly existing and in good standing under the laws of its jurisdiction of incorporation or formation,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No Conflicts</w:t>
      </w:r>
      <w:r>
        <w:rPr>
          <w:rFonts w:ascii="Times New Roman" w:hAnsi="Times New Roman"/>
          <w:sz w:val="20"/>
        </w:rPr>
        <w:t xml:space="preserve">. The execution and delivery by such Payee of any of this Agreement, the performance by such Payee of its obligations hereunder or thereunder or the consummation by such Payee of the transactions contemplated hereby or thereby will not (i) contravene, conflict with or violate any term or provision of any of the organizational documents of such Payee, (ii) contravene, conflict with or violate, or give any Governmental Authority or other Person the right to exercise any remedy or obtain any relief under, in any material respect, any Applicable Law or any judgment, order, writ, decree, permit or license of any Governmental Authority to which such Payee or any of its assets or properties may be subject or bound or (iii) result in a breach or violation of, constitute a default (with or without notice or lapse of time, or both) under, or give any Person any right to exercise any remedy, or accelerate the maturity or performance of, in any material respect, any contract, agreement, indenture, lease, license, deed, commitment, obligation or instrument to which such Payee is a party or by which such Payee or any of its assets or properties is bound or committed.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Authorization</w:t>
      </w:r>
      <w:r>
        <w:rPr>
          <w:rFonts w:ascii="Times New Roman" w:hAnsi="Times New Roman"/>
          <w:sz w:val="20"/>
        </w:rPr>
        <w:t xml:space="preserve">. Such Payee has all necessary corporate power and authority to execute and deliver this Agreement, to perform its obligations hereunder and thereunder and to consummate the transactions contemplated hereby. The execution and delivery this Agreement and the performance by such Payee of its obligations hereunder have been duly authorized by such Payee. This Agreement has been duly executed and delivered by such Payee. This Agreement constitutes the legal, valid and binding obligation of such Payee, enforceable against such Payee in accordance with its respective terms, subject to applicable bankruptcy, insolvency, reorganization, moratorium or similar laws affecting creditors’ rights generally, and general equitable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The Parties covenant and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Books and Records; 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CNSide shall keep and maintain, or cause to be kept and maintained, at all times, full and accurate books and records adequate to reflect accurately (i) all financial information received and all amounts paid or received in respect of Covered Revenue, and (ii) all financial information in respect of the Royalty Payments. </w:t>
      </w:r>
    </w:p>
    <w:p>
      <w:pPr>
        <w:pStyle w:val="TextBody"/>
        <w:bidi w:val="0"/>
        <w:spacing w:before="240" w:after="0"/>
        <w:jc w:val="left"/>
        <w:rPr>
          <w:rFonts w:ascii="Times New Roman" w:hAnsi="Times New Roman"/>
          <w:sz w:val="20"/>
        </w:rPr>
      </w:pPr>
      <w:r>
        <w:rPr>
          <w:rFonts w:ascii="Times New Roman" w:hAnsi="Times New Roman"/>
          <w:sz w:val="20"/>
        </w:rPr>
        <w:t>(b) On or prior to each Royalty Payment Date, CNSide shall prepare and deliver a report to the Payee (the “</w:t>
      </w:r>
      <w:r>
        <w:rPr>
          <w:rFonts w:ascii="Times New Roman" w:hAnsi="Times New Roman"/>
          <w:sz w:val="20"/>
          <w:u w:val="single"/>
        </w:rPr>
        <w:t>Royalty Report</w:t>
      </w:r>
      <w:r>
        <w:rPr>
          <w:rFonts w:ascii="Times New Roman" w:hAnsi="Times New Roman"/>
          <w:sz w:val="20"/>
        </w:rPr>
        <w:t xml:space="preserve">”) setting forth in reasonable detail: </w:t>
      </w:r>
    </w:p>
    <w:p>
      <w:pPr>
        <w:pStyle w:val="TextBody"/>
        <w:bidi w:val="0"/>
        <w:spacing w:before="120" w:after="0"/>
        <w:jc w:val="left"/>
        <w:rPr>
          <w:rFonts w:ascii="Times New Roman" w:hAnsi="Times New Roman"/>
          <w:sz w:val="20"/>
        </w:rPr>
      </w:pPr>
      <w:r>
        <w:rPr>
          <w:rFonts w:ascii="Times New Roman" w:hAnsi="Times New Roman"/>
          <w:sz w:val="20"/>
        </w:rPr>
        <w:t xml:space="preserve">(i) the calculation of Covered Revenue for the applicable calendar quarter; </w:t>
      </w:r>
    </w:p>
    <w:p>
      <w:pPr>
        <w:pStyle w:val="TextBody"/>
        <w:bidi w:val="0"/>
        <w:spacing w:before="120" w:after="0"/>
        <w:jc w:val="left"/>
        <w:rPr>
          <w:rFonts w:ascii="Times New Roman" w:hAnsi="Times New Roman"/>
          <w:sz w:val="20"/>
        </w:rPr>
      </w:pPr>
      <w:r>
        <w:rPr>
          <w:rFonts w:ascii="Times New Roman" w:hAnsi="Times New Roman"/>
          <w:sz w:val="20"/>
        </w:rPr>
        <w:t xml:space="preserve">(ii) for the applicable calendar quarter, the calculation of the Royalty Payments payable to the Payee before application of the quarterly limitation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Unpaid Note Balance as of the last day of the applicable calendar quarter; </w:t>
      </w:r>
    </w:p>
    <w:p>
      <w:pPr>
        <w:pStyle w:val="TextBody"/>
        <w:bidi w:val="0"/>
        <w:spacing w:before="120" w:after="0"/>
        <w:jc w:val="left"/>
        <w:rPr>
          <w:rFonts w:ascii="Times New Roman" w:hAnsi="Times New Roman"/>
          <w:sz w:val="20"/>
        </w:rPr>
      </w:pPr>
      <w:r>
        <w:rPr>
          <w:rFonts w:ascii="Times New Roman" w:hAnsi="Times New Roman"/>
          <w:sz w:val="20"/>
        </w:rPr>
        <w:t xml:space="preserve">(iv) the maximum Royalty payable for such calendar quarter pursuant to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Royalty payable after application of such limitation; and </w:t>
      </w:r>
    </w:p>
    <w:p>
      <w:pPr>
        <w:pStyle w:val="TextBody"/>
        <w:bidi w:val="0"/>
        <w:spacing w:before="120" w:after="0"/>
        <w:jc w:val="left"/>
        <w:rPr>
          <w:rFonts w:ascii="Times New Roman" w:hAnsi="Times New Roman"/>
          <w:sz w:val="20"/>
        </w:rPr>
      </w:pPr>
      <w:r>
        <w:rPr>
          <w:rFonts w:ascii="Times New Roman" w:hAnsi="Times New Roman"/>
          <w:sz w:val="20"/>
        </w:rPr>
        <w:t xml:space="preserve">(vi) with respect to the Covered Revenue, any foreign currency exchange rates used to calculate the Royalty Payments (which shall be the rate of exchange determined in a manner consistent with the CNSide’s method for calculating rates of exchange in preparation of the Parent’s annual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Within five (5) Business Days after receipt by CNSide of (i) (x) notice of the commencement by any Third Party of, or (y) written notice from any Third Party threatening to commence, in either case any action, suit, arbitration proceeding, claim, demand, investigation or other proceeding relating to this Agreement, any Material Contract, any transaction contemplated hereby or thereby, or (ii) any other correspondence relating to the foregoing, CNSide shall (A) notify the Payee in writing of the receipt of such notice or correspondence and (B) provide the Payee with a written summary of all material details thereof or, to the extent not prohibited by obligations of confidentiality contained in the Material Contracts, respectively, if such notice is in writing, furnish the Payee with a copy thereof and any materials reasonably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(d) CNSide shall provide the Payee with written notice within five Business Days after obtaining Knowledge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occurrence of any Bankruptcy Event in respect of CNSide; or </w:t>
      </w:r>
    </w:p>
    <w:p>
      <w:pPr>
        <w:pStyle w:val="TextBody"/>
        <w:bidi w:val="0"/>
        <w:spacing w:before="120" w:after="0"/>
        <w:jc w:val="left"/>
        <w:rPr>
          <w:rFonts w:ascii="Times New Roman" w:hAnsi="Times New Roman"/>
          <w:sz w:val="20"/>
        </w:rPr>
      </w:pPr>
      <w:r>
        <w:rPr>
          <w:rFonts w:ascii="Times New Roman" w:hAnsi="Times New Roman"/>
          <w:sz w:val="20"/>
        </w:rPr>
        <w:t xml:space="preserve">(ii) CNSide, any Affiliate, any Counterparty or any other Third Party receiving any notice of audit or regulatory action by a Governmental Authority in the Territory impacting in any material respect any of the Covered Revenue or the timing, amount or duration of the Royalty.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CNSide shall notify the Payee in writing upon any change in, or amendment or alteration of, CNSide’s (i) legal name, (ii) form or type of organizational structure or (iii)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(f) CNSide shall notify the Payee in writing not more than thirty days after becoming aware that any Tax may be required to be withheld with respect to any payment to the Payee pursuant to the Agreement.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in this </w:t>
      </w:r>
      <w:r>
        <w:rPr>
          <w:rFonts w:ascii="Times New Roman" w:hAnsi="Times New Roman"/>
          <w:sz w:val="20"/>
          <w:u w:val="single"/>
        </w:rPr>
        <w:t>Section 5.1</w:t>
      </w:r>
      <w:r>
        <w:rPr>
          <w:rFonts w:ascii="Times New Roman" w:hAnsi="Times New Roman"/>
          <w:sz w:val="20"/>
        </w:rPr>
        <w:t xml:space="preserve">, CNSide shall not provide any information or report required by </w:t>
      </w:r>
      <w:r>
        <w:rPr>
          <w:rFonts w:ascii="Times New Roman" w:hAnsi="Times New Roman"/>
          <w:sz w:val="20"/>
          <w:u w:val="single"/>
        </w:rPr>
        <w:t>Section 5.1</w:t>
      </w:r>
      <w:r>
        <w:rPr>
          <w:rFonts w:ascii="Times New Roman" w:hAnsi="Times New Roman"/>
          <w:sz w:val="20"/>
        </w:rPr>
        <w:t xml:space="preserve"> to any Payee to the extent such report or information includes information considered to be Material Nonpublic Information at the time of delivery (including, without limitation, Material Nonpublic Information and confidential information of any of CNSide’s customers). In such event, CNSide shall (x) provide notice to the Payee of the existence of Material Nonpublic Information in a report or information to be provided and (y) instead provide a redacted report which does not contain Material Nonpublic Information and delay delivery of the unredacted report until following the filing of CNSide’s current, quarterly or annual reports with the SEC. A Payee can waive compliance with this </w:t>
      </w:r>
      <w:r>
        <w:rPr>
          <w:rFonts w:ascii="Times New Roman" w:hAnsi="Times New Roman"/>
          <w:sz w:val="20"/>
          <w:u w:val="single"/>
        </w:rPr>
        <w:t>Section 5.1(g)</w:t>
      </w:r>
      <w:r>
        <w:rPr>
          <w:rFonts w:ascii="Times New Roman" w:hAnsi="Times New Roman"/>
          <w:sz w:val="20"/>
        </w:rPr>
        <w:t xml:space="preserve"> at any time (and from time to time) upon written notice or request (email is sufficient) at any time, and in such case receive the information or reports required by </w:t>
      </w:r>
      <w:r>
        <w:rPr>
          <w:rFonts w:ascii="Times New Roman" w:hAnsi="Times New Roman"/>
          <w:sz w:val="20"/>
          <w:u w:val="single"/>
        </w:rPr>
        <w:t>Section 5.1</w:t>
      </w:r>
      <w:r>
        <w:rPr>
          <w:rFonts w:ascii="Times New Roman" w:hAnsi="Times New Roman"/>
          <w:sz w:val="20"/>
        </w:rPr>
        <w:t xml:space="preserve"> in unredacted form at the time periods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Public Announcement</w:t>
      </w:r>
      <w:r>
        <w:rPr>
          <w:rFonts w:ascii="Times New Roman" w:hAnsi="Times New Roman"/>
          <w:sz w:val="20"/>
        </w:rPr>
        <w:t xml:space="preserve">. No Party shall, and each Party shall cause its Affiliates not to, without the prior written consent of the other Parties (which consent shall not be unreasonably withheld or delayed), issue any press release or make any other public disclosure with respect to this Agreement or any of the transactions contemplated hereby, except if and to the extent that any such release or disclosure is required by Applicable Law, by the rules and regulations of any securities exchange or market on which any security of such Party may be listed or traded or by any Governmental Authority of competent jurisdiction, in which case, the Party proposing to issue such press release or make such public disclosure shall, to the extent reasonably practicable, (a) provide to the other Parties a copy of such proposed release or disclosure and (b) consider in good faith any comments or changes that the other Party may propose or suggest; </w:t>
      </w:r>
      <w:r>
        <w:rPr>
          <w:rFonts w:ascii="Times New Roman" w:hAnsi="Times New Roman"/>
          <w:sz w:val="20"/>
          <w:u w:val="single"/>
        </w:rPr>
        <w:t>provided</w:t>
      </w:r>
      <w:r>
        <w:rPr>
          <w:rFonts w:ascii="Times New Roman" w:hAnsi="Times New Roman"/>
          <w:sz w:val="20"/>
        </w:rPr>
        <w:t xml:space="preserve"> that a Party may freely make any public disclosure identical to a disclosure previously reviewed by the other Party in accordance with the foregoing clauses (a) and (b). Notwithstanding the foregoing, the Payee understands and agrees that the Parent intends to file with the SEC a Current Report on Form 8-K shortly following Closing (the “</w:t>
      </w:r>
      <w:r>
        <w:rPr>
          <w:rFonts w:ascii="Times New Roman" w:hAnsi="Times New Roman"/>
          <w:sz w:val="20"/>
          <w:u w:val="single"/>
        </w:rPr>
        <w:t>Closing 8-K</w:t>
      </w:r>
      <w:r>
        <w:rPr>
          <w:rFonts w:ascii="Times New Roman" w:hAnsi="Times New Roman"/>
          <w:sz w:val="20"/>
        </w:rPr>
        <w:t xml:space="preserve">”) describing the material terms of the transactions contemplated by this Agreement; </w:t>
      </w:r>
      <w:r>
        <w:rPr>
          <w:rFonts w:ascii="Times New Roman" w:hAnsi="Times New Roman"/>
          <w:sz w:val="20"/>
          <w:u w:val="single"/>
        </w:rPr>
        <w:t>provided</w:t>
      </w:r>
      <w:r>
        <w:rPr>
          <w:rFonts w:ascii="Times New Roman" w:hAnsi="Times New Roman"/>
          <w:sz w:val="20"/>
        </w:rPr>
        <w:t xml:space="preserve">, that CNSide shall (x) provide to the Payee a draft of the Closing 8-K and any future SEC filings that materially change the description of the transactions contained herein from that which is in the Closing 8-K, (y) consider in good faith any comments or changes that the Payee may propose or suggest and (z) except to the extent required by Applicable Law, Parent may redact from the public disclosure as Confidential Information all financial and economic terms and all exhibits and schedules attached hereto, and confidential information regarding the strategies and other plans of CNSide for the Business. CNSide and the Payee shall jointly prepare a press release for dissemination promptly following the Closing, such press release to be agreed upon by the Payee and CNSide.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each Party shall use commercially reasonable efforts to execute and deliver such other documents, certificates, instruments, agreements and other writings, take such other actions and perform such additional acts under Applicable Law as may be reasonably requested by the other Party and necessary to implement expeditiously the transactions contemplated by, and to carry out the purposes and intent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CNSide shall use its commercially reasonable efforts to comply in all material respects with all Applicable Laws with respect to this Agreement and the Covered Revenue, except where compliance therewith is being contested by CNSide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(c) CNSide shall not enter into any contract, agreement or other legally binding arrangement (whether written or oral), or grant any right to any other Person, in any case that would reasonably be expected to conflict with this Agreement or serve or operate to limit, circumscribe or alter any of the Payee’ rights under this Agreement (or the Payee’ ability to exercise any such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Inspections and Audits of CNSide</w:t>
      </w:r>
      <w:r>
        <w:rPr>
          <w:rFonts w:ascii="Times New Roman" w:hAnsi="Times New Roman"/>
          <w:sz w:val="20"/>
        </w:rPr>
        <w:t xml:space="preserve">. Following the date hereof, upon at least five Business Days’ written notice and during normal business hours, no more frequently than once per calendar year, the Payee may cause an inspection and/or audit by an independent public accounting firm to be made of CNSide’s books of account for the three calendar years prior to the audit for the purpose of determining the correctness of the calculation of the Royalty Payments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calendar year may be subject to more than one audit unless Specified Breach Event has occurred and is continuing. All of the out-of-pocket expenses of any inspection or audit requested by the Payee hereunder (including the fees and expenses of such independent public accounting firm designated for such purpose) otherwise payable by CNSide shall be borne solely by the Payee, unless the independent public accounting firm determines that Royalty Payments previously paid to the Payee during the period of the audit were underpaid by an amount greater than ten percent of the Royalty Payments actually paid during such period, in which case such expenses shall be borne by CNSide. Any such accounting firm or company shall not disclose the confidential information of CNSide to the Payee, except to the extent such disclosure is necessary to determine the correctness of Royalty Payments or otherwise would be included in a Royalty Report. All information obtained by the Payee as a result of any such inspection or audit shall be Confidential Information subject to ARTICLE VIII. If any audit discloses any underpayments by CNSide to the Payee, then such underpayment, together with the late fees contemplated by </w:t>
      </w:r>
      <w:r>
        <w:rPr>
          <w:rFonts w:ascii="Times New Roman" w:hAnsi="Times New Roman"/>
          <w:sz w:val="20"/>
          <w:u w:val="single"/>
        </w:rPr>
        <w:t>Section 2.3(b)</w:t>
      </w:r>
      <w:r>
        <w:rPr>
          <w:rFonts w:ascii="Times New Roman" w:hAnsi="Times New Roman"/>
          <w:sz w:val="20"/>
        </w:rPr>
        <w:t xml:space="preserve">, shall be paid by CNSide to the Payee (in the same manner as provided in </w:t>
      </w:r>
      <w:r>
        <w:rPr>
          <w:rFonts w:ascii="Times New Roman" w:hAnsi="Times New Roman"/>
          <w:sz w:val="20"/>
          <w:u w:val="single"/>
        </w:rPr>
        <w:t>Section 2.3(a)</w:t>
      </w:r>
      <w:r>
        <w:rPr>
          <w:rFonts w:ascii="Times New Roman" w:hAnsi="Times New Roman"/>
          <w:sz w:val="20"/>
        </w:rPr>
        <w:t xml:space="preserve">) within 30 calendar days of such underpayment being so disclosed. If any audit discloses any overpayments by CNSide to the Payee, then CNSide shall have the right to credit the amount of the overpayment against each subsequent quarterly Royalty Payment due to the Payee until the overpayment has been fully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payments to the Payee under this Agreement shall be made without any deduction or withholding for or on account of any Tax unless required by Applicable Law; </w:t>
      </w:r>
      <w:r>
        <w:rPr>
          <w:rFonts w:ascii="Times New Roman" w:hAnsi="Times New Roman"/>
          <w:sz w:val="20"/>
          <w:u w:val="single"/>
        </w:rPr>
        <w:t>provided</w:t>
      </w:r>
      <w:r>
        <w:rPr>
          <w:rFonts w:ascii="Times New Roman" w:hAnsi="Times New Roman"/>
          <w:sz w:val="20"/>
        </w:rPr>
        <w:t xml:space="preserve"> that if any deduction or withholding for or on account of the Payee Indemnified Tax is required by Applicable Law to be made, and is made, by any applicable withholding agent in respect of any payment to a Payee under this Agreement or to CNSide (or its Affiliates) that are attributable to the Covered Revenue, then CNSide shall, within five Business Days after such deduction or withholding is made, make a payment to such Payee so that, after all such required deductions and withholdings are made by any applicable withholding agent (including any deductions and withholdings required with respect to any additional payments under this </w:t>
      </w:r>
      <w:r>
        <w:rPr>
          <w:rFonts w:ascii="Times New Roman" w:hAnsi="Times New Roman"/>
          <w:sz w:val="20"/>
          <w:u w:val="single"/>
        </w:rPr>
        <w:t>Section 5.5(a)</w:t>
      </w:r>
      <w:r>
        <w:rPr>
          <w:rFonts w:ascii="Times New Roman" w:hAnsi="Times New Roman"/>
          <w:sz w:val="20"/>
        </w:rPr>
        <w:t xml:space="preserve">), such Payee receives an amount equal to the amount that they would have received had no withholding of the Payee Indemnified Taxes been made.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Existence</w:t>
      </w:r>
      <w:r>
        <w:rPr>
          <w:rFonts w:ascii="Times New Roman" w:hAnsi="Times New Roman"/>
          <w:sz w:val="20"/>
        </w:rPr>
        <w:t>. CNSide shall (a) preserve and maintain its existence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5.6</w:t>
      </w:r>
      <w:r>
        <w:rPr>
          <w:rFonts w:ascii="Times New Roman" w:hAnsi="Times New Roman"/>
          <w:sz w:val="20"/>
        </w:rPr>
        <w:t xml:space="preserve"> shall prohibit CNSide from entering into any merger or consolidation), (b) preserve and maintain its rights, franchises and privileges unless failure to do any of the foregoing would not reasonably be expected to have a Material Adverse Effect, (c) qualify and remain qualified in good standing in each jurisdiction where the failure to preserve and maintain such qualifications would reasonably be expected to have a Material Adverse Effect, including appointing and employing such agents or attorneys in each jurisdiction where it shall be necessary to take action under this Agreement, and (d) comply with its organizational documents, except, in the case of this clause (d), for any non-compliance that would not reasonably be expected to have a Material Adverse Effect. The Payee acknowledges and agrees (to the maximum extent permitted under Applicable Law), that the Payee shall not, and shall not cause any other Person to, petition for the bankruptcy of CNSide.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Additional Sales;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CNSide shall not create, incur, sell, issue, assume, enforce or suffer to exist any additional revenue interests (or similar economic equivalents) with respect to the Covered Revenue unless such additional revenue interests (or such economic equivalents) are subordinated to the Royalty as to payment and may create Liens securing Indebtedness, provided that such Liens and Indebtedness expressly permit the payment of all amounts due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 Payor Party shall transfer, assign or otherwise convey the Business or any material revenue-generating assets of the Business to any Affiliate unless such Affiliate executes a joinder to this Agreement and becomes a Payor Party hereunder. </w:t>
      </w:r>
    </w:p>
    <w:p>
      <w:pPr>
        <w:pStyle w:val="TextBody"/>
        <w:bidi w:val="0"/>
        <w:spacing w:before="240" w:after="0"/>
        <w:jc w:val="left"/>
        <w:rPr>
          <w:rFonts w:ascii="Times New Roman" w:hAnsi="Times New Roman"/>
          <w:sz w:val="20"/>
        </w:rPr>
      </w:pPr>
      <w:r>
        <w:rPr>
          <w:rFonts w:ascii="Times New Roman" w:hAnsi="Times New Roman"/>
          <w:sz w:val="20"/>
        </w:rPr>
        <w:t xml:space="preserve">(c) Any sale or other transaction between CNSide (or any Payor Party) and an Affiliate shall be deemed to have been made at arm’s length for purposes of calculating Covered Revenue, and the Royalty with respect to any goods or services provided through an Affiliate shall be computed based on the Affiliate’s third-party resale price (or, if there is no third-party resale, the fair market value of such goods or services as if sold to a Third Party at arm’s length).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Change of Control; Covered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Agreement, in no event shall CNSide be a party to a Change of Control where CNSide is not the surviving Person, unless the surviving Person to such Change of Control expressly assumes all the obligations of CNSide under this Agreement, in which case such surviving Person shall succeed to, and be substituted for, CNSide under this Agreement and CNSide shall automatically be released and discharged from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in no event shall CNSide be a party to a Covered Transaction, unless the acquirer or similar counterparty in such Covered Transaction expressly agrees in writing to be bound by the applicable provisions of this Agreement to the extent applicable to the rights and obligations conveyed under such Covered Transaction. In the event of Covered Transaction resulting in the full assignment of all rights and obligations of CNSide under this Agreement, the acquirer or similar counterparty shall succeed to, and be substituted for, CNSide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Material Contracts</w:t>
      </w:r>
      <w:r>
        <w:rPr>
          <w:rFonts w:ascii="Times New Roman" w:hAnsi="Times New Roman"/>
          <w:sz w:val="20"/>
        </w:rPr>
        <w:t xml:space="preserve">. CNSide shall comply in all material respects with its obligations under the Material Contracts and shall not take any action or forego any action that would reasonably be expected to result in a material breach thereof. CNSide shall use its commercially reasonable efforts to cure any material breaches by it under any Material Contract.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Closing</w:t>
      </w:r>
      <w:r>
        <w:rPr>
          <w:rFonts w:ascii="Times New Roman" w:hAnsi="Times New Roman"/>
          <w:sz w:val="20"/>
        </w:rPr>
        <w:t>. The closing of the transactions contemplated hereby (the “</w:t>
      </w:r>
      <w:r>
        <w:rPr>
          <w:rFonts w:ascii="Times New Roman" w:hAnsi="Times New Roman"/>
          <w:sz w:val="20"/>
          <w:u w:val="single"/>
        </w:rPr>
        <w:t>Closing</w:t>
      </w:r>
      <w:r>
        <w:rPr>
          <w:rFonts w:ascii="Times New Roman" w:hAnsi="Times New Roman"/>
          <w:sz w:val="20"/>
        </w:rPr>
        <w:t>”) shall take place at 9:00 a.m., Eastern Standard Time on the date hereof (the “</w:t>
      </w:r>
      <w:r>
        <w:rPr>
          <w:rFonts w:ascii="Times New Roman" w:hAnsi="Times New Roman"/>
          <w:sz w:val="20"/>
          <w:u w:val="single"/>
        </w:rPr>
        <w:t>Closing Date</w:t>
      </w:r>
      <w:r>
        <w:rPr>
          <w:rFonts w:ascii="Times New Roman" w:hAnsi="Times New Roman"/>
          <w:sz w:val="20"/>
        </w:rPr>
        <w:t xml:space="preserve">”) by electronic exchange of signatures, or on such other date, at such other time or at such other place, in each case as the Parties mutually agree.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Closing Deliverables of the Payor Parties</w:t>
      </w:r>
      <w:r>
        <w:rPr>
          <w:rFonts w:ascii="Times New Roman" w:hAnsi="Times New Roman"/>
          <w:sz w:val="20"/>
        </w:rPr>
        <w:t xml:space="preserve">. At the Closing, each of the Payor Parities shall deliver or cause to be delivered to the Payee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duly executed certificate of an executive officer of such Payor Party dated as of the Closing Date and (i) attaching copies, certified by such officer as true and complete, of (x) the organizational documents of such Payor Party and (y) resolutions of the governing body of such Payor Party authorizing and approving the execution, delivery and performance by such Payor Party of this Agreement and the transactions contemplated hereby and thereby, (ii) setting forth the incumbency of the officer or officers of such Payor Party who have executed and delivered this Agreement, including therein a signature specimen of each such officer or officers and (iii) attaching a copy, certified by such officer as true and complete, of a good standing certificate of the appropriate Governmental Authority of such Payor Party’s jurisdictions of organization, stating that such Payor Party is in good standing under the laws of such jurisdictions; and </w:t>
      </w:r>
    </w:p>
    <w:p>
      <w:pPr>
        <w:pStyle w:val="TextBody"/>
        <w:bidi w:val="0"/>
        <w:spacing w:before="240" w:after="0"/>
        <w:jc w:val="left"/>
        <w:rPr>
          <w:rFonts w:ascii="Times New Roman" w:hAnsi="Times New Roman"/>
          <w:sz w:val="20"/>
        </w:rPr>
      </w:pPr>
      <w:r>
        <w:rPr>
          <w:rFonts w:ascii="Times New Roman" w:hAnsi="Times New Roman"/>
          <w:sz w:val="20"/>
        </w:rPr>
        <w:t xml:space="preserve">(b) duly executed IRS Form W-9s from such Payor Party certifying that such Payor Party is a United States person as defined in Section 7701(a)(30) of the Code and exempt from U.S. federal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Closing Deliverables of the Payee</w:t>
      </w:r>
      <w:r>
        <w:rPr>
          <w:rFonts w:ascii="Times New Roman" w:hAnsi="Times New Roman"/>
          <w:sz w:val="20"/>
        </w:rPr>
        <w:t xml:space="preserve">. At the Closing, the Payee shall deliver or cause to be delivered to the Payor Parties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duly executed IRS Form W-9 from the Payee certifying they are a United States person as defined in Section 7701(a)(30) of the Code and exempt from U.S. federal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 Account information of the Payee’s Payee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6.4. Lockbox Account; Collection Account; Account Control Agreement. </w:t>
      </w:r>
    </w:p>
    <w:p>
      <w:pPr>
        <w:pStyle w:val="TextBody"/>
        <w:bidi w:val="0"/>
        <w:spacing w:before="240" w:after="0"/>
        <w:jc w:val="left"/>
        <w:rPr>
          <w:rFonts w:ascii="Times New Roman" w:hAnsi="Times New Roman"/>
          <w:sz w:val="20"/>
        </w:rPr>
      </w:pPr>
      <w:r>
        <w:rPr>
          <w:rFonts w:ascii="Times New Roman" w:hAnsi="Times New Roman"/>
          <w:sz w:val="20"/>
        </w:rPr>
        <w:t xml:space="preserve">(a) Upon written notice by the Payee, CNSide will establish the Lockbox Account within 30 days of the receipt of such notice for the purpose of depositing all payments to be made by any account debtors with respect to any payments relating to Covered Revenue. Upon the establishment of the Lockbox Account, CNSide will instruct all such account debtors to remit any amounts owed to CNSide in respect of Covered Revenue to the Lockbox Account. To the extent any payments related to Covered Revenue are paid directly to CNSide or the Parent, all such payments shall be remitted to the Lockbox Account no less than quarterly. </w:t>
      </w:r>
    </w:p>
    <w:p>
      <w:pPr>
        <w:pStyle w:val="TextBody"/>
        <w:bidi w:val="0"/>
        <w:spacing w:before="240" w:after="0"/>
        <w:jc w:val="left"/>
        <w:rPr>
          <w:rFonts w:ascii="Times New Roman" w:hAnsi="Times New Roman"/>
          <w:sz w:val="20"/>
        </w:rPr>
      </w:pPr>
      <w:r>
        <w:rPr>
          <w:rFonts w:ascii="Times New Roman" w:hAnsi="Times New Roman"/>
          <w:sz w:val="20"/>
        </w:rPr>
        <w:t xml:space="preserve">(b) Upon written notice by the Payee, CNSide will establish the Collection Account within 30 days of the receipt of such notice and cause all funds on deposit in the Lockbox Account to be swept daily to the Collection Account. With respect to any amounts that are deposited in the Collection Account, so long as all payment obligations of CNSide to the Payee under this Agreement have been made, (i) a minimum of 35% of such amounts shall remain in the Collection Account until the Royalty Payment Date immediately following the date of such deposits and may not be transferred to any other account and (ii) any remaining amounts may be disbursed to another account of a Payor Party from time to time at the direction of CNSide. On each Royalty Payment Date, CNSide shall instruct the Account Bank to disburse to the Payee an amount equal to the lesser of (x) the funds on deposit in the Collection Account and (y) the aggregate amount of all Royalty Payments for such Royalty Payment Date. If the amount to be disbursed to the Payee on any Royalty Payment Date pursuant to the preceding sentence is less than the aggregate amount of all Royalty Payments to which the Payee is entitled, CNSide shall pay the amount of such shortfall to the Payee on such Royalty Payment Date.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any failure by CNSide or the Parent to pay amounts owed to the Payee when and as required to be paid pursuant to this Agreement, which failure to pay continues for more than five (5) Business Days after receipt of written notice from the Payee, the Payee shall have the right to exercise all of the Payee’s rights and remedies under Article VII and the Account Control Agreement. </w:t>
      </w:r>
    </w:p>
    <w:p>
      <w:pPr>
        <w:pStyle w:val="TextBody"/>
        <w:bidi w:val="0"/>
        <w:spacing w:before="240" w:after="0"/>
        <w:jc w:val="left"/>
        <w:rPr>
          <w:rFonts w:ascii="Times New Roman" w:hAnsi="Times New Roman"/>
          <w:sz w:val="20"/>
        </w:rPr>
      </w:pPr>
      <w:r>
        <w:rPr>
          <w:rFonts w:ascii="Times New Roman" w:hAnsi="Times New Roman"/>
          <w:sz w:val="20"/>
        </w:rPr>
        <w:t xml:space="preserve">(d) CNSide shall pay all fees, expenses and charges of the Account Bank pursuant to the terms of the Account Control Agreement by depositing sufficient funds into the Lockbox Account when such fees, charges and expenses are due. Each Payor Party agrees that all Royalty Payments deposited into the Lockbox Account are to be held in trust for the benefit of the Payee, and that each Payor Party disclaims and waives any claim or interest in such Royalty Payments, so that the Payee may be assured of receiving the Royalty Payments owed to the Payee.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Payor Party shall have any right to terminate the Lockbox Account or the Collection Account without the Payee’s prior written consent.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Indemnification by the Payor Parties</w:t>
      </w:r>
      <w:r>
        <w:rPr>
          <w:rFonts w:ascii="Times New Roman" w:hAnsi="Times New Roman"/>
          <w:sz w:val="20"/>
        </w:rPr>
        <w:t>. The Payor Parties, jointly and severally, agree to indemnify, defend and hold harmless the Payee and their respective Affiliates and any or all of their respective partners, directors, trustees, officers, managers, employees, members, agents and controlling persons (each, a “</w:t>
      </w:r>
      <w:r>
        <w:rPr>
          <w:rFonts w:ascii="Times New Roman" w:hAnsi="Times New Roman"/>
          <w:sz w:val="20"/>
          <w:u w:val="single"/>
        </w:rPr>
        <w:t>Payee Indemnified Party</w:t>
      </w:r>
      <w:r>
        <w:rPr>
          <w:rFonts w:ascii="Times New Roman" w:hAnsi="Times New Roman"/>
          <w:sz w:val="20"/>
        </w:rPr>
        <w:t xml:space="preserve">”) harmless from and against, and will pay to the Payee Indemnified Party the amount of, any and all Losses awarded against or incurred or suffered by such Payee Indemnified Party, whether or not involving a Third Party Claim, arising out of or resulting from (a) any material breach of any representation or warranty made by CNSide in this Agreement or in any certificate delivered by CNSide to the Payee in writing pursuant to this Agreement, (b) any material breach of or default under any covenant or agreement of CNSide in this Agreement, (c) any Excluded Liabilities and Obligations, (d) any Third Party Claims relating to the conduct of the Business (excluding any such claims arising out of or resulting from (i) the negligence or willful misconduct of any Payee Indemnified Party, (ii) any breach by the Payee of this Agreement, or (iii) any actions taken by CNSide at the written direction or request of any Payee), or (e) any brokerage or finder’s fees or commissions or similar amounts incurred or owed by CNSide or any of its Affiliates to any brokers, financial advisors or comparable other Persons retained or employed by any of them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Indemnification by the Payee</w:t>
      </w:r>
      <w:r>
        <w:rPr>
          <w:rFonts w:ascii="Times New Roman" w:hAnsi="Times New Roman"/>
          <w:sz w:val="20"/>
        </w:rPr>
        <w:t>. The Payee agree to indemnify and hold CNSide and its Affiliates and any or all of their respective partners, directors, officers, managers, members, employees, agents and controlling Persons (each, a “</w:t>
      </w:r>
      <w:r>
        <w:rPr>
          <w:rFonts w:ascii="Times New Roman" w:hAnsi="Times New Roman"/>
          <w:sz w:val="20"/>
          <w:u w:val="single"/>
        </w:rPr>
        <w:t>CNSide Indemnified Party</w:t>
      </w:r>
      <w:r>
        <w:rPr>
          <w:rFonts w:ascii="Times New Roman" w:hAnsi="Times New Roman"/>
          <w:sz w:val="20"/>
        </w:rPr>
        <w:t xml:space="preserve">”) harmless from and against, and will pay to the CNSide Indemnified Party the amount of, any and all Losses awarded against or incurred or suffered by such CNSide Indemnified Party, whether or not involving a Third Party Claim, arising out of (a) any breach of any representation or warranty made by the Payee in this Agreement or any certificate delivered by the Payee to CNSide in writing pursuant to this Agreement, (b) any breach of or default under any covenant or agreement of the Payee in this Agreement or (c) any brokerage or finder’s fees or commissions or similar amounts incurred or owed by the Payee to any brokers, financial advisors or comparable other Persons retained or employed by it in connection with the transactions contemplated by this Agreement. Any amounts due to any CNSide Indemnified Party hereunder shall be payable by the Payee to such CNSide Indemnified Party upon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Claims</w:t>
      </w:r>
      <w:r>
        <w:rPr>
          <w:rFonts w:ascii="Times New Roman" w:hAnsi="Times New Roman"/>
          <w:sz w:val="20"/>
        </w:rPr>
        <w:t xml:space="preserve">. A claim by an indemnified party under this ARTICLE VII for any matter in respect of which such indemnified party would be entitled to indemnification hereunder may be made by delivering, in good faith, a written notice of demand to the indemnifying party, which notice shall contain (a) a description and the amount of any Losses incurred or suffered or reasonably expected to be incurred or suffered by the indemnified party, (b) a statement that the indemnified party is entitled to indemnification under this ARTICLE VII for such Losses and a reasonable explanation of the basis therefor, and (c) a demand for payment in the amount of such Losses. For all purposes of this </w:t>
      </w:r>
      <w:r>
        <w:rPr>
          <w:rFonts w:ascii="Times New Roman" w:hAnsi="Times New Roman"/>
          <w:sz w:val="20"/>
          <w:u w:val="single"/>
        </w:rPr>
        <w:t>Section 7.3</w:t>
      </w:r>
      <w:r>
        <w:rPr>
          <w:rFonts w:ascii="Times New Roman" w:hAnsi="Times New Roman"/>
          <w:sz w:val="20"/>
        </w:rPr>
        <w:t xml:space="preserve">, CNSide shall be entitled to deliver such notices of demand to the Payee on behalf of CNSide Indemnified Parties, and the Payee shall be entitled to deliver such notices of demand to CNSide on behalf of the Payee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Survival</w:t>
      </w:r>
      <w:r>
        <w:rPr>
          <w:rFonts w:ascii="Times New Roman" w:hAnsi="Times New Roman"/>
          <w:sz w:val="20"/>
        </w:rPr>
        <w:t xml:space="preserve">. All representations and warranties made in this Agreement or in any certificate delivered pursuant to this Agreement shall survive the execution and delivery of this Agreement and the Closing for a period of one (1) year. All covenants made in this Agreement shall survive the execution and delivery of this Agreement until the expiration of the Royalty Term.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Remedies</w:t>
      </w:r>
      <w:r>
        <w:rPr>
          <w:rFonts w:ascii="Times New Roman" w:hAnsi="Times New Roman"/>
          <w:sz w:val="20"/>
        </w:rPr>
        <w:t xml:space="preserve">. Except in the case of actual fraud, intentional misrepresentation, intentional wrongful acts, intentional breach, bad faith or willful misconduct and except as set forth in </w:t>
      </w:r>
      <w:r>
        <w:rPr>
          <w:rFonts w:ascii="Times New Roman" w:hAnsi="Times New Roman"/>
          <w:sz w:val="20"/>
          <w:u w:val="single"/>
        </w:rPr>
        <w:t>Section 10.1</w:t>
      </w:r>
      <w:r>
        <w:rPr>
          <w:rFonts w:ascii="Times New Roman" w:hAnsi="Times New Roman"/>
          <w:sz w:val="20"/>
        </w:rPr>
        <w:t xml:space="preserve">, (a) the indemnification afforded by this </w:t>
      </w:r>
      <w:r>
        <w:rPr>
          <w:rFonts w:ascii="Times New Roman" w:hAnsi="Times New Roman"/>
          <w:sz w:val="20"/>
          <w:u w:val="single"/>
        </w:rPr>
        <w:t>ARTICLE VII</w:t>
      </w:r>
      <w:r>
        <w:rPr>
          <w:rFonts w:ascii="Times New Roman" w:hAnsi="Times New Roman"/>
          <w:sz w:val="20"/>
        </w:rPr>
        <w:t xml:space="preserve"> shall be the sole and exclusive remedy for any and all Losses awarded against or incurred or suffered by a Party in connection with any breach of any representation or warranty made by a Party in this Agreement or any certificate delivered by a Party to the other Party in writing pursuant to this Agreement or any breach of or default under any covenant or agreement by a Party pursuant to this Agreement and (b) the Payee acknowledge and agree that the Payee, together with their Affiliates and representatives, has made its own investigation of the Covered Revenue and the transactions contemplated by this Agreement and is not relying on, and shall have no remedies in respect of, any implied warranties or upon any representation or warranty whatsoever as to the future amount or potential amount of the Covered Revenue.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Limitations</w:t>
      </w:r>
      <w:r>
        <w:rPr>
          <w:rFonts w:ascii="Times New Roman" w:hAnsi="Times New Roman"/>
          <w:sz w:val="20"/>
        </w:rPr>
        <w:t xml:space="preserve">. Neither any CNSide Indemnified Party nor any Payee Indemnified Party shall have any liability for, or Losses be deemed to include, any special, punitive or exemplary damages, whether in contract or tort, regardless of whether the other Party shall be advised, shall have reason to know, or in fact shall know of the possibility of such damages suffered or incurred by any such CNSide Indemnified Party or any such Payee Indemnified Party in connection with this Agreement or any of the transactions contemplated hereby . Notwithstanding the foregoing, the limitations set forth in this </w:t>
      </w:r>
      <w:r>
        <w:rPr>
          <w:rFonts w:ascii="Times New Roman" w:hAnsi="Times New Roman"/>
          <w:sz w:val="20"/>
          <w:u w:val="single"/>
        </w:rPr>
        <w:t>Section 7.6</w:t>
      </w:r>
      <w:r>
        <w:rPr>
          <w:rFonts w:ascii="Times New Roman" w:hAnsi="Times New Roman"/>
          <w:sz w:val="20"/>
        </w:rPr>
        <w:t xml:space="preserve"> shall not apply to any claim for indemnification hereunder in the case of actual fraud, intentional misrepresentation, intentional wrongful acts, intentional breach, bad faith or willful misconduct.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Confidentiality</w:t>
      </w:r>
      <w:r>
        <w:rPr>
          <w:rFonts w:ascii="Times New Roman" w:hAnsi="Times New Roman"/>
          <w:sz w:val="20"/>
        </w:rPr>
        <w:t xml:space="preserve">. Except as provided in this </w:t>
      </w:r>
      <w:r>
        <w:rPr>
          <w:rFonts w:ascii="Times New Roman" w:hAnsi="Times New Roman"/>
          <w:sz w:val="20"/>
          <w:u w:val="single"/>
        </w:rPr>
        <w:t>ARTICLE VIII</w:t>
      </w:r>
      <w:r>
        <w:rPr>
          <w:rFonts w:ascii="Times New Roman" w:hAnsi="Times New Roman"/>
          <w:sz w:val="20"/>
        </w:rPr>
        <w:t xml:space="preserve"> or otherwise agreed in writing by the Parties, the Parties agree that, during the term of this Agreement and until the tenth anniversary of the date of termination of this Agreement, each Party (the “</w:t>
      </w:r>
      <w:r>
        <w:rPr>
          <w:rFonts w:ascii="Times New Roman" w:hAnsi="Times New Roman"/>
          <w:sz w:val="20"/>
          <w:u w:val="single"/>
        </w:rPr>
        <w:t>Receiving Party</w:t>
      </w:r>
      <w:r>
        <w:rPr>
          <w:rFonts w:ascii="Times New Roman" w:hAnsi="Times New Roman"/>
          <w:sz w:val="20"/>
        </w:rPr>
        <w:t>”) shall keep confidential, and shall not publish or otherwise disclose and shall not use for any purpose other than as provided for in this Agreement (which includes the exercise of any rights or the performance of any obligations hereunder), any information (whether written or oral, or in electronic or other form) furnished to it by or on behalf of the other Party (the “</w:t>
      </w:r>
      <w:r>
        <w:rPr>
          <w:rFonts w:ascii="Times New Roman" w:hAnsi="Times New Roman"/>
          <w:sz w:val="20"/>
          <w:u w:val="single"/>
        </w:rPr>
        <w:t>Disclosing Party</w:t>
      </w:r>
      <w:r>
        <w:rPr>
          <w:rFonts w:ascii="Times New Roman" w:hAnsi="Times New Roman"/>
          <w:sz w:val="20"/>
        </w:rPr>
        <w:t>”) pursuant to this Agreement, including the terms of this Agreement (such information, “</w:t>
      </w:r>
      <w:r>
        <w:rPr>
          <w:rFonts w:ascii="Times New Roman" w:hAnsi="Times New Roman"/>
          <w:sz w:val="20"/>
          <w:u w:val="single"/>
        </w:rPr>
        <w:t>Confidential Information</w:t>
      </w:r>
      <w:r>
        <w:rPr>
          <w:rFonts w:ascii="Times New Roman" w:hAnsi="Times New Roman"/>
          <w:sz w:val="20"/>
        </w:rPr>
        <w:t xml:space="preserve">” of the Disclosing Party), except for that portion of such information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was already in the Receiving Party’s possession on a non-confidential basis prior to its disclosure to it by the Disclosing Party, or becomes known to the Receiving Party from a source other than the Disclosing Party and its representatives without any breach of this Agreement, in each case as evidenced by written records (</w:t>
      </w:r>
      <w:r>
        <w:rPr>
          <w:rFonts w:ascii="Times New Roman" w:hAnsi="Times New Roman"/>
          <w:sz w:val="20"/>
          <w:u w:val="single"/>
        </w:rPr>
        <w:t>provided</w:t>
      </w:r>
      <w:r>
        <w:rPr>
          <w:rFonts w:ascii="Times New Roman" w:hAnsi="Times New Roman"/>
          <w:sz w:val="20"/>
        </w:rPr>
        <w:t xml:space="preserve"> that if such information was disclosed to the Receiving Party on a non-confidential basis by a source that is not the Disclosing Party, such source to the knowledge of the Receiving Party had the right to disclose such information to the Receiving Party without any legal, contractual or fiduciary obligation to, any person with respect to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(b) is or becomes generally available to the public other than as a result of an act or omission by the Receiving Party or its Affiliates in breach of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(c) was independently developed by the Receiving Party, as evidenced by written records, without use of or reference to the Confidential Information or in violation of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Permitted Disclosure</w:t>
      </w:r>
      <w:r>
        <w:rPr>
          <w:rFonts w:ascii="Times New Roman" w:hAnsi="Times New Roman"/>
          <w:sz w:val="20"/>
        </w:rPr>
        <w:t xml:space="preserve">. In the event that the Receiving Party or its Affiliates or any of its or its Affiliates’ representatives are requested by a governmental or regulatory authority or required by Applicable Law, regulation or legal process (including the regulations of a stock exchange or governmental or regulatory authority or the order or ruling of a court, administrative agency or other government or regulatory body of competent jurisdiction) to disclose any Confidential Information, the Receiving Party shall promptly, to the extent permitted by Applicable Law, notify the Disclosing Party in writing of such request or requirement so that the Disclosing Party may seek an appropriate protective order or other appropriate remedy (and if the Disclosing Party seeks such an order or other remedy, the Receiving Party will provide such cooperation, at the Receiving Party’s sole expense, as the Disclosing Party shall reasonably request). If no such protective order or other remedy is obtained and the Receiving Party or its Affiliates or its or its Affiliates’ representatives are, in the view of their respective counsel (which may include their respective internal counsel), legally required to disclose Confidential Information, the Receiving Party or its Affiliates or its or its Affiliates’ representatives, as the case may be, shall only disclose that portion of the Confidential Information that their respective counsel advises that the Receiving Party or its Affiliates or its or its Affiliates’ representatives, as the case may be, are required to disclose and will exercise commercially reasonable efforts, at the Disclosing Party’s sole expense, to obtain reliable assurance that confidential treatment will be accorded to that portion of the Confidential Information that is being disclosed. In any event, the Receiving Party will not oppose action by the Disclosing Party to obtain an appropriate protective order or other reliable assurance that confidential treatment will be accorded the Confidential Information. Notwithstanding the foregoing, notice to the Disclosing Party shall not be required where disclosure is made (i) in response to a request by a governmental or regulatory authority having competent jurisdiction over the Receiving Party, its Affiliates or its or its Affiliates’ representatives, as the case may be, or (ii) in connection with a routine examination by a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examiner, where in each case such request or examination does not expressly reference the Disclosing Party, its Affiliates, the Covered Revenue or this Agreement. The Receiving Party may disclose Confidential Information to its Affiliates, its and their employees, directors, officers, contractors, agents, and representatives, and to potential or actual acquirers, merger partners, permitted assignees, investment bankers, investors, limited partners, partners, lenders, or other financing sources (including, in the case of CNSide, any party evaluating the acquisition of any portion of the Covered Revenue that are not included in the Covered Revenue), and their respective directors, employees, contractors and agents; provided that such person or entity agrees to confidentiality and non-use obligations with respect thereto at least as stringent as those specified for in this </w:t>
      </w:r>
      <w:r>
        <w:rPr>
          <w:rFonts w:ascii="Times New Roman" w:hAnsi="Times New Roman"/>
          <w:sz w:val="20"/>
          <w:u w:val="single"/>
        </w:rPr>
        <w:t>Article VIII</w:t>
      </w:r>
      <w:r>
        <w:rPr>
          <w:rFonts w:ascii="Times New Roman" w:hAnsi="Times New Roman"/>
          <w:sz w:val="20"/>
        </w:rPr>
        <w:t xml:space="preserve">. Further, notwithstanding anything contained in this </w:t>
      </w:r>
      <w:r>
        <w:rPr>
          <w:rFonts w:ascii="Times New Roman" w:hAnsi="Times New Roman"/>
          <w:sz w:val="20"/>
          <w:u w:val="single"/>
        </w:rPr>
        <w:t>Article VIII</w:t>
      </w:r>
      <w:r>
        <w:rPr>
          <w:rFonts w:ascii="Times New Roman" w:hAnsi="Times New Roman"/>
          <w:sz w:val="20"/>
        </w:rPr>
        <w:t xml:space="preserve"> to the contrary, CNSide or Parent may disclose Confidential Information to the extent such disclosure is reasonably necessary to comply with the Securities Act of 1933, as amended, the Securities Exchange Act of 1934, as amended, or with any rule, regulation or legal process promulgated by the SEC or a stock exchange, subject to CNSide’s obligations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obligation of CNSide to pay the Royalty shall automatically terminate, without further action by any Party, upon expiration of the Royalty Term.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may be terminated by mutual written consent of the Payee, on the one hand, and the Payor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Termination</w:t>
      </w:r>
      <w:r>
        <w:rPr>
          <w:rFonts w:ascii="Times New Roman" w:hAnsi="Times New Roman"/>
          <w:sz w:val="20"/>
        </w:rPr>
        <w:t xml:space="preserve">. Upon the termination of this Agreement pursuant to </w:t>
      </w:r>
      <w:r>
        <w:rPr>
          <w:rFonts w:ascii="Times New Roman" w:hAnsi="Times New Roman"/>
          <w:sz w:val="20"/>
          <w:u w:val="single"/>
        </w:rPr>
        <w:t>Section 9.1(a)</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this Agreement shall become void and of no further force and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provisions of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this </w:t>
      </w:r>
      <w:r>
        <w:rPr>
          <w:rFonts w:ascii="Times New Roman" w:hAnsi="Times New Roman"/>
          <w:sz w:val="20"/>
          <w:u w:val="single"/>
        </w:rPr>
        <w:t>ARTICLE IX</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shall survive such termination and shall remain in full force and effect, and (b) nothing contained in this </w:t>
      </w:r>
      <w:r>
        <w:rPr>
          <w:rFonts w:ascii="Times New Roman" w:hAnsi="Times New Roman"/>
          <w:sz w:val="20"/>
          <w:u w:val="single"/>
        </w:rPr>
        <w:t>Section 9.1</w:t>
      </w:r>
      <w:r>
        <w:rPr>
          <w:rFonts w:ascii="Times New Roman" w:hAnsi="Times New Roman"/>
          <w:sz w:val="20"/>
        </w:rPr>
        <w:t xml:space="preserve"> shall relieve any Party from liability for any breach of this Agreement that occurs prior to such termination, including CNSide’s obligations to pay Royalty Payments that become due prior to such termination. For the avoidance of doubt, termination of this Agreement shall not affect CNSide’s obligation to pay any Royalty attributable to Covered Revenue collected during the Royalty Term, whether such Royalty becomes calculable or payable before or after the expiration of the Royalty Term.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Specific Performance</w:t>
      </w:r>
      <w:r>
        <w:rPr>
          <w:rFonts w:ascii="Times New Roman" w:hAnsi="Times New Roman"/>
          <w:sz w:val="20"/>
        </w:rPr>
        <w:t xml:space="preserve">. Each Party acknowledges and agrees that, if it fails to perform any of its obligations under this Agreement, the other Parties will have no adequate remedy at law. In such event, each Party agrees that the other Parties shall have the right, in addition to any other rights it may have (whether at law or in equity), to specific performance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All notices, consents, waivers and other communications hereunder shall be in writing and shall be effective (a) upon receipt when sent by registered or certified mail, return receipt requested, postage prepaid, with such receipt to be effective the date of delivery indicated on the return receipt, (b) upon receipt when sent by an overnight courier (costs prepaid and receipt requested), (c) on the date personally delivered to an authorized officer of the Party to which sent or (d) on the date transmitted by e-mail with a confirmation of receipt, addressed to the recipient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CNSide, to: </w:t>
      </w:r>
    </w:p>
    <w:p>
      <w:pPr>
        <w:pStyle w:val="TextBody"/>
        <w:bidi w:val="0"/>
        <w:spacing w:before="120" w:after="0"/>
        <w:jc w:val="left"/>
        <w:rPr>
          <w:rFonts w:ascii="Times New Roman" w:hAnsi="Times New Roman"/>
          <w:sz w:val="20"/>
        </w:rPr>
      </w:pPr>
      <w:r>
        <w:rPr>
          <w:rFonts w:ascii="Times New Roman" w:hAnsi="Times New Roman"/>
          <w:sz w:val="20"/>
        </w:rPr>
        <w:t xml:space="preserve">CNSide Diagnostics, LLC </w:t>
      </w:r>
    </w:p>
    <w:p>
      <w:pPr>
        <w:pStyle w:val="TextBody"/>
        <w:bidi w:val="0"/>
        <w:spacing w:before="0" w:after="0"/>
        <w:jc w:val="left"/>
        <w:rPr>
          <w:rFonts w:ascii="Times New Roman" w:hAnsi="Times New Roman"/>
          <w:sz w:val="20"/>
        </w:rPr>
      </w:pPr>
      <w:r>
        <w:rPr>
          <w:rFonts w:ascii="Times New Roman" w:hAnsi="Times New Roman"/>
          <w:sz w:val="20"/>
        </w:rPr>
        <w:t xml:space="preserve">c/o Cerenome, Inc. </w:t>
      </w:r>
    </w:p>
    <w:p>
      <w:pPr>
        <w:pStyle w:val="TextBody"/>
        <w:bidi w:val="0"/>
        <w:spacing w:before="0" w:after="0"/>
        <w:jc w:val="left"/>
        <w:rPr>
          <w:rFonts w:ascii="Times New Roman" w:hAnsi="Times New Roman"/>
          <w:sz w:val="20"/>
        </w:rPr>
      </w:pPr>
      <w:r>
        <w:rPr>
          <w:rFonts w:ascii="Times New Roman" w:hAnsi="Times New Roman"/>
          <w:sz w:val="20"/>
        </w:rPr>
        <w:t xml:space="preserve">6420 Levit Green Boulevard </w:t>
      </w:r>
    </w:p>
    <w:p>
      <w:pPr>
        <w:pStyle w:val="TextBody"/>
        <w:bidi w:val="0"/>
        <w:spacing w:before="0" w:after="0"/>
        <w:jc w:val="left"/>
        <w:rPr>
          <w:rFonts w:ascii="Times New Roman" w:hAnsi="Times New Roman"/>
          <w:sz w:val="20"/>
        </w:rPr>
      </w:pPr>
      <w:r>
        <w:rPr>
          <w:rFonts w:ascii="Times New Roman" w:hAnsi="Times New Roman"/>
          <w:sz w:val="20"/>
        </w:rPr>
        <w:t xml:space="preserve">Suite 310 </w:t>
      </w:r>
    </w:p>
    <w:p>
      <w:pPr>
        <w:pStyle w:val="TextBody"/>
        <w:bidi w:val="0"/>
        <w:spacing w:before="0" w:after="0"/>
        <w:jc w:val="left"/>
        <w:rPr>
          <w:rFonts w:ascii="Times New Roman" w:hAnsi="Times New Roman"/>
          <w:sz w:val="20"/>
        </w:rPr>
      </w:pPr>
      <w:r>
        <w:rPr>
          <w:rFonts w:ascii="Times New Roman" w:hAnsi="Times New Roman"/>
          <w:sz w:val="20"/>
        </w:rPr>
        <w:t xml:space="preserve">Houston, TX 77021 </w:t>
      </w:r>
    </w:p>
    <w:p>
      <w:pPr>
        <w:pStyle w:val="TextBody"/>
        <w:bidi w:val="0"/>
        <w:spacing w:before="0" w:after="0"/>
        <w:jc w:val="left"/>
        <w:rPr>
          <w:rFonts w:ascii="Times New Roman" w:hAnsi="Times New Roman"/>
          <w:sz w:val="20"/>
        </w:rPr>
      </w:pPr>
      <w:r>
        <w:rPr>
          <w:rFonts w:ascii="Times New Roman" w:hAnsi="Times New Roman"/>
          <w:sz w:val="20"/>
        </w:rPr>
        <w:t xml:space="preserve">Attn: Andrew Sims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asims@cerenome.com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Sullivan &amp; Worcester LLP </w:t>
      </w:r>
    </w:p>
    <w:p>
      <w:pPr>
        <w:pStyle w:val="TextBody"/>
        <w:bidi w:val="0"/>
        <w:spacing w:before="0" w:after="0"/>
        <w:jc w:val="left"/>
        <w:rPr>
          <w:rFonts w:ascii="Times New Roman" w:hAnsi="Times New Roman"/>
          <w:sz w:val="20"/>
        </w:rPr>
      </w:pPr>
      <w:r>
        <w:rPr>
          <w:rFonts w:ascii="Times New Roman" w:hAnsi="Times New Roman"/>
          <w:sz w:val="20"/>
        </w:rPr>
        <w:t xml:space="preserve">1251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0" w:after="0"/>
        <w:jc w:val="left"/>
        <w:rPr>
          <w:rFonts w:ascii="Times New Roman" w:hAnsi="Times New Roman"/>
          <w:sz w:val="20"/>
        </w:rPr>
      </w:pPr>
      <w:r>
        <w:rPr>
          <w:rFonts w:ascii="Times New Roman" w:hAnsi="Times New Roman"/>
          <w:sz w:val="20"/>
        </w:rPr>
        <w:t xml:space="preserve">Attn: David E. Danovitch, Esq. </w:t>
      </w:r>
    </w:p>
    <w:p>
      <w:pPr>
        <w:pStyle w:val="TextBody"/>
        <w:bidi w:val="0"/>
        <w:spacing w:before="0" w:after="0"/>
        <w:jc w:val="left"/>
        <w:rPr>
          <w:rFonts w:ascii="Times New Roman" w:hAnsi="Times New Roman"/>
          <w:sz w:val="20"/>
        </w:rPr>
      </w:pPr>
      <w:r>
        <w:rPr>
          <w:rFonts w:ascii="Times New Roman" w:hAnsi="Times New Roman"/>
          <w:sz w:val="20"/>
        </w:rPr>
        <w:t xml:space="preserve">E-mail: ddanovitch@sullivanlaw.com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Payee, to: </w:t>
      </w:r>
    </w:p>
    <w:p>
      <w:pPr>
        <w:pStyle w:val="TextBody"/>
        <w:bidi w:val="0"/>
        <w:spacing w:before="120" w:after="0"/>
        <w:jc w:val="left"/>
        <w:rPr>
          <w:rFonts w:ascii="Times New Roman" w:hAnsi="Times New Roman"/>
          <w:sz w:val="20"/>
        </w:rPr>
      </w:pPr>
      <w:r>
        <w:rPr>
          <w:rFonts w:ascii="Times New Roman" w:hAnsi="Times New Roman"/>
          <w:sz w:val="20"/>
        </w:rPr>
        <w:t xml:space="preserve">3i, LP </w:t>
      </w:r>
    </w:p>
    <w:p>
      <w:pPr>
        <w:pStyle w:val="TextBody"/>
        <w:bidi w:val="0"/>
        <w:spacing w:before="0" w:after="0"/>
        <w:jc w:val="left"/>
        <w:rPr>
          <w:rFonts w:ascii="Times New Roman" w:hAnsi="Times New Roman"/>
          <w:sz w:val="20"/>
        </w:rPr>
      </w:pPr>
      <w:r>
        <w:rPr>
          <w:rFonts w:ascii="Times New Roman" w:hAnsi="Times New Roman"/>
          <w:sz w:val="20"/>
        </w:rPr>
        <w:t xml:space="preserve">2 Wooster Street, 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10013 </w:t>
      </w:r>
    </w:p>
    <w:p>
      <w:pPr>
        <w:pStyle w:val="TextBody"/>
        <w:bidi w:val="0"/>
        <w:spacing w:before="0" w:after="0"/>
        <w:jc w:val="left"/>
        <w:rPr>
          <w:rFonts w:ascii="Times New Roman" w:hAnsi="Times New Roman"/>
          <w:sz w:val="20"/>
        </w:rPr>
      </w:pPr>
      <w:r>
        <w:rPr>
          <w:rFonts w:ascii="Times New Roman" w:hAnsi="Times New Roman"/>
          <w:sz w:val="20"/>
        </w:rPr>
        <w:t xml:space="preserve">Attn: Maier J. Tarlow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operations@3ifund.com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Attn: Michael J. Rosenberg, Esq. and N. Danny Shulman, Esq.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mrosenberg@honigman.com</w:t>
      </w:r>
      <w:r>
        <w:rPr>
          <w:rFonts w:ascii="Times New Roman" w:hAnsi="Times New Roman"/>
          <w:sz w:val="20"/>
        </w:rPr>
        <w:t xml:space="preserve"> and </w:t>
      </w:r>
      <w:r>
        <w:rPr>
          <w:rFonts w:ascii="Times New Roman" w:hAnsi="Times New Roman"/>
          <w:sz w:val="20"/>
          <w:u w:val="single"/>
        </w:rPr>
        <w:t>nshulman@honigman.com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Party may, by notice given in accordance herewith to the other Party, designate any further or different address to which subsequent notices, consents, waivers and other communications shall be sent.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Successors and Assigns</w:t>
      </w:r>
      <w:r>
        <w:rPr>
          <w:rFonts w:ascii="Times New Roman" w:hAnsi="Times New Roman"/>
          <w:sz w:val="20"/>
        </w:rPr>
        <w:t xml:space="preserve">. CNSide shall not be entitled to assign any of their rights or delegate any of its obligations under this Agreement without the prior written consent of the Payee. The Payee may, without the consent of CNSide, assign any of its rights and delegate any of its obligations under this Agreement without restriction to any entity or entities. In connection with any such assignment by such Payee, if requested, CNSide shall be provided with an IRS Form W-9 or applicable IRS Form W-8, as appropriate, with respect to such assignee. Each Party shall give written notice to the other Parties of any assignment permitted by this </w:t>
      </w:r>
      <w:r>
        <w:rPr>
          <w:rFonts w:ascii="Times New Roman" w:hAnsi="Times New Roman"/>
          <w:sz w:val="20"/>
          <w:u w:val="single"/>
        </w:rPr>
        <w:t>Section 10.3</w:t>
      </w:r>
      <w:r>
        <w:rPr>
          <w:rFonts w:ascii="Times New Roman" w:hAnsi="Times New Roman"/>
          <w:sz w:val="20"/>
        </w:rPr>
        <w:t xml:space="preserve">. Any purported assignment of rights or delegation of obligations in violation of this </w:t>
      </w:r>
      <w:r>
        <w:rPr>
          <w:rFonts w:ascii="Times New Roman" w:hAnsi="Times New Roman"/>
          <w:sz w:val="20"/>
          <w:u w:val="single"/>
        </w:rPr>
        <w:t>Section 10.3</w:t>
      </w:r>
      <w:r>
        <w:rPr>
          <w:rFonts w:ascii="Times New Roman" w:hAnsi="Times New Roman"/>
          <w:sz w:val="20"/>
        </w:rPr>
        <w:t xml:space="preserve"> will be void. Subject to the foregoing, this Agreement will apply to, be binding upon, and inure to the benefit of, the successors and permitted assigns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Independent Nature of Relationship</w:t>
      </w:r>
      <w:r>
        <w:rPr>
          <w:rFonts w:ascii="Times New Roman" w:hAnsi="Times New Roman"/>
          <w:sz w:val="20"/>
        </w:rPr>
        <w:t xml:space="preserve">. The relationship between CNSide and the Payee is solely that of sellers and Payee, and neither CNSide nor the Payee has any fiduciary or other special relationship with the other Party or any of its Affiliates. This Agreement is not a partnership or similar agreement, and nothing contained herein shall be deemed to constitute CNSide and the Payee as a partnership, an association, a joint venture or any other kind of entity or legal form for any purposes, including any Tax purposes. The Parties agree that they shall not take any inconsistent position with respect to such treatment in a filing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Entire Agreement</w:t>
      </w:r>
      <w:r>
        <w:rPr>
          <w:rFonts w:ascii="Times New Roman" w:hAnsi="Times New Roman"/>
          <w:sz w:val="20"/>
        </w:rPr>
        <w:t xml:space="preserve">. This Agreement, together with the Exhibits and Schedules hereto, constitute a complete and exclusive statement of the terms of agreement between the Parties, and supersede all prior agreements, understandings and negotiations, both written and oral, between the Parties, with respect to the subject matter of this Agreement. No representation, inducement, promise, understanding, condition or warranty not set forth herein (or in the Exhibits or Schedules hereto) has been made or relied upon by any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 </w:t>
      </w:r>
    </w:p>
    <w:p>
      <w:pPr>
        <w:pStyle w:val="TextBody"/>
        <w:bidi w:val="0"/>
        <w:spacing w:before="240" w:after="0"/>
        <w:jc w:val="left"/>
        <w:rPr>
          <w:rFonts w:ascii="Times New Roman" w:hAnsi="Times New Roman"/>
          <w:sz w:val="20"/>
        </w:rPr>
      </w:pPr>
      <w:r>
        <w:rPr>
          <w:rFonts w:ascii="Times New Roman" w:hAnsi="Times New Roman"/>
          <w:sz w:val="20"/>
        </w:rPr>
        <w:t xml:space="preserve">(b) Each Party irrevocably and unconditionally submits, for itself and its property, to the exclusive jurisdiction of (i) the United States District Court for the Southern District of New York and (ii) the Supreme Court of the State of New York, Borough of Manhattan, for purposes of any claim, action, suit or proceeding arising out of this Agreement or any of the transactions contemplated hereby, and agrees that all claims in respect thereof shall be heard and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in such courts. Each Party agrees to commence any such claim, action, suit or proceeding only in the United States District Court for the Southern District of New York or, if such claim, action, suit or proceeding cannot be brought in such court for jurisdictional reasons, in the Supreme Court of the State of New York, Borough of Manhattan, and agrees not to bring any such claim, action, suit or proceeding in any other court. Each Party hereby waives, and agrees not to assert in any such claim, action, suit or proceeding, to the fullest extent permitted by Applicable Law, any claim that (i) such Party is not personally subject to the jurisdiction of such courts, (ii) such Party and such Party’s property is immune from any legal process issued by such courts or (iii) any claim, action, suit or proceeding commenced in such courts is brought in an inconvenient forum. Each Party agrees that a final judgment in any such claim, action, suit or proceeding shall be conclusive and may be enforced in other jurisdictions by suit on the judgment or in any other manner provided by Applicable Law. Each Party acknowledges and agrees that this </w:t>
      </w:r>
      <w:r>
        <w:rPr>
          <w:rFonts w:ascii="Times New Roman" w:hAnsi="Times New Roman"/>
          <w:sz w:val="20"/>
          <w:u w:val="single"/>
        </w:rPr>
        <w:t>Section 10.6(b)</w:t>
      </w:r>
      <w:r>
        <w:rPr>
          <w:rFonts w:ascii="Times New Roman" w:hAnsi="Times New Roman"/>
          <w:sz w:val="20"/>
        </w:rPr>
        <w:t xml:space="preserve"> constitutes a voluntary and bargained-for agreement between the Parties. </w:t>
      </w:r>
    </w:p>
    <w:p>
      <w:pPr>
        <w:pStyle w:val="TextBody"/>
        <w:bidi w:val="0"/>
        <w:spacing w:before="240" w:after="0"/>
        <w:jc w:val="left"/>
        <w:rPr>
          <w:rFonts w:ascii="Times New Roman" w:hAnsi="Times New Roman"/>
          <w:sz w:val="20"/>
        </w:rPr>
      </w:pPr>
      <w:r>
        <w:rPr>
          <w:rFonts w:ascii="Times New Roman" w:hAnsi="Times New Roman"/>
          <w:sz w:val="20"/>
        </w:rPr>
        <w:t xml:space="preserve">(c) The Parties agree that service of process in any claim, action, suit or proceeding referred to in </w:t>
      </w:r>
      <w:r>
        <w:rPr>
          <w:rFonts w:ascii="Times New Roman" w:hAnsi="Times New Roman"/>
          <w:sz w:val="20"/>
          <w:u w:val="single"/>
        </w:rPr>
        <w:t>Section 10.6(b)</w:t>
      </w:r>
      <w:r>
        <w:rPr>
          <w:rFonts w:ascii="Times New Roman" w:hAnsi="Times New Roman"/>
          <w:sz w:val="20"/>
        </w:rPr>
        <w:t xml:space="preserve"> may be served on any Party anywhere in the world, including by sending or delivering a copy of such process to such Party in any manner provided for the giving of notices in </w:t>
      </w:r>
      <w:r>
        <w:rPr>
          <w:rFonts w:ascii="Times New Roman" w:hAnsi="Times New Roman"/>
          <w:sz w:val="20"/>
          <w:u w:val="single"/>
        </w:rPr>
        <w:t>Section 10.2</w:t>
      </w:r>
      <w:r>
        <w:rPr>
          <w:rFonts w:ascii="Times New Roman" w:hAnsi="Times New Roman"/>
          <w:sz w:val="20"/>
        </w:rPr>
        <w:t xml:space="preserve">. Nothing in this Agreement will affect the right of any Party to serve process in any other manner permitted by Applicable Law. Each Party waives personal service of any summons, complaint or other process, which may be made by any other means permitted by New York law.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AGREEMENT BY, AMONG OTHER THINGS, THE MUTUAL WAIVERS AND CERTIFICATIONS IN THIS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Severability</w:t>
      </w:r>
      <w:r>
        <w:rPr>
          <w:rFonts w:ascii="Times New Roman" w:hAnsi="Times New Roman"/>
          <w:sz w:val="20"/>
        </w:rPr>
        <w:t xml:space="preserve">. If one or more provisions of this Agreement are held to be invalid or unenforceable by a court of competent jurisdiction, such provision shall be excluded from this Agreement and the balance of this Agreement shall be interpreted as if such provision were so excluded and shall remain in full force and effect and be enforceable in accordance with its terms. Any provision of this Agreement held invalid or unenforceable only in part or degree by a court of competent jurisdiction shall remain in full force and effect to the extent not held invalid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 xml:space="preserve">. This Agreement may be signed in any number of counterparts, each of which shall be an original, with the same effect as if the signatures thereto and hereto were upon the same instrument. This Agreement shall become effective when each Party shall have received a counterpart hereof signed by the other Party. Any counterpart may be executed by facsimile or other similar means of electronic transmission, including “PDF”, and such facsimile or other electronic transmission shall be deemed an original.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Amendments; No Waivers</w:t>
      </w:r>
      <w:r>
        <w:rPr>
          <w:rFonts w:ascii="Times New Roman" w:hAnsi="Times New Roman"/>
          <w:sz w:val="20"/>
        </w:rPr>
        <w:t xml:space="preserve">. Neither this Agreement nor any term or provision hereof may be amended, supplemented, restated, waived, changed or modified except with the written consent of the Parties. No failure or delay by any Party in exercising any right, power or privilege hereunder shall operate as a waiver thereof nor shall any single or partial exercise thereof preclude any other or further exercise thereof or the exercise of any other right, power or privilege. No notice to or demand on any Party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Third Party Rights</w:t>
      </w:r>
      <w:r>
        <w:rPr>
          <w:rFonts w:ascii="Times New Roman" w:hAnsi="Times New Roman"/>
          <w:sz w:val="20"/>
        </w:rPr>
        <w:t xml:space="preserve">. Other than the Parties, no Person will have any legal or equitable right, remedy or claim under or with respect to this Agreement. This Agreement may be amended or terminated, and any provision of this Agreement may be waived, without the consent of any Person who is not a Party. CNSide shall enforce any legal or equitable right, remedy or claim under or with respect to this Agreement for the benefit of the CNSide Indemnified Parties and the Payee shall enforce any legal or equitable right, remedy or claim under or with respect to this Agreement for the benefit of the Payee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Table of Contents and Headings</w:t>
      </w:r>
      <w:r>
        <w:rPr>
          <w:rFonts w:ascii="Times New Roman" w:hAnsi="Times New Roman"/>
          <w:sz w:val="20"/>
        </w:rPr>
        <w:t xml:space="preserve">. The Table of Contents and headings of the Articles and Sections of this Agreement have been inserted for convenience of reference only, are not to be considered a part hereof and shall in no way modify or restrict any of the terms or provisions hereof.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Royalty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executed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46"/>
        <w:gridCol w:w="130"/>
        <w:gridCol w:w="3206"/>
      </w:tblGrid>
      <w:tr>
        <w:trPr/>
        <w:tc>
          <w:tcPr>
            <w:tcW w:w="74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PAYOR PARTIES:</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CERENOME, INC.</w:t>
            </w:r>
          </w:p>
        </w:tc>
      </w:tr>
      <w:tr>
        <w:trPr>
          <w:trHeight w:val="240" w:hRule="atLeast"/>
        </w:trPr>
        <w:tc>
          <w:tcPr>
            <w:tcW w:w="746" w:type="dxa"/>
            <w:tcBorders/>
            <w:vAlign w:val="center"/>
          </w:tcPr>
          <w:p>
            <w:pPr>
              <w:pStyle w:val="TableContents"/>
              <w:bidi w:val="0"/>
              <w:spacing w:before="0" w:after="283"/>
              <w:jc w:val="left"/>
              <w:rPr>
                <w:sz w:val="4"/>
                <w:szCs w:val="4"/>
              </w:rPr>
            </w:pPr>
            <w:r>
              <w:rPr>
                <w:sz w:val="4"/>
                <w:szCs w:val="4"/>
              </w:rPr>
            </w:r>
          </w:p>
        </w:tc>
        <w:tc>
          <w:tcPr>
            <w:tcW w:w="3336" w:type="dxa"/>
            <w:gridSpan w:val="2"/>
            <w:tcBorders/>
            <w:vAlign w:val="center"/>
          </w:tcPr>
          <w:p>
            <w:pPr>
              <w:pStyle w:val="TableContents"/>
              <w:bidi w:val="0"/>
              <w:spacing w:before="0" w:after="283"/>
              <w:jc w:val="left"/>
              <w:rPr>
                <w:sz w:val="4"/>
                <w:szCs w:val="4"/>
              </w:rPr>
            </w:pPr>
            <w:r>
              <w:rPr>
                <w:sz w:val="4"/>
                <w:szCs w:val="4"/>
              </w:rPr>
            </w:r>
          </w:p>
        </w:tc>
      </w:tr>
      <w:tr>
        <w:trPr/>
        <w:tc>
          <w:tcPr>
            <w:tcW w:w="746" w:type="dxa"/>
            <w:tcBorders/>
          </w:tcPr>
          <w:p>
            <w:pPr>
              <w:pStyle w:val="TableContents"/>
              <w:bidi w:val="0"/>
              <w:spacing w:before="0" w:after="283"/>
              <w:jc w:val="left"/>
              <w:rPr/>
            </w:pPr>
            <w:r>
              <w:rPr/>
              <w:t>By:</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06" w:type="dxa"/>
            <w:tcBorders>
              <w:bottom w:val="single" w:sz="2" w:space="0" w:color="000000"/>
            </w:tcBorders>
            <w:tcMar>
              <w:bottom w:w="28" w:type="dxa"/>
            </w:tcMar>
          </w:tcPr>
          <w:p>
            <w:pPr>
              <w:pStyle w:val="TableContents"/>
              <w:bidi w:val="0"/>
              <w:spacing w:before="0" w:after="283"/>
              <w:jc w:val="left"/>
              <w:rPr/>
            </w:pPr>
            <w:r>
              <w:rPr/>
              <w:t> </w:t>
            </w:r>
          </w:p>
        </w:tc>
      </w:tr>
      <w:tr>
        <w:trPr/>
        <w:tc>
          <w:tcPr>
            <w:tcW w:w="746"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Name:</w:t>
            </w:r>
          </w:p>
        </w:tc>
      </w:tr>
      <w:tr>
        <w:trPr/>
        <w:tc>
          <w:tcPr>
            <w:tcW w:w="746"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206"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112"/>
        <w:gridCol w:w="3345"/>
      </w:tblGrid>
      <w:tr>
        <w:trPr/>
        <w:tc>
          <w:tcPr>
            <w:tcW w:w="62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CNSIDE DIAGNOSTICS, LLC</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345" w:type="dxa"/>
            <w:tcBorders>
              <w:bottom w:val="single" w:sz="2" w:space="0" w:color="000000"/>
            </w:tcBorders>
            <w:tcMar>
              <w:bottom w:w="28" w:type="dxa"/>
            </w:tcMar>
          </w:tcPr>
          <w:p>
            <w:pPr>
              <w:pStyle w:val="TableContents"/>
              <w:bidi w:val="0"/>
              <w:spacing w:before="0" w:after="283"/>
              <w:jc w:val="left"/>
              <w:rPr/>
            </w:pPr>
            <w:r>
              <w:rPr/>
              <w:t> </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Name:</w:t>
            </w:r>
          </w:p>
        </w:tc>
      </w:tr>
      <w:tr>
        <w:trPr/>
        <w:tc>
          <w:tcPr>
            <w:tcW w:w="625"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Royalty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have executed this Agreement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THE PAYEE: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3i, LP</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3i Management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Maier J. Tarlow</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Payee Account </w:t>
      </w:r>
    </w:p>
    <w:p>
      <w:pPr>
        <w:pStyle w:val="TextBody"/>
        <w:bidi w:val="0"/>
        <w:spacing w:before="120" w:after="0"/>
        <w:jc w:val="center"/>
        <w:rPr>
          <w:rFonts w:ascii="Times New Roman" w:hAnsi="Times New Roman"/>
          <w:b/>
          <w:sz w:val="20"/>
        </w:rPr>
      </w:pPr>
      <w:r>
        <w:rPr>
          <w:rFonts w:ascii="Times New Roman" w:hAnsi="Times New Roman"/>
          <w:b/>
          <w:sz w:val="20"/>
        </w:rPr>
        <w:t xml:space="preserve">[To be provided at Closing] </w:t>
      </w:r>
    </w:p>
    <w:p>
      <w:pPr>
        <w:pStyle w:val="TextBody"/>
        <w:bidi w:val="0"/>
        <w:spacing w:before="0" w:after="0"/>
        <w:jc w:val="right"/>
        <w:rPr>
          <w:rFonts w:ascii="Times New Roman" w:hAnsi="Times New Roman"/>
          <w:b/>
          <w:sz w:val="20"/>
        </w:rPr>
      </w:pPr>
      <w:bookmarkStart w:id="12" w:name="d382364dex991.htm"/>
      <w:bookmarkStart w:id="13" w:name="ksd382364dex991"/>
      <w:bookmarkEnd w:id="12"/>
      <w:bookmarkEnd w:id="1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Cerenome Announces Up to $20 Million Financing Facility with Royalty-Based Repayment </w:t>
      </w:r>
    </w:p>
    <w:p>
      <w:pPr>
        <w:pStyle w:val="TextBody"/>
        <w:bidi w:val="0"/>
        <w:spacing w:before="240" w:after="0"/>
        <w:jc w:val="center"/>
        <w:rPr>
          <w:rFonts w:ascii="Times New Roman" w:hAnsi="Times New Roman"/>
          <w:i/>
          <w:sz w:val="20"/>
        </w:rPr>
      </w:pPr>
      <w:r>
        <w:rPr>
          <w:rFonts w:ascii="Times New Roman" w:hAnsi="Times New Roman"/>
          <w:i/>
          <w:sz w:val="20"/>
        </w:rPr>
        <w:t xml:space="preserve">Capital will support continued CNSide® commercial scale-up and development </w:t>
      </w:r>
    </w:p>
    <w:p>
      <w:pPr>
        <w:pStyle w:val="TextBody"/>
        <w:bidi w:val="0"/>
        <w:spacing w:before="240" w:after="0"/>
        <w:jc w:val="center"/>
        <w:rPr>
          <w:rFonts w:ascii="Times New Roman" w:hAnsi="Times New Roman"/>
          <w:i/>
          <w:sz w:val="20"/>
        </w:rPr>
      </w:pPr>
      <w:r>
        <w:rPr>
          <w:rFonts w:ascii="Times New Roman" w:hAnsi="Times New Roman"/>
          <w:i/>
          <w:sz w:val="20"/>
        </w:rPr>
        <w:t xml:space="preserve">Initial tranche of funding provided at closing with future tranches linked to milestones </w:t>
      </w:r>
    </w:p>
    <w:p>
      <w:pPr>
        <w:pStyle w:val="TextBody"/>
        <w:bidi w:val="0"/>
        <w:spacing w:before="240" w:after="0"/>
        <w:jc w:val="center"/>
        <w:rPr>
          <w:rFonts w:ascii="Times New Roman" w:hAnsi="Times New Roman"/>
          <w:i/>
          <w:sz w:val="20"/>
        </w:rPr>
      </w:pPr>
      <w:r>
        <w:rPr>
          <w:rFonts w:ascii="Times New Roman" w:hAnsi="Times New Roman"/>
          <w:i/>
          <w:sz w:val="20"/>
        </w:rPr>
        <w:t xml:space="preserve">Forecasted cash runway now into 2028 </w:t>
      </w:r>
    </w:p>
    <w:p>
      <w:pPr>
        <w:pStyle w:val="TextBody"/>
        <w:bidi w:val="0"/>
        <w:spacing w:before="240" w:after="0"/>
        <w:jc w:val="left"/>
        <w:rPr>
          <w:rFonts w:ascii="Times New Roman" w:hAnsi="Times New Roman"/>
          <w:sz w:val="20"/>
        </w:rPr>
      </w:pPr>
      <w:r>
        <w:rPr>
          <w:rFonts w:ascii="Times New Roman" w:hAnsi="Times New Roman"/>
          <w:b/>
          <w:sz w:val="20"/>
        </w:rPr>
        <w:t>HOUSTON, September</w:t>
      </w:r>
      <w:r>
        <w:rPr>
          <w:rFonts w:ascii="Times New Roman" w:hAnsi="Times New Roman"/>
          <w:sz w:val="20"/>
        </w:rPr>
        <w:t> </w:t>
      </w:r>
      <w:r>
        <w:rPr>
          <w:rFonts w:ascii="Times New Roman" w:hAnsi="Times New Roman"/>
          <w:b/>
          <w:sz w:val="20"/>
        </w:rPr>
        <w:t xml:space="preserve">10, 2026 (GLOBE NEWSWIRE) – </w:t>
      </w:r>
      <w:r>
        <w:rPr>
          <w:rFonts w:ascii="Times New Roman" w:hAnsi="Times New Roman"/>
          <w:sz w:val="20"/>
        </w:rPr>
        <w:t xml:space="preserve">Cerenome, Inc. (Nasdaq: CNSY) (“Cerenome” or the “Company”), a CNS oncology company advancing an integrated platform of precision diagnostics, targeted therapeutics, and artificial intelligence, today announced that it has entered into a financing agreement with 3i, LP (“3i Fund”) for a senior secured facility of up to $20 million with royalty-based repayments. Under the agreement, the Company received initial funding at closing, with future tranches available upon achieving certain milestones. </w:t>
      </w:r>
    </w:p>
    <w:p>
      <w:pPr>
        <w:pStyle w:val="TextBody"/>
        <w:bidi w:val="0"/>
        <w:spacing w:before="240" w:after="0"/>
        <w:jc w:val="left"/>
        <w:rPr>
          <w:rFonts w:ascii="Times New Roman" w:hAnsi="Times New Roman"/>
          <w:sz w:val="20"/>
        </w:rPr>
      </w:pPr>
      <w:r>
        <w:rPr>
          <w:rFonts w:ascii="Times New Roman" w:hAnsi="Times New Roman"/>
          <w:sz w:val="20"/>
        </w:rPr>
        <w:t xml:space="preserve">The financing is intended to support the scale-up of the Company’s proprietary laboratory-developed tests, particularly its CNSide® cerebrospinal fluid (“CSF”) assay platform. </w:t>
      </w:r>
    </w:p>
    <w:p>
      <w:pPr>
        <w:pStyle w:val="TextBody"/>
        <w:bidi w:val="0"/>
        <w:spacing w:before="240" w:after="0"/>
        <w:jc w:val="left"/>
        <w:rPr/>
      </w:pPr>
      <w:r>
        <w:rPr/>
        <w:t>“</w:t>
      </w:r>
      <w:r>
        <w:rPr>
          <w:rFonts w:ascii="Times New Roman" w:hAnsi="Times New Roman"/>
          <w:sz w:val="20"/>
        </w:rPr>
        <w:t xml:space="preserve">Cerenome is grateful for the support of the 3i Fund team, and we look forward to a long-term relationship,” said Andrew Sims, Cerenome’s Chief Financial Officer. “This facility is designed to be minimally dilutive to stockholders while supporting the next stage of commercial scale-up and development of CNSide, specifically growing sales and broadening the pipeline. We forecast our cash runway is now well into 2028 when we consider, the 3i facility, other existing facilities along with current cash and forecasted CNSide related sales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Additional transaction details are included in a Current Report on Form 8-K to be filed by the Company with the U.S. Securities and Exchange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Cerenome </w:t>
      </w:r>
    </w:p>
    <w:p>
      <w:pPr>
        <w:pStyle w:val="TextBody"/>
        <w:bidi w:val="0"/>
        <w:spacing w:before="120" w:after="0"/>
        <w:jc w:val="left"/>
        <w:rPr>
          <w:rFonts w:ascii="Times New Roman" w:hAnsi="Times New Roman"/>
          <w:sz w:val="20"/>
        </w:rPr>
      </w:pPr>
      <w:r>
        <w:rPr>
          <w:rFonts w:ascii="Times New Roman" w:hAnsi="Times New Roman"/>
          <w:sz w:val="20"/>
        </w:rPr>
        <w:t xml:space="preserve">Cerenome (Nasdaq: CNSY) is a CNS oncology company advancing an integrated platform that combines precision diagnostics, targeted therapeutics, and artificial intelligence to improve outcomes for patients with central nervous system cancers. The Company’s CNSide® Diagnostics platform supports the detection, molecular characterization, and longitudinal monitoring of CNS cancers through cerebrospinal fluid-based testing. Its lead therapeutic platform, REYOBIQ (rhenium Re186 obisbemeda), is being evaluated in clinical trials for leptomeningeal metastases, recurrent glioblastoma, and pediatric brain cancers. The data &amp; artificial intelligence platform is designed to integrate diagnostic, molecular, imaging, and clinical data into actionable insights that support precision oncology and therapeutic innovation. By integrating commercial diagnostics, targeted therapeutics, proprietary longitudinal data, and artificial intelligence within a single organization, Cerenome is building a differentiated CNS oncology platform designed to improve patient care while creating long-term shareholder value. Visit </w:t>
      </w:r>
      <w:r>
        <w:rPr>
          <w:rFonts w:ascii="Times New Roman" w:hAnsi="Times New Roman"/>
          <w:sz w:val="20"/>
          <w:u w:val="single"/>
        </w:rPr>
        <w:t>https://www.cerenome.com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CNSide Diagnostics, LLC </w:t>
      </w:r>
    </w:p>
    <w:p>
      <w:pPr>
        <w:pStyle w:val="TextBody"/>
        <w:bidi w:val="0"/>
        <w:spacing w:before="120" w:after="0"/>
        <w:jc w:val="left"/>
        <w:rPr>
          <w:rFonts w:ascii="Times New Roman" w:hAnsi="Times New Roman"/>
          <w:sz w:val="20"/>
        </w:rPr>
      </w:pPr>
      <w:r>
        <w:rPr>
          <w:rFonts w:ascii="Times New Roman" w:hAnsi="Times New Roman"/>
          <w:sz w:val="20"/>
        </w:rPr>
        <w:t xml:space="preserve">CNSide Diagnostics, LLC is a wholly owned subsidiary of Cerenome, Inc. that develops and commercializes proprietary laboratory-developed tests, such as CNSide®, designed to identify tumor cells that have metastasized to the central nervous system in patients with carcinomas and melanomas. The CNSide® CSF Assay Platform enables quantitative analysis of the cerebrospinal fluid that informs and improves the management of patients with leptomeningeal metastases. For more information, visit https://www.cnside-dx.com/.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may be deemed “forward-looking statements” within the meaning of U.S. securities laws, including statements regarding the financing agreement with 3i Fund, the timing and availability of additional funding tranches, the achievement of milestones under the agreement, the use of proceeds from the financing, clinical trials, expected operations, and upcoming developments. All statements in this press release other than statements of historical fact are forward-looking statements. These forward-looking statements may be identified by future verbs, as well as terms such as “expect,” “potential,” “anticipating,” “planning” and similar expressions or the negatives thereof. Such statements are based upon certain assumptions and assessments made by management in light of their experience and their perception of historical trends, current conditions, expected future developments and other factors they believe to be appropriate. These statements include, without limitation, statements regarding the timing and amount of additional tranches under the financing agreement, the Company’s ability to achieve the milestones required to receive such tranches, the anticipated use of proceeds from the financing, the Company’s future royalty obligations to 3i Fund, the Company’s anticipated growth in CNSide testing volume and reimbursement, the timing and results of REYOBIQ clinical trials, and expectations as to the Company’s future performance and financial position. Actual results may differ materially from those expressed or implied by these forward-looking statements due to a variety of risks and uncertainties, including those described in the Company’s filings with the Securities and Exchange Commission. The Company undertakes no obligation to update any forward-looking statements, whether as a result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CORE IR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IR@cerenome.com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5.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7.jpeg"/><Relationship Id="rId13" Type="http://schemas.openxmlformats.org/officeDocument/2006/relationships/image" Target="media/image7.jpeg"/><Relationship Id="rId14" Type="http://schemas.openxmlformats.org/officeDocument/2006/relationships/image" Target="media/image7.jpeg"/><Relationship Id="rId15" Type="http://schemas.openxmlformats.org/officeDocument/2006/relationships/image" Target="media/image7.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8.jpeg"/><Relationship Id="rId22" Type="http://schemas.openxmlformats.org/officeDocument/2006/relationships/image" Target="media/image8.jpeg"/><Relationship Id="rId23" Type="http://schemas.openxmlformats.org/officeDocument/2006/relationships/image" Target="media/image8.jpeg"/><Relationship Id="rId24" Type="http://schemas.openxmlformats.org/officeDocument/2006/relationships/image" Target="media/image14.jpeg"/><Relationship Id="rId25" Type="http://schemas.openxmlformats.org/officeDocument/2006/relationships/image" Target="media/image7.jpeg"/><Relationship Id="rId26" Type="http://schemas.openxmlformats.org/officeDocument/2006/relationships/image" Target="media/image7.jpeg"/><Relationship Id="rId27" Type="http://schemas.openxmlformats.org/officeDocument/2006/relationships/image" Target="media/image15.jpeg"/><Relationship Id="rId28" Type="http://schemas.openxmlformats.org/officeDocument/2006/relationships/image" Target="media/image7.jpeg"/><Relationship Id="rId29" Type="http://schemas.openxmlformats.org/officeDocument/2006/relationships/image" Target="media/image11.jpeg"/><Relationship Id="rId30" Type="http://schemas.openxmlformats.org/officeDocument/2006/relationships/image" Target="media/image7.jpeg"/><Relationship Id="rId31" Type="http://schemas.openxmlformats.org/officeDocument/2006/relationships/image" Target="media/image7.jpeg"/><Relationship Id="rId32" Type="http://schemas.openxmlformats.org/officeDocument/2006/relationships/image" Target="media/image10.jpeg"/><Relationship Id="rId33" Type="http://schemas.openxmlformats.org/officeDocument/2006/relationships/image" Target="media/image8.jpeg"/><Relationship Id="rId34" Type="http://schemas.openxmlformats.org/officeDocument/2006/relationships/image" Target="media/image12.jpeg"/><Relationship Id="rId35" Type="http://schemas.openxmlformats.org/officeDocument/2006/relationships/image" Target="media/image15.jpeg"/><Relationship Id="rId36" Type="http://schemas.openxmlformats.org/officeDocument/2006/relationships/image" Target="media/image13.jpeg"/><Relationship Id="rId37" Type="http://schemas.openxmlformats.org/officeDocument/2006/relationships/image" Target="media/image7.jpeg"/><Relationship Id="rId38" Type="http://schemas.openxmlformats.org/officeDocument/2006/relationships/image" Target="media/image7.jpeg"/><Relationship Id="rId39" Type="http://schemas.openxmlformats.org/officeDocument/2006/relationships/image" Target="media/image7.jpeg"/><Relationship Id="rId40" Type="http://schemas.openxmlformats.org/officeDocument/2006/relationships/image" Target="media/image13.jpeg"/><Relationship Id="rId41" Type="http://schemas.openxmlformats.org/officeDocument/2006/relationships/image" Target="media/image7.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334</Pages>
  <Words>136047</Words>
  <Characters>733188</Characters>
  <CharactersWithSpaces>872203</CharactersWithSpaces>
  <Paragraphs>7278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