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14"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20" w:right="300" w:hanging="512"/>
        <w:spacing w:after="0" w:line="256" w:lineRule="auto"/>
        <w:tabs>
          <w:tab w:leader="none" w:pos="436"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PLUS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9"/>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Arial" w:cs="Arial" w:eastAsia="Arial" w:hAnsi="Arial"/>
                <w:sz w:val="16"/>
                <w:szCs w:val="16"/>
                <w:b w:val="1"/>
                <w:bCs w:val="1"/>
                <w:color w:val="auto"/>
              </w:rPr>
              <w:t>33-0827593</w:t>
            </w:r>
          </w:p>
        </w:tc>
      </w:tr>
      <w:tr>
        <w:trPr>
          <w:trHeight w:val="222"/>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Identification No.)</w:t>
            </w:r>
          </w:p>
        </w:tc>
      </w:tr>
      <w:tr>
        <w:trPr>
          <w:trHeight w:val="459"/>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9"/>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Arial" w:cs="Arial" w:eastAsia="Arial" w:hAnsi="Arial"/>
                <w:sz w:val="16"/>
                <w:szCs w:val="16"/>
                <w:b w:val="1"/>
                <w:bCs w:val="1"/>
                <w:color w:val="auto"/>
              </w:rPr>
              <w:t>78756</w:t>
            </w:r>
          </w:p>
        </w:tc>
      </w:tr>
      <w:tr>
        <w:trPr>
          <w:trHeight w:val="229"/>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0"/>
        </w:trPr>
        <w:tc>
          <w:tcPr>
            <w:tcW w:w="7620" w:type="dxa"/>
            <w:vAlign w:val="bottom"/>
            <w:gridSpan w:val="5"/>
          </w:tcPr>
          <w:p>
            <w:pPr>
              <w:jc w:val="center"/>
              <w:ind w:left="355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20" w:type="dxa"/>
            <w:vAlign w:val="bottom"/>
          </w:tcPr>
          <w:p>
            <w:pPr>
              <w:spacing w:after="0"/>
              <w:rPr>
                <w:sz w:val="18"/>
                <w:szCs w:val="18"/>
                <w:color w:val="auto"/>
              </w:rPr>
            </w:pPr>
          </w:p>
        </w:tc>
      </w:tr>
      <w:tr>
        <w:trPr>
          <w:trHeight w:val="87"/>
        </w:trPr>
        <w:tc>
          <w:tcPr>
            <w:tcW w:w="4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20" w:type="dxa"/>
            <w:vAlign w:val="bottom"/>
          </w:tcPr>
          <w:p>
            <w:pPr>
              <w:spacing w:after="0"/>
              <w:rPr>
                <w:sz w:val="24"/>
                <w:szCs w:val="24"/>
                <w:color w:val="auto"/>
              </w:rPr>
            </w:pPr>
          </w:p>
        </w:tc>
      </w:tr>
      <w:tr>
        <w:trPr>
          <w:trHeight w:val="225"/>
        </w:trPr>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0"/>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73"/>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8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5"/>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color w:val="auto"/>
                <w:w w:val="93"/>
              </w:rPr>
              <w:t>Nasdaq Capital Market</w:t>
            </w:r>
          </w:p>
        </w:tc>
      </w:tr>
      <w:tr>
        <w:trPr>
          <w:trHeight w:val="60"/>
        </w:trPr>
        <w:tc>
          <w:tcPr>
            <w:tcW w:w="4240" w:type="dxa"/>
            <w:vAlign w:val="bottom"/>
            <w:tcBorders>
              <w:left w:val="single" w:sz="8" w:color="auto"/>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bl>
    <w:p>
      <w:pPr>
        <w:spacing w:after="0" w:line="98"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4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71" w:right="339" w:bottom="1440" w:gutter="0" w:footer="0" w:header="0"/>
        </w:sectPr>
      </w:pPr>
    </w:p>
    <w:p>
      <w:pPr>
        <w:spacing w:after="0" w:line="99"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Arial" w:cs="Arial" w:eastAsia="Arial" w:hAnsi="Arial"/>
          <w:sz w:val="16"/>
          <w:szCs w:val="16"/>
          <w:color w:val="auto"/>
        </w:rPr>
        <w:t>Emerging growth company</w:t>
      </w:r>
    </w:p>
    <w:p>
      <w:pPr>
        <w:spacing w:after="0" w:line="221"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8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25, 2023 , there were 4,522,656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5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20"/>
                <w:szCs w:val="20"/>
                <w:color w:val="0000FF"/>
                <w:w w:val="98"/>
              </w:rPr>
              <w:t>FINANCIAL INFORMATION</w:t>
            </w:r>
          </w:p>
        </w:tc>
        <w:tc>
          <w:tcPr>
            <w:tcW w:w="692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59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6"/>
              </w:rPr>
              <w:t>Condensed Balance Sheets</w:t>
            </w:r>
          </w:p>
        </w:tc>
        <w:tc>
          <w:tcPr>
            <w:tcW w:w="6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Condensed Statements of Operations</w:t>
            </w:r>
          </w:p>
        </w:tc>
        <w:tc>
          <w:tcPr>
            <w:tcW w:w="57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89"/>
              </w:rPr>
              <w:t>Condensed Statements of Stockholders’ Equity</w:t>
            </w:r>
          </w:p>
        </w:tc>
        <w:tc>
          <w:tcPr>
            <w:tcW w:w="50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7"/>
              </w:rPr>
              <w:t>Condensed Statements of Cash Flows</w:t>
            </w:r>
          </w:p>
        </w:tc>
        <w:tc>
          <w:tcPr>
            <w:tcW w:w="5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8"/>
              </w:rPr>
              <w:t>Notes to Condensed Financial Statements</w:t>
            </w:r>
          </w:p>
        </w:tc>
        <w:tc>
          <w:tcPr>
            <w:tcW w:w="54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Arial" w:cs="Arial" w:eastAsia="Arial" w:hAnsi="Arial"/>
                <w:sz w:val="18"/>
                <w:szCs w:val="18"/>
                <w:color w:val="auto"/>
              </w:rPr>
              <w:t>PART II</w:t>
            </w:r>
          </w:p>
        </w:tc>
        <w:tc>
          <w:tcPr>
            <w:tcW w:w="9400" w:type="dxa"/>
            <w:vAlign w:val="bottom"/>
            <w:gridSpan w:val="17"/>
          </w:tcPr>
          <w:p>
            <w:pPr>
              <w:spacing w:after="0"/>
              <w:rPr>
                <w:sz w:val="20"/>
                <w:szCs w:val="20"/>
                <w:color w:val="auto"/>
              </w:rPr>
            </w:pPr>
            <w:r>
              <w:rPr>
                <w:rFonts w:ascii="Arial" w:cs="Arial" w:eastAsia="Arial" w:hAnsi="Arial"/>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2"/>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Risk Factors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1"/>
              </w:rPr>
              <w:t>Exhibits</w:t>
            </w:r>
          </w:p>
        </w:tc>
        <w:tc>
          <w:tcPr>
            <w:tcW w:w="78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12"/>
          </w:tcPr>
          <w:p>
            <w:pPr>
              <w:ind w:left="330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This report and the exhibits incorporated herein by reference contain “forward-looking statements” which are made pursuant to the safe harbor provisions of Section 27A of the Securities Act of 1933, as amended, and Section 21E of the Securities Exchange Act of 1934, as amended, or the Exchange Act.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 II – Item 1A – Risk Factors” in this Quarterly Report. These risks and uncertainties could cause actual results to differ materially from expectations or those expressed in these forward-looking statements.</w:t>
      </w:r>
    </w:p>
    <w:p>
      <w:pPr>
        <w:spacing w:after="0" w:line="8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w:t>
      </w:r>
    </w:p>
    <w:p>
      <w:pPr>
        <w:spacing w:after="0" w:line="2" w:lineRule="exact"/>
        <w:rPr>
          <w:sz w:val="20"/>
          <w:szCs w:val="20"/>
          <w:color w:val="auto"/>
        </w:rPr>
      </w:pPr>
    </w:p>
    <w:p>
      <w:pPr>
        <w:ind w:right="340" w:firstLine="8"/>
        <w:spacing w:after="0" w:line="260" w:lineRule="auto"/>
        <w:tabs>
          <w:tab w:leader="none" w:pos="16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Item 1A – Risk Factors” in this Quarterly Report. These risks and uncertainties could cause actual results to differ materially from expectations or those expressed in these forward-looking statements.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We encourage you to read the risks described under “Risk Factor Summary” and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Grant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6,073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Term loan obligation</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obligation</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Noncurrent operating lease liability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grant liability</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10,656</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Preferred stock, $0.001 par value; 5,000,000 shares authorized; 1,952 shares issued and outstanding at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September 30, 2023 and December 31, 2022, respectively</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8"/>
                <w:szCs w:val="18"/>
                <w:color w:val="auto"/>
                <w:w w:val="95"/>
              </w:rPr>
              <w:t>Common stock, $0.001 par value; 100,000,000 shares authorized; 4,522,656 and 2,240,092 shares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issued and outstanding at September 30, 2023 and December 31, 2022,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(476,691 )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(467,185 )</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-4868545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-3616960</wp:posOffset>
            </wp:positionV>
            <wp:extent cx="121729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29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-2022475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90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w w:val="95"/>
              </w:rPr>
              <w:t>For the Three Months Ended September</w:t>
            </w:r>
          </w:p>
        </w:tc>
        <w:tc>
          <w:tcPr>
            <w:tcW w:w="2740" w:type="dxa"/>
            <w:vAlign w:val="bottom"/>
            <w:gridSpan w:val="6"/>
          </w:tcPr>
          <w:p>
            <w:pPr>
              <w:jc w:val="right"/>
              <w:ind w:right="161"/>
              <w:spacing w:after="0"/>
              <w:rPr>
                <w:sz w:val="20"/>
                <w:szCs w:val="20"/>
                <w:color w:val="auto"/>
              </w:rPr>
            </w:pPr>
            <w:r>
              <w:rPr>
                <w:rFonts w:ascii="Arial" w:cs="Arial" w:eastAsia="Arial" w:hAnsi="Arial"/>
                <w:sz w:val="14"/>
                <w:szCs w:val="14"/>
                <w:b w:val="1"/>
                <w:bCs w:val="1"/>
                <w:color w:val="auto"/>
                <w:w w:val="96"/>
              </w:rPr>
              <w:t>For the Nine Months Ended September</w:t>
            </w:r>
          </w:p>
        </w:tc>
      </w:tr>
      <w:tr>
        <w:trPr>
          <w:trHeight w:val="185"/>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Revenue</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0"/>
                <w:szCs w:val="20"/>
                <w:color w:val="auto"/>
              </w:rPr>
            </w:pPr>
          </w:p>
        </w:tc>
      </w:tr>
      <w:tr>
        <w:trPr>
          <w:trHeight w:val="243"/>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20"/>
                <w:szCs w:val="20"/>
                <w:color w:val="auto"/>
              </w:rPr>
            </w:pPr>
          </w:p>
        </w:tc>
      </w:tr>
      <w:tr>
        <w:trPr>
          <w:trHeight w:val="243"/>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0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100" w:type="dxa"/>
            <w:vAlign w:val="bottom"/>
          </w:tcPr>
          <w:p>
            <w:pPr>
              <w:spacing w:after="0"/>
              <w:rPr>
                <w:sz w:val="20"/>
                <w:szCs w:val="20"/>
                <w:color w:val="auto"/>
              </w:rPr>
            </w:pPr>
          </w:p>
        </w:tc>
      </w:tr>
      <w:tr>
        <w:trPr>
          <w:trHeight w:val="243"/>
        </w:trPr>
        <w:tc>
          <w:tcPr>
            <w:tcW w:w="5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(87 )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(173 )</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(333 )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(552 )</w:t>
            </w: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Change in fair value of liability instruments</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00" w:type="dxa"/>
            <w:vAlign w:val="bottom"/>
          </w:tcPr>
          <w:p>
            <w:pPr>
              <w:ind w:left="560"/>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(125 )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(45 )</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(477 )</w:t>
            </w:r>
          </w:p>
        </w:tc>
      </w:tr>
      <w:tr>
        <w:trPr>
          <w:trHeight w:val="276"/>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(1.00 )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(2.85 )</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(3.54 )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(9.22 )</w:t>
            </w:r>
          </w:p>
        </w:tc>
      </w:tr>
      <w:tr>
        <w:trPr>
          <w:trHeight w:val="215"/>
        </w:trPr>
        <w:tc>
          <w:tcPr>
            <w:tcW w:w="5600" w:type="dxa"/>
            <w:vAlign w:val="bottom"/>
          </w:tcPr>
          <w:p>
            <w:pPr>
              <w:ind w:left="20"/>
              <w:spacing w:after="0"/>
              <w:rPr>
                <w:sz w:val="20"/>
                <w:szCs w:val="20"/>
                <w:color w:val="auto"/>
              </w:rPr>
            </w:pPr>
            <w:r>
              <w:rPr>
                <w:rFonts w:ascii="Arial" w:cs="Arial" w:eastAsia="Arial" w:hAnsi="Arial"/>
                <w:sz w:val="18"/>
                <w:szCs w:val="18"/>
                <w:color w:val="auto"/>
                <w:w w:val="93"/>
              </w:rPr>
              <w:t>Basic and diluted weighted average shares used in calculating net loss per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share attributable to common stockholders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3,225,351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1,829,444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2,688,232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1,585,946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-2193925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-2193925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-2193925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-942340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-942340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-942340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-616585</wp:posOffset>
            </wp:positionV>
            <wp:extent cx="280289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2890" cy="1797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060" w:type="dxa"/>
            <w:vAlign w:val="bottom"/>
            <w:gridSpan w:val="2"/>
            <w:vMerge w:val="restart"/>
          </w:tcPr>
          <w:p>
            <w:pPr>
              <w:jc w:val="center"/>
              <w:ind w:right="142"/>
              <w:spacing w:after="0"/>
              <w:rPr>
                <w:sz w:val="20"/>
                <w:szCs w:val="20"/>
                <w:color w:val="auto"/>
              </w:rPr>
            </w:pPr>
            <w:r>
              <w:rPr>
                <w:rFonts w:ascii="Arial" w:cs="Arial" w:eastAsia="Arial" w:hAnsi="Arial"/>
                <w:sz w:val="14"/>
                <w:szCs w:val="14"/>
                <w:b w:val="1"/>
                <w:bCs w:val="1"/>
                <w:color w:val="auto"/>
                <w:w w:val="93"/>
              </w:rPr>
              <w:t>Accumulate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1"/>
                <w:szCs w:val="11"/>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20" w:type="dxa"/>
            <w:vAlign w:val="bottom"/>
          </w:tcPr>
          <w:p>
            <w:pPr>
              <w:spacing w:after="0"/>
              <w:rPr>
                <w:sz w:val="11"/>
                <w:szCs w:val="11"/>
                <w:color w:val="auto"/>
              </w:rPr>
            </w:pPr>
          </w:p>
        </w:tc>
        <w:tc>
          <w:tcPr>
            <w:tcW w:w="186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162"/>
              <w:spacing w:after="0"/>
              <w:rPr>
                <w:sz w:val="20"/>
                <w:szCs w:val="20"/>
                <w:color w:val="auto"/>
              </w:rPr>
            </w:pPr>
            <w:r>
              <w:rPr>
                <w:rFonts w:ascii="Arial" w:cs="Arial" w:eastAsia="Arial" w:hAnsi="Arial"/>
                <w:sz w:val="14"/>
                <w:szCs w:val="14"/>
                <w:b w:val="1"/>
                <w:bCs w:val="1"/>
                <w:color w:val="auto"/>
                <w:w w:val="92"/>
              </w:rPr>
              <w:t>d</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06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92"/>
              </w:rPr>
              <w:t>deficit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1,034,002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457,745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(446,910</w:t>
            </w: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 $</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445,840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02"/>
              <w:spacing w:after="0"/>
              <w:rPr>
                <w:sz w:val="20"/>
                <w:szCs w:val="20"/>
                <w:color w:val="auto"/>
              </w:rPr>
            </w:pPr>
            <w:r>
              <w:rPr>
                <w:rFonts w:ascii="Arial" w:cs="Arial" w:eastAsia="Arial" w:hAnsi="Arial"/>
                <w:sz w:val="14"/>
                <w:szCs w:val="14"/>
                <w:color w:val="auto"/>
              </w:rPr>
              <w:t>(4,116 )</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(4,116 )</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March 31, 2022</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1,479,842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465,667</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(451,026</w:t>
            </w:r>
          </w:p>
        </w:tc>
        <w:tc>
          <w:tcPr>
            <w:tcW w:w="2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6" w:lineRule="exact"/>
              <w:rPr>
                <w:sz w:val="20"/>
                <w:szCs w:val="20"/>
                <w:color w:val="auto"/>
              </w:rPr>
            </w:pPr>
            <w:r>
              <w:rPr>
                <w:rFonts w:ascii="Arial" w:cs="Arial" w:eastAsia="Arial" w:hAnsi="Arial"/>
                <w:sz w:val="14"/>
                <w:szCs w:val="14"/>
                <w:color w:val="auto"/>
              </w:rPr>
              <w:t>Sale of common stock, net</w:t>
            </w:r>
          </w:p>
        </w:tc>
        <w:tc>
          <w:tcPr>
            <w:tcW w:w="72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ind w:left="46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560" w:type="dxa"/>
            <w:vAlign w:val="bottom"/>
          </w:tcPr>
          <w:p>
            <w:pPr>
              <w:ind w:left="400"/>
              <w:spacing w:after="0" w:line="156" w:lineRule="exact"/>
              <w:rPr>
                <w:sz w:val="20"/>
                <w:szCs w:val="20"/>
                <w:color w:val="auto"/>
              </w:rPr>
            </w:pPr>
            <w:r>
              <w:rPr>
                <w:rFonts w:ascii="Arial" w:cs="Arial" w:eastAsia="Arial" w:hAnsi="Arial"/>
                <w:sz w:val="14"/>
                <w:szCs w:val="14"/>
                <w:color w:val="auto"/>
                <w:w w:val="99"/>
              </w:rPr>
              <w:t>—</w:t>
            </w:r>
          </w:p>
        </w:tc>
        <w:tc>
          <w:tcPr>
            <w:tcW w:w="12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18,070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3"/>
                <w:szCs w:val="13"/>
                <w:color w:val="auto"/>
              </w:rPr>
            </w:pPr>
          </w:p>
        </w:tc>
        <w:tc>
          <w:tcPr>
            <w:tcW w:w="1060" w:type="dxa"/>
            <w:vAlign w:val="bottom"/>
            <w:gridSpan w:val="2"/>
          </w:tcPr>
          <w:p>
            <w:pPr>
              <w:jc w:val="right"/>
              <w:ind w:right="162"/>
              <w:spacing w:after="0" w:line="156"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02"/>
              <w:spacing w:after="0"/>
              <w:rPr>
                <w:sz w:val="20"/>
                <w:szCs w:val="20"/>
                <w:color w:val="auto"/>
              </w:rPr>
            </w:pPr>
            <w:r>
              <w:rPr>
                <w:rFonts w:ascii="Arial" w:cs="Arial" w:eastAsia="Arial" w:hAnsi="Arial"/>
                <w:sz w:val="14"/>
                <w:szCs w:val="14"/>
                <w:color w:val="auto"/>
              </w:rPr>
              <w:t>(5,282 )</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(5,282 )</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June 30, 2022</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1,497,912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465,986</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(456,308</w:t>
            </w:r>
          </w:p>
        </w:tc>
        <w:tc>
          <w:tcPr>
            <w:tcW w:w="2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6" w:lineRule="exact"/>
              <w:rPr>
                <w:sz w:val="20"/>
                <w:szCs w:val="20"/>
                <w:color w:val="auto"/>
              </w:rPr>
            </w:pPr>
            <w:r>
              <w:rPr>
                <w:rFonts w:ascii="Arial" w:cs="Arial" w:eastAsia="Arial" w:hAnsi="Arial"/>
                <w:sz w:val="14"/>
                <w:szCs w:val="14"/>
                <w:color w:val="auto"/>
              </w:rPr>
              <w:t>Sale of common stock, net</w:t>
            </w:r>
          </w:p>
        </w:tc>
        <w:tc>
          <w:tcPr>
            <w:tcW w:w="72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ind w:left="46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560" w:type="dxa"/>
            <w:vAlign w:val="bottom"/>
          </w:tcPr>
          <w:p>
            <w:pPr>
              <w:ind w:left="400"/>
              <w:spacing w:after="0" w:line="156" w:lineRule="exact"/>
              <w:rPr>
                <w:sz w:val="20"/>
                <w:szCs w:val="20"/>
                <w:color w:val="auto"/>
              </w:rPr>
            </w:pPr>
            <w:r>
              <w:rPr>
                <w:rFonts w:ascii="Arial" w:cs="Arial" w:eastAsia="Arial" w:hAnsi="Arial"/>
                <w:sz w:val="14"/>
                <w:szCs w:val="14"/>
                <w:color w:val="auto"/>
                <w:w w:val="99"/>
              </w:rPr>
              <w:t>—</w:t>
            </w:r>
          </w:p>
        </w:tc>
        <w:tc>
          <w:tcPr>
            <w:tcW w:w="12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673,421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4"/>
                <w:szCs w:val="14"/>
                <w:color w:val="auto"/>
              </w:rPr>
              <w:t>6,814</w:t>
            </w:r>
          </w:p>
        </w:tc>
        <w:tc>
          <w:tcPr>
            <w:tcW w:w="200" w:type="dxa"/>
            <w:vAlign w:val="bottom"/>
          </w:tcPr>
          <w:p>
            <w:pPr>
              <w:spacing w:after="0"/>
              <w:rPr>
                <w:sz w:val="13"/>
                <w:szCs w:val="13"/>
                <w:color w:val="auto"/>
              </w:rPr>
            </w:pPr>
          </w:p>
        </w:tc>
        <w:tc>
          <w:tcPr>
            <w:tcW w:w="1060" w:type="dxa"/>
            <w:vAlign w:val="bottom"/>
            <w:gridSpan w:val="2"/>
          </w:tcPr>
          <w:p>
            <w:pPr>
              <w:jc w:val="right"/>
              <w:ind w:right="162"/>
              <w:spacing w:after="0" w:line="156"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6,815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02"/>
              <w:spacing w:after="0"/>
              <w:rPr>
                <w:sz w:val="20"/>
                <w:szCs w:val="20"/>
                <w:color w:val="auto"/>
              </w:rPr>
            </w:pPr>
            <w:r>
              <w:rPr>
                <w:rFonts w:ascii="Arial" w:cs="Arial" w:eastAsia="Arial" w:hAnsi="Arial"/>
                <w:sz w:val="14"/>
                <w:szCs w:val="14"/>
                <w:color w:val="auto"/>
              </w:rPr>
              <w:t>(5,219 )</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(5,219 )</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September 30, 2022</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2,171,333</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472,929</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(461,527</w:t>
            </w:r>
          </w:p>
        </w:tc>
        <w:tc>
          <w:tcPr>
            <w:tcW w:w="2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250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2,240,092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473,628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(467,185 ) $</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168,164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Issuance of Series F preferred stock</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2"/>
              <w:spacing w:after="0"/>
              <w:rPr>
                <w:sz w:val="20"/>
                <w:szCs w:val="20"/>
                <w:color w:val="auto"/>
              </w:rPr>
            </w:pPr>
            <w:r>
              <w:rPr>
                <w:rFonts w:ascii="Arial" w:cs="Arial" w:eastAsia="Arial" w:hAnsi="Arial"/>
                <w:sz w:val="14"/>
                <w:szCs w:val="14"/>
                <w:color w:val="auto"/>
              </w:rPr>
              <w:t>(4,805 )</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(4,805 )</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Pr>
          <w:p>
            <w:pPr>
              <w:ind w:left="20"/>
              <w:spacing w:after="0" w:line="155" w:lineRule="exact"/>
              <w:rPr>
                <w:sz w:val="20"/>
                <w:szCs w:val="20"/>
                <w:color w:val="auto"/>
              </w:rPr>
            </w:pPr>
            <w:r>
              <w:rPr>
                <w:rFonts w:ascii="Arial" w:cs="Arial" w:eastAsia="Arial" w:hAnsi="Arial"/>
                <w:sz w:val="14"/>
                <w:szCs w:val="14"/>
                <w:color w:val="auto"/>
              </w:rPr>
              <w:t>Balance at March 31, 2023</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2,408,256</w:t>
            </w:r>
          </w:p>
        </w:tc>
        <w:tc>
          <w:tcPr>
            <w:tcW w:w="8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474,664</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 xml:space="preserve">(471,990 ) </w:t>
            </w:r>
            <w:r>
              <w:rPr>
                <w:rFonts w:ascii="Arial" w:cs="Arial" w:eastAsia="Arial" w:hAnsi="Arial"/>
                <w:sz w:val="18"/>
                <w:szCs w:val="18"/>
                <w:color w:val="auto"/>
                <w:vertAlign w:val="subscript"/>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Redemption of Series F preferred stock</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ind w:left="46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ind w:left="400"/>
              <w:spacing w:after="0" w:line="156"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Fractional adjustment</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(1,310 )</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472,674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2"/>
              <w:spacing w:after="0"/>
              <w:rPr>
                <w:sz w:val="20"/>
                <w:szCs w:val="20"/>
                <w:color w:val="auto"/>
              </w:rPr>
            </w:pPr>
            <w:r>
              <w:rPr>
                <w:rFonts w:ascii="Arial" w:cs="Arial" w:eastAsia="Arial" w:hAnsi="Arial"/>
                <w:sz w:val="14"/>
                <w:szCs w:val="14"/>
                <w:color w:val="auto"/>
              </w:rPr>
              <w:t>(1,482 )</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(1,482 )</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Pr>
          <w:p>
            <w:pPr>
              <w:ind w:left="20"/>
              <w:spacing w:after="0" w:line="155" w:lineRule="exact"/>
              <w:rPr>
                <w:sz w:val="20"/>
                <w:szCs w:val="20"/>
                <w:color w:val="auto"/>
              </w:rPr>
            </w:pPr>
            <w:r>
              <w:rPr>
                <w:rFonts w:ascii="Arial" w:cs="Arial" w:eastAsia="Arial" w:hAnsi="Arial"/>
                <w:sz w:val="14"/>
                <w:szCs w:val="14"/>
                <w:color w:val="auto"/>
              </w:rPr>
              <w:t>Balance at June 30, 2023</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2,879,620</w:t>
            </w:r>
          </w:p>
        </w:tc>
        <w:tc>
          <w:tcPr>
            <w:tcW w:w="8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476,131</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 xml:space="preserve">(473,472 ) </w:t>
            </w:r>
            <w:r>
              <w:rPr>
                <w:rFonts w:ascii="Arial" w:cs="Arial" w:eastAsia="Arial" w:hAnsi="Arial"/>
                <w:sz w:val="18"/>
                <w:szCs w:val="18"/>
                <w:color w:val="auto"/>
                <w:vertAlign w:val="subscript"/>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2,662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Sale of common stock, net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ind w:left="46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3"/>
                <w:szCs w:val="13"/>
                <w:color w:val="auto"/>
              </w:rPr>
            </w:pPr>
          </w:p>
        </w:tc>
        <w:tc>
          <w:tcPr>
            <w:tcW w:w="560" w:type="dxa"/>
            <w:vAlign w:val="bottom"/>
            <w:shd w:val="clear" w:color="auto" w:fill="CFF0FC"/>
          </w:tcPr>
          <w:p>
            <w:pPr>
              <w:ind w:left="400"/>
              <w:spacing w:after="0" w:line="156"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1,589,655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2,954</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for in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00" w:type="dxa"/>
            <w:vAlign w:val="bottom"/>
          </w:tcPr>
          <w:p>
            <w:pPr>
              <w:ind w:left="20"/>
              <w:spacing w:after="0"/>
              <w:rPr>
                <w:sz w:val="20"/>
                <w:szCs w:val="20"/>
                <w:color w:val="auto"/>
              </w:rPr>
            </w:pPr>
            <w:r>
              <w:rPr>
                <w:rFonts w:ascii="Arial" w:cs="Arial" w:eastAsia="Arial" w:hAnsi="Arial"/>
                <w:sz w:val="14"/>
                <w:szCs w:val="14"/>
                <w:color w:val="auto"/>
              </w:rPr>
              <w:t>process research and development</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53,381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2"/>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02"/>
              <w:spacing w:after="0"/>
              <w:rPr>
                <w:sz w:val="20"/>
                <w:szCs w:val="20"/>
                <w:color w:val="auto"/>
              </w:rPr>
            </w:pPr>
            <w:r>
              <w:rPr>
                <w:rFonts w:ascii="Arial" w:cs="Arial" w:eastAsia="Arial" w:hAnsi="Arial"/>
                <w:sz w:val="14"/>
                <w:szCs w:val="14"/>
                <w:color w:val="auto"/>
              </w:rPr>
              <w:t>(3,219 )</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(3,219 )</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September 30, 2023</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ind w:left="46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4,522,656</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479,308</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(476,691</w:t>
            </w:r>
          </w:p>
        </w:tc>
        <w:tc>
          <w:tcPr>
            <w:tcW w:w="2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-3411220</wp:posOffset>
            </wp:positionV>
            <wp:extent cx="519493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94935" cy="13716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-2931160</wp:posOffset>
            </wp:positionV>
            <wp:extent cx="519493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94935" cy="13716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-2451100</wp:posOffset>
            </wp:positionV>
            <wp:extent cx="519493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94935" cy="36004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-1534160</wp:posOffset>
            </wp:positionV>
            <wp:extent cx="7683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-1534160</wp:posOffset>
            </wp:positionV>
            <wp:extent cx="7683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-1534160</wp:posOffset>
            </wp:positionV>
            <wp:extent cx="774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-1534160</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-1534160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-1534160</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-1534160</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-1534160</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-831215</wp:posOffset>
            </wp:positionV>
            <wp:extent cx="7683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-831215</wp:posOffset>
            </wp:positionV>
            <wp:extent cx="7683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-831215</wp:posOffset>
            </wp:positionV>
            <wp:extent cx="7747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-831215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-831215</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-831215</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-831215</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-831215</wp:posOffset>
            </wp:positionV>
            <wp:extent cx="6858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used in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(9,506 )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(14,617 )</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deferred financing costs and debt discount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Stock issued for 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derivative instruments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Amortization of operating lease right-of-use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Increases (decreases) in cash caused by changes in operating assets and liabilities: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Grant receivable</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(91 )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(4,061 )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operating lease liabilities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(101 )</w:t>
            </w: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Deferred grant liability</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(1,643 )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77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6"/>
              </w:rPr>
              <w:t>(10,970 )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(10,738 )</w:t>
            </w:r>
          </w:p>
        </w:tc>
      </w:tr>
      <w:tr>
        <w:trPr>
          <w:trHeight w:val="229"/>
        </w:trPr>
        <w:tc>
          <w:tcPr>
            <w:tcW w:w="772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(118 )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(381 )</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intangible assets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(117 )</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In process research and development acquired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(250 )</w:t>
            </w:r>
          </w:p>
        </w:tc>
      </w:tr>
      <w:tr>
        <w:trPr>
          <w:trHeight w:val="23"/>
        </w:trPr>
        <w:tc>
          <w:tcPr>
            <w:tcW w:w="77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(748 )</w:t>
            </w:r>
          </w:p>
        </w:tc>
      </w:tr>
      <w:tr>
        <w:trPr>
          <w:trHeight w:val="230"/>
        </w:trPr>
        <w:tc>
          <w:tcPr>
            <w:tcW w:w="772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Principal payments of term loan obligation</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(1,206 )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(1,206 )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sale of common stock, net of offering cost of $0.2 million and $0.7 million, respectively</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increase (decrease) in cash and cash equivalents</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(7,114 )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18,400</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11,006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7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Cash paid during period for:</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Interest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Unpaid offering cost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20"/>
                <w:szCs w:val="20"/>
                <w:color w:val="auto"/>
              </w:rPr>
            </w:pPr>
          </w:p>
        </w:tc>
      </w:tr>
      <w:tr>
        <w:trPr>
          <w:trHeight w:val="233"/>
        </w:trPr>
        <w:tc>
          <w:tcPr>
            <w:tcW w:w="7720" w:type="dxa"/>
            <w:vAlign w:val="bottom"/>
          </w:tcPr>
          <w:p>
            <w:pPr>
              <w:ind w:left="380"/>
              <w:spacing w:after="0"/>
              <w:rPr>
                <w:sz w:val="20"/>
                <w:szCs w:val="20"/>
                <w:color w:val="auto"/>
              </w:rPr>
            </w:pPr>
            <w:r>
              <w:rPr>
                <w:rFonts w:ascii="Arial" w:cs="Arial" w:eastAsia="Arial" w:hAnsi="Arial"/>
                <w:sz w:val="16"/>
                <w:szCs w:val="16"/>
                <w:color w:val="auto"/>
              </w:rPr>
              <w:t>Right-of-use assets acquired by assuming operating lease liabilities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5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issued in payment for in process research and development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-3299460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-1816735</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123444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1714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900" w:hanging="892"/>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69" w:lineRule="auto"/>
        <w:rPr>
          <w:sz w:val="20"/>
          <w:szCs w:val="20"/>
          <w:color w:val="auto"/>
        </w:rPr>
      </w:pPr>
      <w:r>
        <w:rPr>
          <w:rFonts w:ascii="Arial" w:cs="Arial" w:eastAsia="Arial" w:hAnsi="Arial"/>
          <w:sz w:val="17"/>
          <w:szCs w:val="17"/>
          <w:color w:val="auto"/>
        </w:rPr>
        <w:t>The accompanying unaudited condensed financial statements for the nine months ended September 30, 2023 and 2022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2022 has been derived from the audited financial statements at December 31, 2022,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(the “Company”) have been included. Operating results for the nine months ended September 30, 2023 are not necessarily indicative of the results that may be expected for the year ending December 31, 2023. These financial statements should be read in conjunction with the financial statements and notes therein included in the Company’s Annual Report on Form 10-K for the year ended December 31, 2022, filed with the Securities and Exchange Commission on February 23, 2023.</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Amendments to Certificate of Incorporation and Reverse Stock Split</w:t>
      </w:r>
    </w:p>
    <w:p>
      <w:pPr>
        <w:spacing w:after="0" w:line="229"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At the Annual Meeting of Stockholders of the Company held on April 20, 2023 (the “Annual Meeting”), the stockholders of the Company approved an amendment to the Company’s Amended and Restated Certificate of Incorporation (the “Charter”) to implement a reverse stock split of the Company’s common stock, par value $0.001 per share, with the ratio to be determined by the Board of Directors (the “Board”) of the Company, within a range of not less than 1-for-3 and not greater than 1-for-15. Subsequently, on April 21, 2023, the Board determined to fix the ratio for the reverse stock split at 1-for-15, without any change to its par value (the "Reverse Stock Split").</w:t>
      </w:r>
    </w:p>
    <w:p>
      <w:pPr>
        <w:spacing w:after="0" w:line="176"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On April 27, 2023, following stockholder and Board approval, the Company filed a Certificate of Amendment to its Charter (the “Amendment”), with the Secretary of State of the State of Delaware to effectuate the Reverse Stock Split. The Amendment became effective on May 1, 2023. Upon effectiveness of the Reverse Stock Split, the number of shares of the Company’s common stock (x) issued and outstanding decreased from approximately 37.4 million shares to approximately 2.5 million shares; (y) reserved for issuance upon exercise of outstanding warrants and options decreased from approximately 2.0 million shares to approximately 0.1 million shares, and (z) reserved but unallocated under the Company’s current equity incentive plans decreased from approximately 3.0 million common shares to approximately 0.2 million common shares. The Company's common stock began trading on the NASDAQ Capital Market on a post-split basis on May 1, 2023. The Company’s 5,000,000 shares of authorized Preferred Stock were not affected by the Reverse Stock Split. No fractional shares were issued in connection with the Reverse Stock Split, and accordingly, the outstanding number of shares post Reverse Stock Split was adjusted down by approximately 1,310 (post-effect of Reverse Stock Split) shares. Proportional adjustments for the reverse stock split were made to the Company’s outstanding stock options, warrants and equity incentive plans for all periods presented in the condensed financial statements in this Form 10-Q. The Company’s financial statements, and all references thereto have been retroactively adjusted to reflect the reverse split unless specifically stated otherwise.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Grant Receivable and Revenue Recognition</w:t>
      </w:r>
    </w:p>
    <w:p>
      <w:pPr>
        <w:spacing w:after="0" w:line="121"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the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The Company also considers the guidance in ASC Topic 730, Research and Development,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left="520"/>
        <w:spacing w:after="0" w:line="308" w:lineRule="auto"/>
        <w:rPr>
          <w:sz w:val="20"/>
          <w:szCs w:val="20"/>
          <w:color w:val="auto"/>
        </w:rPr>
      </w:pPr>
      <w:r>
        <w:rPr>
          <w:rFonts w:ascii="Arial" w:cs="Arial" w:eastAsia="Arial" w:hAnsi="Arial"/>
          <w:sz w:val="17"/>
          <w:szCs w:val="17"/>
          <w:color w:val="auto"/>
        </w:rPr>
        <w:t>Grant receivable represents qualified expenses incurred to date in excess of the amounts submitted for reimbursement. Deferred grant liability represents grant funds received or receivable for which the allowable expenses have not yet been incurred as of the balance sheet date.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was permitted beginning in 2019. The Company adopted the new guidance as of January 1, 2023, which did not have a material impact on its financial statements and related disclosures.</w:t>
      </w:r>
    </w:p>
    <w:p>
      <w:pPr>
        <w:spacing w:after="0" w:line="215" w:lineRule="exact"/>
        <w:rPr>
          <w:sz w:val="20"/>
          <w:szCs w:val="20"/>
          <w:color w:val="auto"/>
        </w:rPr>
      </w:pPr>
    </w:p>
    <w:p>
      <w:pPr>
        <w:ind w:left="900" w:hanging="891"/>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520"/>
        <w:spacing w:after="0" w:line="30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reviewing assets for impairment and determining the assumptions used in measuring stock-based compensation expense.</w:t>
      </w:r>
    </w:p>
    <w:p>
      <w:pPr>
        <w:spacing w:after="0" w:line="315" w:lineRule="exact"/>
        <w:rPr>
          <w:sz w:val="20"/>
          <w:szCs w:val="20"/>
          <w:color w:val="auto"/>
        </w:rPr>
      </w:pPr>
    </w:p>
    <w:p>
      <w:pPr>
        <w:ind w:left="900" w:hanging="892"/>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The Company incurred a net loss of $9.5 million for the nine months ended September 30, 2023. The Company had an accumulated deficit of $476.7 million as of September 30, 2023. Additionally, the Company used net cash of $11.0 million to fund its operating activities for the nine months ended September 30, 2023. The Company's term loan (Note 5) matures on June 1, 2024 with total principal and final payment of $4.4 million due upon maturity. These factors raise substantial doubt about the Company’s ability to continue as a going concern.</w:t>
      </w:r>
    </w:p>
    <w:p>
      <w:pPr>
        <w:spacing w:after="0" w:line="63"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To date, the Company’s operating losses have been funded primarily from outside sources of invested capital from issuance of its common and preferred stocks, proceeds from its term loan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could cause the Company to default on its term loan.</w:t>
      </w:r>
    </w:p>
    <w:p>
      <w:pPr>
        <w:spacing w:after="0" w:line="176"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18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Nasdaq’s notice had no immediate effect on the listing or trading of the Company’s common stock. On November 22, 2022, the Company received a second letter from Nasdaq advising that the Company had been granted an additional 180 calendar days, or to May 22, 2023, to regain compliance with the Minimum Bid Requirement, in accordance with Nasdaq Listing Rule 5810(c)(3)(A).</w:t>
      </w:r>
    </w:p>
    <w:p>
      <w:pPr>
        <w:spacing w:after="0" w:line="184"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On April 20, 2023, the Company held its annual meeting of stockholders and its stockholders approved an amendment to the Company’s Charter, to effect a reverse stock split of its issued and outstanding shares of common stock, at a specific ratio, ranging from one-for-three (1:3) to one-for-fifteen (1:15). After receiving approval from the Board, on April 27, 2023, the Company filed the Amendment with the Secretary of State of the State of Delaware, to implement the Reverse Stock Split at the one-for-fifteen ratio (1:15). The Reverse Stock Split was effective on May 1, 2023, and the Company’s common stock began trading on The Nasdaq Capital Market on a post-split basis on May 1, 2023. On May 15, 2023, the Company received written notice from Nasdaq notifying the Company that it had regained compliance with the Minimum Bid Requirement.</w:t>
      </w:r>
    </w:p>
    <w:p>
      <w:pPr>
        <w:spacing w:after="0" w:line="16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continues to seek additional capital from other financing alternatives and other sources. Without additional capital, current working capital will not provide adequate funding for research and product development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Should the Company fail to raise additional cash from outside sources, this would have a material adverse impact on its operations.</w:t>
      </w:r>
    </w:p>
    <w:p>
      <w:pPr>
        <w:spacing w:after="0" w:line="22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3" w:lineRule="exact"/>
        <w:rPr>
          <w:sz w:val="20"/>
          <w:szCs w:val="20"/>
          <w:color w:val="auto"/>
        </w:rPr>
      </w:pPr>
    </w:p>
    <w:p>
      <w:pPr>
        <w:ind w:left="860" w:hanging="852"/>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9"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30"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right="160"/>
        <w:spacing w:after="0" w:line="263" w:lineRule="auto"/>
        <w:rPr>
          <w:sz w:val="20"/>
          <w:szCs w:val="20"/>
          <w:color w:val="auto"/>
        </w:rPr>
      </w:pPr>
      <w:r>
        <w:rPr>
          <w:rFonts w:ascii="Arial" w:cs="Arial" w:eastAsia="Arial" w:hAnsi="Arial"/>
          <w:sz w:val="18"/>
          <w:szCs w:val="18"/>
          <w:color w:val="auto"/>
        </w:rPr>
        <w:t>The Company has investments in money market accounts, which are included in cash and cash equivalents on the balance sheets. Fair value inputs for these investments are considered Level 1 measurements within the fair value hierarchy since money market account fair values are known and observable through daily published floating net asset values.</w:t>
      </w:r>
    </w:p>
    <w:p>
      <w:pPr>
        <w:spacing w:after="0" w:line="18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following table summarizes the Company’s fair value hierarchy for its financial assets and liabilities measured at fair value on a recurring basis as of September 30, 2023 and December 31, 2022, respectively.</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3"/>
              </w:rPr>
              <w:t>Fair Value Measurements Using</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10,688,964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10,688,964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0"/>
                <w:szCs w:val="20"/>
                <w:color w:val="auto"/>
              </w:rPr>
            </w:pPr>
          </w:p>
        </w:tc>
      </w:tr>
      <w:tr>
        <w:trPr>
          <w:trHeight w:val="409"/>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3"/>
              </w:rPr>
              <w:t>Fair Value Measurements Using</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17,573,584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17,573,584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Certain warrants issued in an underwritten public offering in September 2019 (the “Series U Warrants”) are classified as liability instruments. The Company estimated the fair value of the Series U Warrants with the Black Scholes model. Because some of the 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8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September 30, 2023, the fair value of the Series U Warrants was immaterial, and the change in the fair value of liability classified Series U Warrants during the three and nine months ended September 30, 2023 and 2022 was immaterial.</w:t>
      </w:r>
    </w:p>
    <w:p>
      <w:pPr>
        <w:spacing w:after="0" w:line="183"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Obligations</w:t>
      </w:r>
    </w:p>
    <w:p>
      <w:pPr>
        <w:spacing w:after="0" w:line="243"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w:t>
      </w:r>
    </w:p>
    <w:p>
      <w:pPr>
        <w:spacing w:after="0" w:line="8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From September 2017 to March 2020, the Company entered into a total of nine amendments to the Term Loan that, among other things, extended the interest only period, required repayment of $3.1 million using the proceeds received from sale of the Company’s former UK and Japan subsidiaries in April 2019, increased the final payment, increased the final payment fee upon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left="520" w:right="20"/>
        <w:spacing w:after="0" w:line="308" w:lineRule="auto"/>
        <w:rPr>
          <w:sz w:val="20"/>
          <w:szCs w:val="20"/>
          <w:color w:val="auto"/>
        </w:rPr>
      </w:pPr>
      <w:r>
        <w:rPr>
          <w:rFonts w:ascii="Arial" w:cs="Arial" w:eastAsia="Arial" w:hAnsi="Arial"/>
          <w:sz w:val="17"/>
          <w:szCs w:val="17"/>
          <w:color w:val="auto"/>
        </w:rPr>
        <w:t>maturity or early repayment of the Term Loan, increased the minimum liquidity covenant level to $2.0 million and deferred the start date of principal repayment from May 1, 2020 to May 1, 2021 and extended the term of the Term Loan from September 1, 2021 to June 1, 2024.</w:t>
      </w:r>
    </w:p>
    <w:p>
      <w:pPr>
        <w:spacing w:after="0" w:line="52"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June 28, 2023, the Company and Oxford entered into a tenth amendment to the Loan and Security Agreement (the “Tenth Amendment”), and revised the interest rate of the Loan to the greater of: (1) 8.95%, or (2) the sum of 1-month Secured Overnight Financing Rate and 8.05%, effective July 1, 2023.</w:t>
      </w:r>
    </w:p>
    <w:p>
      <w:pPr>
        <w:spacing w:after="0" w:line="76"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September 30, 2023, there was $1.2 million principal amount outstanding under the Term Loan, excluding the $3.2 million final payment fee, and the Company was in compliance with all of the debt covenants under the Loan and Security Agreement.</w:t>
      </w:r>
    </w:p>
    <w:p>
      <w:pPr>
        <w:spacing w:after="0" w:line="84"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Company’s interest expense for the three and nine months ended September 30, 2023 and 2022 was $0.1 million and $0.2 million, and $0.3 million and $0.6 million, respectively. Interest expense is calculated using the effective interest method; therefore it is inclusive of non-cash amortization in the amount of $41,000 and $0.2 million for the three and nine months ended September 30, 2023, and $0.1 and $0.3 million for the three and nine months ended September 30, 2022, respectively, related to the amortization of the debt discount, capitalized loan costs, and accretion of final payment.</w:t>
      </w:r>
    </w:p>
    <w:p>
      <w:pPr>
        <w:spacing w:after="0" w:line="80"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September 30, 2023, the Company has not received any notification or indication from Oxford that it intends to invoke the material adverse change clause.</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Loss per Share</w:t>
      </w:r>
    </w:p>
    <w:p>
      <w:pPr>
        <w:spacing w:after="0" w:line="121"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dilutive common shares were related to outstanding but unexercised options, multiple series of convertible preferred stock, and warrants for all periods presented.</w:t>
      </w:r>
    </w:p>
    <w:p>
      <w:pPr>
        <w:spacing w:after="0" w:line="82"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color w:val="auto"/>
        </w:rPr>
        <w:t>The following were excluded from the diluted loss per share calculation for the three and nine month periods presented because their effect would be anti-dilutive:</w:t>
      </w:r>
    </w:p>
    <w:p>
      <w:pPr>
        <w:spacing w:after="0" w:line="351"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w w:val="94"/>
              </w:rPr>
              <w:t>September 30, 2023</w:t>
            </w:r>
          </w:p>
        </w:tc>
        <w:tc>
          <w:tcPr>
            <w:tcW w:w="6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1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141,077</w:t>
            </w:r>
          </w:p>
        </w:tc>
        <w:tc>
          <w:tcPr>
            <w:tcW w:w="360" w:type="dxa"/>
            <w:vAlign w:val="bottom"/>
            <w:shd w:val="clear" w:color="auto" w:fill="CFF0FC"/>
          </w:tcPr>
          <w:p>
            <w:pPr>
              <w:spacing w:after="0"/>
              <w:rPr>
                <w:sz w:val="20"/>
                <w:szCs w:val="20"/>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78,334</w:t>
            </w:r>
          </w:p>
        </w:tc>
        <w:tc>
          <w:tcPr>
            <w:tcW w:w="100" w:type="dxa"/>
            <w:vAlign w:val="bottom"/>
            <w:shd w:val="clear" w:color="auto" w:fill="CFF0FC"/>
          </w:tcPr>
          <w:p>
            <w:pPr>
              <w:spacing w:after="0"/>
              <w:rPr>
                <w:sz w:val="20"/>
                <w:szCs w:val="20"/>
                <w:color w:val="auto"/>
              </w:rPr>
            </w:pPr>
          </w:p>
        </w:tc>
      </w:tr>
      <w:tr>
        <w:trPr>
          <w:trHeight w:val="23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Outstanding warrants</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142,733</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142,747</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stock</w:t>
            </w:r>
          </w:p>
        </w:tc>
        <w:tc>
          <w:tcPr>
            <w:tcW w:w="19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28,190</w:t>
            </w:r>
          </w:p>
        </w:tc>
        <w:tc>
          <w:tcPr>
            <w:tcW w:w="36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312,000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249,271</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232"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Grant Revenue</w:t>
      </w:r>
    </w:p>
    <w:p>
      <w:pPr>
        <w:spacing w:after="0" w:line="121" w:lineRule="exact"/>
        <w:rPr>
          <w:sz w:val="20"/>
          <w:szCs w:val="20"/>
          <w:color w:val="auto"/>
        </w:rPr>
      </w:pPr>
    </w:p>
    <w:p>
      <w:pPr>
        <w:jc w:val="both"/>
        <w:ind w:left="520"/>
        <w:spacing w:after="0" w:line="257" w:lineRule="auto"/>
        <w:rPr>
          <w:sz w:val="20"/>
          <w:szCs w:val="20"/>
          <w:color w:val="auto"/>
        </w:rPr>
      </w:pPr>
      <w:r>
        <w:rPr>
          <w:rFonts w:ascii="Arial" w:cs="Arial" w:eastAsia="Arial" w:hAnsi="Arial"/>
          <w:sz w:val="16"/>
          <w:szCs w:val="16"/>
          <w:color w:val="auto"/>
        </w:rPr>
        <w:t>On September 19, 2022, the Company entered into the CPRIT Contract, effective as of August 31, 2022, with CPRIT, pursuant to which CPRIT will provide the Company with the CPRIT Grant over a three-year period to fund the continued development of rhenium (</w:t>
      </w:r>
      <w:r>
        <w:rPr>
          <w:rFonts w:ascii="Arial" w:cs="Arial" w:eastAsia="Arial" w:hAnsi="Arial"/>
          <w:sz w:val="21"/>
          <w:szCs w:val="21"/>
          <w:color w:val="auto"/>
          <w:vertAlign w:val="superscript"/>
        </w:rPr>
        <w:t>186</w:t>
      </w:r>
      <w:r>
        <w:rPr>
          <w:rFonts w:ascii="Arial" w:cs="Arial" w:eastAsia="Arial" w:hAnsi="Arial"/>
          <w:sz w:val="16"/>
          <w:szCs w:val="16"/>
          <w:color w:val="auto"/>
        </w:rPr>
        <w:t xml:space="preserve">Re) obisbemeda (previously known as </w:t>
      </w:r>
      <w:r>
        <w:rPr>
          <w:rFonts w:ascii="Arial" w:cs="Arial" w:eastAsia="Arial" w:hAnsi="Arial"/>
          <w:sz w:val="21"/>
          <w:szCs w:val="21"/>
          <w:color w:val="auto"/>
          <w:vertAlign w:val="superscript"/>
        </w:rPr>
        <w:t>186</w:t>
      </w:r>
      <w:r>
        <w:rPr>
          <w:rFonts w:ascii="Arial" w:cs="Arial" w:eastAsia="Arial" w:hAnsi="Arial"/>
          <w:sz w:val="16"/>
          <w:szCs w:val="16"/>
          <w:color w:val="auto"/>
        </w:rPr>
        <w:t>RNL)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based on specific dollar thresholds and tiered low single digit royalty rates until CPRIT receives the aggregate amount of 400% of the proceeds awarded under the CPRIT Grant, and certain reporting requirements.</w:t>
      </w:r>
    </w:p>
    <w:p>
      <w:pPr>
        <w:spacing w:after="0" w:line="78"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left="520"/>
        <w:spacing w:after="0" w:line="259" w:lineRule="auto"/>
        <w:rPr>
          <w:sz w:val="20"/>
          <w:szCs w:val="20"/>
          <w:color w:val="auto"/>
        </w:rPr>
      </w:pPr>
      <w:r>
        <w:rPr>
          <w:rFonts w:ascii="Arial" w:cs="Arial" w:eastAsia="Arial" w:hAnsi="Arial"/>
          <w:sz w:val="18"/>
          <w:szCs w:val="18"/>
          <w:color w:val="auto"/>
        </w:rPr>
        <w:t>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79"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retains ownership over any intellectual property developed under the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88" w:lineRule="exact"/>
        <w:rPr>
          <w:sz w:val="20"/>
          <w:szCs w:val="20"/>
          <w:color w:val="auto"/>
        </w:rPr>
      </w:pPr>
    </w:p>
    <w:p>
      <w:pPr>
        <w:jc w:val="both"/>
        <w:ind w:left="520" w:right="20"/>
        <w:spacing w:after="0" w:line="342" w:lineRule="auto"/>
        <w:rPr>
          <w:sz w:val="20"/>
          <w:szCs w:val="20"/>
          <w:color w:val="auto"/>
        </w:rPr>
      </w:pPr>
      <w:r>
        <w:rPr>
          <w:rFonts w:ascii="Arial" w:cs="Arial" w:eastAsia="Arial" w:hAnsi="Arial"/>
          <w:sz w:val="16"/>
          <w:szCs w:val="16"/>
          <w:color w:val="auto"/>
        </w:rPr>
        <w:t>The Company determined that the CPRIT Contract is not in the scope of ASC 808, ASC 958-605, or ASC 606. Applying IAS 20 by analogy, the Company recognizes proceeds received under the CPRIT Contract as grant revenue on the statement of operations when related costs are incurred.</w:t>
      </w:r>
    </w:p>
    <w:p>
      <w:pPr>
        <w:spacing w:after="0" w:line="124" w:lineRule="exact"/>
        <w:rPr>
          <w:sz w:val="20"/>
          <w:szCs w:val="20"/>
          <w:color w:val="auto"/>
        </w:rPr>
      </w:pPr>
    </w:p>
    <w:p>
      <w:pPr>
        <w:ind w:left="520" w:right="20"/>
        <w:spacing w:after="0" w:line="296" w:lineRule="auto"/>
        <w:rPr>
          <w:sz w:val="20"/>
          <w:szCs w:val="20"/>
          <w:color w:val="auto"/>
        </w:rPr>
      </w:pPr>
      <w:r>
        <w:rPr>
          <w:rFonts w:ascii="Arial" w:cs="Arial" w:eastAsia="Arial" w:hAnsi="Arial"/>
          <w:sz w:val="16"/>
          <w:szCs w:val="16"/>
          <w:color w:val="auto"/>
        </w:rPr>
        <w:t>During the three months ended June 30, 2023, the Company identified eligible costs of approximately $637,000 and $168,000 that were incurred in the fourth quarter of 2022 and the three months ended March 31, 2023, respectively, that were reimbursable under the CPRIT arrangement. The Company determined that these costs should have been recorded in these respective periods as grant revenue. The Company assessed the impact of this error on the Company’s previously issued financial statements and determined that it was immaterial. As a result, an out-of-period adjustment of approximately $805,000 has been recorded as an increase in grant revenue in the nine months ended September 30, 2023.</w:t>
      </w:r>
    </w:p>
    <w:p>
      <w:pPr>
        <w:spacing w:after="0" w:line="161"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The Company recognized $1.2 million and $3.6 million in grant revenue from the CPRIT Contract during the three and nine months ended September 30, 2023, respectively. The Company recognized $73,000 of CPRIT revenue in the three and nine months ended September 30, 2022.</w:t>
      </w:r>
    </w:p>
    <w:p>
      <w:pPr>
        <w:spacing w:after="0" w:line="187" w:lineRule="exact"/>
        <w:rPr>
          <w:sz w:val="20"/>
          <w:szCs w:val="20"/>
          <w:color w:val="auto"/>
        </w:rPr>
      </w:pPr>
    </w:p>
    <w:p>
      <w:pPr>
        <w:ind w:left="520" w:right="8260" w:hanging="512"/>
        <w:spacing w:after="0" w:line="377" w:lineRule="auto"/>
        <w:tabs>
          <w:tab w:leader="none" w:pos="44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Leases</w:t>
      </w:r>
    </w:p>
    <w:p>
      <w:pPr>
        <w:spacing w:after="0" w:line="2"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The Charlottesville Lease is currently set to expire on March 31, 2024, and is renewable twice for twelve months each time. On March 31, 2023, Company believed that it 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as a discount rate of 13.47%.</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Services Agreement and Sales Order with Medidata</w:t>
      </w:r>
    </w:p>
    <w:p>
      <w:pPr>
        <w:spacing w:after="0" w:line="117"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On March 31, 2022, the Company and Medidata Solutions, Inc. (“Medidata”) entered into a Sales Order (the “Sales Order”), pursuant to which Medidata will build a Synthetic Control Arm</w:t>
      </w:r>
      <w:r>
        <w:rPr>
          <w:rFonts w:ascii="Arial" w:cs="Arial" w:eastAsia="Arial" w:hAnsi="Arial"/>
          <w:sz w:val="20"/>
          <w:szCs w:val="20"/>
          <w:color w:val="auto"/>
          <w:vertAlign w:val="superscript"/>
        </w:rPr>
        <w:t>®</w:t>
      </w:r>
      <w:r>
        <w:rPr>
          <w:rFonts w:ascii="Arial" w:cs="Arial" w:eastAsia="Arial" w:hAnsi="Arial"/>
          <w:sz w:val="18"/>
          <w:szCs w:val="18"/>
          <w:color w:val="auto"/>
        </w:rPr>
        <w:t xml:space="preserve"> (“SCA”) platform that facilitates the use of historical clinical data to incorporate into the Company’s Phase 2 clinical trial of rhenium (</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 recurrent glioblastoma (“GBM”). The Sales Order is governed under the terms of a services agreement, dated November 5, 2021.</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Sales Order had a term of six months, and work under the Sales Order has been completed.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Piramal Master Services Agreement</w:t>
      </w:r>
    </w:p>
    <w:p>
      <w:pPr>
        <w:spacing w:after="0" w:line="117"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 xml:space="preserve">On January 8, 2021, the Company entered into a Master Services Agreement (the “MSA”) with Piramal Pharma Solutions, Inc. (“Piramal”), for Piramal to perform certain services related to the development, manufacture, and supply of the Company’s rhenium </w:t>
      </w:r>
      <w:r>
        <w:rPr>
          <w:rFonts w:ascii="Arial" w:cs="Arial" w:eastAsia="Arial" w:hAnsi="Arial"/>
          <w:sz w:val="21"/>
          <w:szCs w:val="21"/>
          <w:color w:val="auto"/>
        </w:rPr>
        <w:t>(</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83"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September 30, 2023, the Company did not have any clinical research study obligations.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On December 9, 2022, the Company entered into a settlement agreement (the “Settlement Agreement”) with Lorem Vascular, Pte. Ltd. (“Lorem”) to settle a prior litigation matter. Under the terms of the Settlement Agreement, the Company made a payment to Lorem, and Lorem moved to dismiss the lawsuit with prejudice. The Settlement Agreement released the Company from all claims made by Lorem. The parties to the Settlement Agreement recognized that it did not constitute an admission of liability, wrongdoing, or any matter of fact or law. The Settlement was conditioned on the customary terms contained in the Settlement Agreement and was approved by the Court and the case was dismissed on January 17, 2023. As of December 31, 2022, the Company accrued the settlement amount, as well as the accounts that the Company has confirmed to be recoverable under its insurance claims on the matter. The net amount of $1.4 million that was not recoverable under the Company’s insurance has been reflected as an expense in the condensed statement of operations for the year ended December 31, 2022. The full settlement amount was paid in January 2023. All legal costs related to the Lorem Claim were expensed as incurred.</w:t>
      </w:r>
    </w:p>
    <w:p>
      <w:pPr>
        <w:spacing w:after="0" w:line="86"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61" w:lineRule="exact"/>
        <w:rPr>
          <w:sz w:val="20"/>
          <w:szCs w:val="20"/>
          <w:color w:val="auto"/>
        </w:rPr>
      </w:pPr>
    </w:p>
    <w:p>
      <w:pPr>
        <w:ind w:left="520" w:right="8760" w:hanging="512"/>
        <w:spacing w:after="0" w:line="504" w:lineRule="auto"/>
        <w:tabs>
          <w:tab w:leader="none" w:pos="3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i w:val="1"/>
          <w:iCs w:val="1"/>
          <w:color w:val="auto"/>
        </w:rPr>
        <w:t>Biocept License Agreement</w:t>
      </w:r>
    </w:p>
    <w:p>
      <w:pPr>
        <w:spacing w:after="0" w:line="1"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On September 7, 2023, the Company entered into a Non-Exclusive License and Services Agreement (the “Biocept Agreement”) with Biocept, Inc (“Biocept”), pursuant to which Biocept granted the Company a non-exclusive license to use the Biocept proprietary cell enumeration test, CNsideTM. In exchange for the license, the Company issued to Biocept 53,381 unregistered shares, the fair value of which was $75,000. The Biocept Agreement also provides that if Biocept fully transfers the technology to the Company, a tech transfer and validation fee of $300,000 will be payable. In addition, the Company was granted an option for an exclusive worldwide license for $1,000,000 on or before December 31, 2024, to process and perform cell enumeration testing for treatments for other patients including those on the Company’s radiotherapeutic drugs.</w:t>
      </w:r>
    </w:p>
    <w:p>
      <w:pPr>
        <w:spacing w:after="0" w:line="164"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On October 16, 2023, Biocept filed a voluntary petition for relief under the provisions of Chapter 7 of Title 11 of the United States Bankruptcy Code, making the full transfer of the Biocept technology to the Company unlikely. In addition, the Biocept Agreement is subject to provisions under the Bankruptcy Code.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UT Health Science Center at San Antonio (“UTHSCSA”) License Agreement</w:t>
      </w:r>
    </w:p>
    <w:p>
      <w:pPr>
        <w:spacing w:after="0" w:line="11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8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Pursuant to the UTHSCSA License Agreement, the Company was required to make an upfront payment, which was recorded as in process research and development acquired in the condensed statement of operations for the year ended December 31, 2021. The upfront payment of $0.3 million was paid in cash in January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NanoTx License Agreement</w:t>
      </w:r>
    </w:p>
    <w:p>
      <w:pPr>
        <w:spacing w:after="0" w:line="11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 w:name="page14"/>
    <w:bookmarkEnd w:id="13"/>
    <w:p>
      <w:pPr>
        <w:jc w:val="both"/>
        <w:ind w:left="520"/>
        <w:spacing w:after="0" w:line="275" w:lineRule="auto"/>
        <w:rPr>
          <w:sz w:val="20"/>
          <w:szCs w:val="20"/>
          <w:color w:val="auto"/>
        </w:rPr>
      </w:pPr>
      <w:r>
        <w:rPr>
          <w:rFonts w:ascii="Arial" w:cs="Arial" w:eastAsia="Arial" w:hAnsi="Arial"/>
          <w:sz w:val="17"/>
          <w:szCs w:val="17"/>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September 30, 2023, the Company accrued $1.3 million of payments due to NanoTx as a result of the CPRIT grant received (Note 7).</w:t>
      </w:r>
    </w:p>
    <w:p>
      <w:pPr>
        <w:spacing w:after="0" w:line="172" w:lineRule="exact"/>
        <w:rPr>
          <w:sz w:val="20"/>
          <w:szCs w:val="20"/>
          <w:color w:val="auto"/>
        </w:rPr>
      </w:pPr>
    </w:p>
    <w:p>
      <w:pPr>
        <w:ind w:left="520" w:right="9240" w:hanging="512"/>
        <w:spacing w:after="0" w:line="425" w:lineRule="auto"/>
        <w:tabs>
          <w:tab w:leader="none" w:pos="37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Preferred Stock</w:t>
      </w:r>
    </w:p>
    <w:p>
      <w:pPr>
        <w:jc w:val="both"/>
        <w:ind w:left="520"/>
        <w:spacing w:after="0" w:line="342" w:lineRule="auto"/>
        <w:rPr>
          <w:sz w:val="20"/>
          <w:szCs w:val="20"/>
          <w:color w:val="auto"/>
        </w:rPr>
      </w:pPr>
      <w:r>
        <w:rPr>
          <w:rFonts w:ascii="Arial" w:cs="Arial" w:eastAsia="Arial" w:hAnsi="Arial"/>
          <w:sz w:val="16"/>
          <w:szCs w:val="16"/>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Series F Preferred Stock</w:t>
      </w:r>
    </w:p>
    <w:p>
      <w:pPr>
        <w:spacing w:after="0" w:line="117"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will have 50,000,000 votes per share of Series F Preferred Stock and will vote together with the Company’s common stock, $0.001 par value (the “Common Stock”) as a single class exclusively with respect to any proposal to amend the Company’s Charter to effect a reverse stock split of the Common Stock (the “Reverse Stock Split”). On March 3, 2023, the Company entered into a Subscription and Investment Representation Agreement (the “Subscription Agreement”) with Richard J. Hawkins, Chairman of the board of directors of the Company, who is an accredited investor (the “Purchaser”), pursuant to which the Company agreed to issue and sell one (1) share of the Company’s Series F Preferred Stock, par value $0.001 per share (the “Preferred Stock”), to the Purchaser for $1,000 in cash. The sale closed on March 3, 2023.</w:t>
      </w:r>
    </w:p>
    <w:p>
      <w:pPr>
        <w:spacing w:after="0" w:line="73"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At the Company’s annual meeting of stockholders held on April 20, 2023, the Series F Preferred Stock was voted, without action by the holder, on the proposal to approve the Reverse Stock Split in the same proportion as shares of Common Stock voted to approve the Reverse Stock Split. The Series F Preferred Stock otherwise had no voting rights except as otherwise required by the General Corporation Law of the State of Delaware.</w:t>
      </w:r>
    </w:p>
    <w:p>
      <w:pPr>
        <w:spacing w:after="0" w:line="4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Series F Preferred Stock was not convertible into, or exchangeable for, shares of any other class or series of stock or other securities of the Company. The Series F Preferred Stock had no rights with respect to any distribution of assets of the Company, including upon a liquidation, bankruptcy, reorganization, merger, acquisition, sale, dissolution or winding up of the Company, whether voluntarily or involuntarily. The holder of the Series F Preferred Stock was not entitled to receive dividends of any kind.</w:t>
      </w:r>
    </w:p>
    <w:p>
      <w:pPr>
        <w:spacing w:after="0" w:line="79" w:lineRule="exact"/>
        <w:rPr>
          <w:sz w:val="20"/>
          <w:szCs w:val="20"/>
          <w:color w:val="auto"/>
        </w:rPr>
      </w:pPr>
    </w:p>
    <w:p>
      <w:pPr>
        <w:jc w:val="both"/>
        <w:ind w:left="520"/>
        <w:spacing w:after="0" w:line="342" w:lineRule="auto"/>
        <w:rPr>
          <w:sz w:val="20"/>
          <w:szCs w:val="20"/>
          <w:color w:val="auto"/>
        </w:rPr>
      </w:pPr>
      <w:r>
        <w:rPr>
          <w:rFonts w:ascii="Arial" w:cs="Arial" w:eastAsia="Arial" w:hAnsi="Arial"/>
          <w:sz w:val="16"/>
          <w:szCs w:val="16"/>
          <w:color w:val="auto"/>
        </w:rPr>
        <w:t>The outstanding share of Series F Preferred Stock was redeemed in whole, automatically effective upon the approval by the Company’s stockholders of a Reverse Stock Split. Upon such redemption, the holder of the Series F Preferred Stock received consideration of $1,000 in cash.</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Series B and C Preferred Stock</w:t>
      </w:r>
    </w:p>
    <w:p>
      <w:pPr>
        <w:spacing w:after="0" w:line="117" w:lineRule="exact"/>
        <w:rPr>
          <w:sz w:val="20"/>
          <w:szCs w:val="20"/>
          <w:color w:val="auto"/>
        </w:rPr>
      </w:pPr>
    </w:p>
    <w:p>
      <w:pPr>
        <w:jc w:val="both"/>
        <w:ind w:left="520"/>
        <w:spacing w:after="0" w:line="342" w:lineRule="auto"/>
        <w:rPr>
          <w:sz w:val="20"/>
          <w:szCs w:val="20"/>
          <w:color w:val="auto"/>
        </w:rPr>
      </w:pPr>
      <w:r>
        <w:rPr>
          <w:rFonts w:ascii="Arial" w:cs="Arial" w:eastAsia="Arial" w:hAnsi="Arial"/>
          <w:sz w:val="16"/>
          <w:szCs w:val="16"/>
          <w:color w:val="auto"/>
        </w:rPr>
        <w:t>As of September 30, 2023,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On September 25, 2019, the Company completed an underwritten public offering. The Company issued 19,266 shares of its common stock, along with pre-funded warrants to purchase 180,733 shares of its common stock and Series U Warrants to purchase 230,000 shares of its common stock at $75.00 per share. The Series U Warrants have a term of five years from the issuance date. In addition, the Company issued warrants to H.C. Wainwright &amp; Co., LLC, as representatives of the underwriters, to purchase 5,000 shares of its common stock at $93.75 per share with a term of 5 years from the issuance date, in the form of Series U Warrants (the “Representative Warrants”).</w:t>
      </w:r>
    </w:p>
    <w:p>
      <w:pPr>
        <w:spacing w:after="0" w:line="68"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As of September 30, 2023, there were 142,733 outstanding Series U Warrants which can be exercised into an aggregate of 142,733 shares of common stock at a weighted average exercise price of $34.10 per share.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Lincoln Park Purchase Agreements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execution of the 2022 Purchase Agreement, the Company paid $125,000 in cash as the initial commitment fee, and issued 32,846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approximately 527,166 shares under the First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2023, a second registration statement (the “Second Registration Statement”) was declared effective to cover the resale of up to an additional 1,500,000 shares of the Company’s common stock that the Company reserved for issuance and sale to Lincoln Park under the 2022 Purchase Agreement from time to time. The Company cannot sell more shares than registered under the Second Registration Statement under the 2022 Purchase Agreement without registering additional shares.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August 17, 2022 to December 31, 2022, the Company issued 266,666 shares under the 2022 Purchase Agreement for net proceeds of approximately $3.2 million. The Company issued 410,500 shares under the 2022 Purchase Agreement for net proceeds of approximately $1.0 million from January 1, 2023 to September 30, 2023.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2021, the Company issued 379,012 shares of its common stock under the 2020 Purchase Agreement for net proceeds of approximately $12.5 million. During the year ended December 31, 2022, the Company issued 377,666 shares of its common stock under the 2020 Purchase Agreement for net proceeds of approximately $7.0 million. The Company no longer has any additional shares of common stock registered to sell under the 2020 Purchase Agreement and has terminated the 2020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9, 2022, the Company entered into an Equity Distribution Agreement (the “September 2022 Distribution Agreement”) with Canaccord Genuity LLC (“Canaccord”), pursuant to which the Company may issue and sell, from time to time, shares of its common stock having an aggregate offering price of up to $5,000,000, depending on market demand, with Canaccord acting as an agent for sales. Sales of the Company’s common stock may be made by any method permitted by law deemed to be an “at-the-market offering” as defined in Rule 415(a)(4) of the Securities Act of 1933, as amended (the “Securities Act”), including, without limitation, sales made directly on or through the NASDAQ Capital Market. Canaccord will use its commercially</w:t>
      </w:r>
    </w:p>
    <w:p>
      <w:pPr>
        <w:spacing w:after="0" w:line="19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9" w:right="339" w:bottom="1440" w:gutter="0" w:footer="0" w:header="0"/>
        </w:sectPr>
      </w:pPr>
    </w:p>
    <w:bookmarkStart w:id="15" w:name="page16"/>
    <w:bookmarkEnd w:id="15"/>
    <w:p>
      <w:pPr>
        <w:jc w:val="both"/>
        <w:ind w:left="520"/>
        <w:spacing w:after="0" w:line="271" w:lineRule="auto"/>
        <w:rPr>
          <w:sz w:val="20"/>
          <w:szCs w:val="20"/>
          <w:color w:val="auto"/>
        </w:rPr>
      </w:pPr>
      <w:r>
        <w:rPr>
          <w:rFonts w:ascii="Arial" w:cs="Arial" w:eastAsia="Arial" w:hAnsi="Arial"/>
          <w:sz w:val="17"/>
          <w:szCs w:val="17"/>
          <w:color w:val="auto"/>
        </w:rPr>
        <w:t>reasonable efforts to sell common stock requested by the Company to be sold on its behalf, consistent with Canaccord’s normal trading and sales practices, under the terms and subject to the conditions set forth in the September 2022 Distribution Agreement. The Company has no obligation to sell any of its common stock. The Company may instruct Canaccord not to sell any common stock if the sales cannot be effected at or above the price designated by the Company from time to time and the Company may at any time suspend sales pursuant to the September 2022 Distribution Agreement. During the period from September 9, 2022 to December 31, 2022, the Company issued 68,758 shares of its common stock under the September 2022 Distribution Agreement for net proceeds of approximately $0.6 million. From January 1, 2023 through September 30, 2023, the Company issued 1,819,993 shares under the September 2022 Distribution Agreement for net proceeds of approximately $4.3 million. The Company has reached the capacity for sales of shares under the September 2022 Distribution Agreement.</w:t>
      </w:r>
    </w:p>
    <w:p>
      <w:pPr>
        <w:spacing w:after="0" w:line="178"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is obligated to pay Canaccord a commission of up to 3.0% of the gross proceeds from the sale of its common stock under the September 2022 Distribution Agreement. The Company has also agreed to reimburse Canaccord for its reasonable documented out-of-pocket expenses, including fees and disbursements of its counsel, in the amount of $50,000. In addition, the Company has agreed to provide customary indemnification rights to Canaccord.</w:t>
      </w:r>
    </w:p>
    <w:p>
      <w:pPr>
        <w:spacing w:after="0" w:line="187" w:lineRule="exact"/>
        <w:rPr>
          <w:sz w:val="20"/>
          <w:szCs w:val="20"/>
          <w:color w:val="auto"/>
        </w:rPr>
      </w:pPr>
    </w:p>
    <w:p>
      <w:pPr>
        <w:jc w:val="both"/>
        <w:ind w:left="520" w:right="20"/>
        <w:spacing w:after="0" w:line="263" w:lineRule="auto"/>
        <w:rPr>
          <w:sz w:val="20"/>
          <w:szCs w:val="20"/>
          <w:color w:val="auto"/>
        </w:rPr>
      </w:pPr>
      <w:r>
        <w:rPr>
          <w:rFonts w:ascii="Arial" w:cs="Arial" w:eastAsia="Arial" w:hAnsi="Arial"/>
          <w:sz w:val="18"/>
          <w:szCs w:val="18"/>
          <w:color w:val="auto"/>
        </w:rPr>
        <w:t>The offering pursuant to the September 2022 Distribution Agreement will terminate upon the earlier of (1) the issuance and sale of all shares of the Company’s common stock subject to the September 2022 Distribution Agreement, or (2) the termination of the September 2022 Distribution Agreement as permitted therein, including by either party at any time without liability of any party.</w:t>
      </w:r>
    </w:p>
    <w:p>
      <w:pPr>
        <w:spacing w:after="0" w:line="184" w:lineRule="exact"/>
        <w:rPr>
          <w:sz w:val="20"/>
          <w:szCs w:val="20"/>
          <w:color w:val="auto"/>
        </w:rPr>
      </w:pPr>
    </w:p>
    <w:p>
      <w:pPr>
        <w:jc w:val="both"/>
        <w:ind w:left="520"/>
        <w:spacing w:after="0" w:line="272" w:lineRule="auto"/>
        <w:rPr>
          <w:sz w:val="20"/>
          <w:szCs w:val="20"/>
          <w:color w:val="auto"/>
        </w:rPr>
      </w:pPr>
      <w:r>
        <w:rPr>
          <w:rFonts w:ascii="Arial" w:cs="Arial" w:eastAsia="Arial" w:hAnsi="Arial"/>
          <w:sz w:val="17"/>
          <w:szCs w:val="17"/>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2022, the Company issued 460,151 shares under the January 2022 Distribution Agreement for net proceeds of approximately $4.8 million. The January 2022 Distribution Agreement has been terminated after all available registered shares were fully utilized.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3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September 30, 2023, there were 6,023 shares of common stock remaining and available for future issuances under the 2015 Plan.</w:t>
      </w:r>
    </w:p>
    <w:p>
      <w:pPr>
        <w:spacing w:after="0" w:line="18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236,666 shares of common stock, plus the number of shares available for issuance is increased to the extent that awards granted under the 2020 Plan and the Company’s 2014 Equity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Incentive Plan are forfeited or expire (except as otherwise provided in the 2020 Plan). As of September 30, 2023, there were 179,640 shares remaining and available for future issuances under the 2020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the nine months ended September 30, 2023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Exercise Price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260" w:type="dxa"/>
            <w:vAlign w:val="bottom"/>
          </w:tcPr>
          <w:p>
            <w:pPr>
              <w:spacing w:after="0"/>
              <w:rPr>
                <w:sz w:val="15"/>
                <w:szCs w:val="15"/>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78,334</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68,422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Cancelled/forfeited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(5,679 )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325.82</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September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141,077</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37.47</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Borders>
              <w:top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tcPr>
          <w:p>
            <w:pPr>
              <w:jc w:val="right"/>
              <w:ind w:right="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September 30,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65,008</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65.51</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Vested and expected to be vested as of September 30, 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133,570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38.83</w:t>
            </w:r>
          </w:p>
        </w:tc>
        <w:tc>
          <w:tcPr>
            <w:tcW w:w="1200" w:type="dxa"/>
            <w:vAlign w:val="bottom"/>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-548005</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-205105</wp:posOffset>
            </wp:positionV>
            <wp:extent cx="6858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2023, the total compensation cost related to non-vested stock options not yet recognized for all the Company’s plans is approximately $0.8 million, which is expected to be recognized as a result of vesting under service conditions over a weighted average period of 1.95 years.</w:t>
      </w:r>
    </w:p>
    <w:p>
      <w:pPr>
        <w:spacing w:after="0" w:line="40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2022, as filed on February 23, 2023.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2022, in other subsequent filings with the SEC, and elsewhere in this Form 10-Q. These statements, like all statements in this report, speak only as of the date of this Form 10-Q (unless another date is indicated), and we undertake no obligation to update or revise these statements in light of future developments.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right="3680"/>
        <w:spacing w:after="0" w:line="422" w:lineRule="auto"/>
        <w:rPr>
          <w:sz w:val="20"/>
          <w:szCs w:val="20"/>
          <w:color w:val="auto"/>
        </w:rPr>
      </w:pPr>
      <w:r>
        <w:rPr>
          <w:rFonts w:ascii="Arial" w:cs="Arial" w:eastAsia="Arial" w:hAnsi="Arial"/>
          <w:sz w:val="16"/>
          <w:szCs w:val="16"/>
          <w:color w:val="auto"/>
        </w:rPr>
        <w:t>Overview that discusses our operating results and some of the trends that affect our business. Results of Operations that includes a more detailed discussion of our revenue and expenses.</w:t>
      </w:r>
    </w:p>
    <w:p>
      <w:pPr>
        <w:ind w:left="900" w:hanging="15"/>
        <w:spacing w:after="0" w:line="277" w:lineRule="auto"/>
        <w:rPr>
          <w:sz w:val="20"/>
          <w:szCs w:val="20"/>
          <w:color w:val="auto"/>
        </w:rPr>
      </w:pPr>
      <w:r>
        <w:rPr>
          <w:rFonts w:ascii="Arial" w:cs="Arial" w:eastAsia="Arial" w:hAnsi="Arial"/>
          <w:sz w:val="18"/>
          <w:szCs w:val="18"/>
          <w:color w:val="auto"/>
        </w:rPr>
        <w:t>Liquidity and Capital Resources that discusses key aspects of our statements of cash flows, changes in our financial position and our financial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3"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18"/>
          <w:szCs w:val="18"/>
          <w:color w:val="auto"/>
        </w:rPr>
        <w:t>Our lead radiotherapeutic candidate,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(formerly, “</w:t>
      </w:r>
      <w:r>
        <w:rPr>
          <w:rFonts w:ascii="Arial" w:cs="Arial" w:eastAsia="Arial" w:hAnsi="Arial"/>
          <w:sz w:val="24"/>
          <w:szCs w:val="24"/>
          <w:color w:val="auto"/>
          <w:vertAlign w:val="superscript"/>
        </w:rPr>
        <w:t>186</w:t>
      </w:r>
      <w:r>
        <w:rPr>
          <w:rFonts w:ascii="Arial" w:cs="Arial" w:eastAsia="Arial" w:hAnsi="Arial"/>
          <w:sz w:val="18"/>
          <w:szCs w:val="18"/>
          <w:color w:val="auto"/>
        </w:rPr>
        <w:t>RNL”),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Arial" w:cs="Arial" w:eastAsia="Arial" w:hAnsi="Arial"/>
          <w:sz w:val="24"/>
          <w:szCs w:val="24"/>
          <w:color w:val="auto"/>
          <w:vertAlign w:val="superscript"/>
        </w:rPr>
        <w:t>188</w:t>
      </w:r>
      <w:r>
        <w:rPr>
          <w:rFonts w:ascii="Arial" w:cs="Arial" w:eastAsia="Arial" w:hAnsi="Arial"/>
          <w:sz w:val="18"/>
          <w:szCs w:val="18"/>
          <w:color w:val="auto"/>
        </w:rPr>
        <w:t>RNL-BAM”) is designed to treat many solid organ cancers including primary and secondary liver cancers by intra-arterial injection.</w:t>
      </w:r>
    </w:p>
    <w:p>
      <w:pPr>
        <w:spacing w:after="0" w:line="2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7"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In addition to our headquarters in Austin, we have an established, GMP-validated research and development and manufacturing facility in San Antonio, Texas, tailored to produce Current Good Manufacturing Practice (“cGMP</w:t>
      </w:r>
      <w:r>
        <w:rPr>
          <w:rFonts w:ascii="Arial" w:cs="Arial" w:eastAsia="Arial" w:hAnsi="Arial"/>
          <w:sz w:val="18"/>
          <w:szCs w:val="18"/>
          <w:i w:val="1"/>
          <w:iCs w:val="1"/>
          <w:color w:val="auto"/>
        </w:rPr>
        <w:t>”</w:t>
      </w:r>
      <w:r>
        <w:rPr>
          <w:rFonts w:ascii="Arial" w:cs="Arial" w:eastAsia="Arial" w:hAnsi="Arial"/>
          <w:sz w:val="18"/>
          <w:szCs w:val="18"/>
          <w:color w:val="auto"/>
        </w:rPr>
        <w:t>)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ongoing and planned Phase 2 and Phase 3 clinical trials in patients with GBM, LM and PBC.</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Pipeline</w:t>
      </w:r>
    </w:p>
    <w:p>
      <w:pPr>
        <w:spacing w:after="0" w:line="166" w:lineRule="exact"/>
        <w:rPr>
          <w:sz w:val="20"/>
          <w:szCs w:val="20"/>
          <w:color w:val="auto"/>
        </w:rPr>
      </w:pPr>
    </w:p>
    <w:p>
      <w:pPr>
        <w:jc w:val="both"/>
        <w:ind w:firstLine="749"/>
        <w:spacing w:after="0" w:line="221" w:lineRule="auto"/>
        <w:rPr>
          <w:sz w:val="20"/>
          <w:szCs w:val="20"/>
          <w:color w:val="auto"/>
        </w:rPr>
      </w:pPr>
      <w:r>
        <w:rPr>
          <w:rFonts w:ascii="Arial" w:cs="Arial" w:eastAsia="Arial" w:hAnsi="Arial"/>
          <w:sz w:val="17"/>
          <w:szCs w:val="17"/>
          <w:color w:val="auto"/>
        </w:rPr>
        <w:t>Our most advanced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a patented radiotherapy potentially useful for patients with CNS and other cancers. Preclinical study data describing the use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several cancer targets have been published in peer-reviewed journals and reported at a variety of medical society peer-reviewed meetings. Besides GBM, LM and PBC,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been reported to have potential applications for head and neck cancer, ovarian cancer, breast cancer and peritoneal metastases.</w:t>
      </w:r>
    </w:p>
    <w:p>
      <w:pPr>
        <w:spacing w:after="0" w:line="10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The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technology was part of a licensed radiotherapeutic portfolio that we acquired from NanoTx, Corp.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recurrent GBM through the completion of a Phase 2 clinical trial, including enrollment of up to 55 patients.</w:t>
      </w:r>
    </w:p>
    <w:p>
      <w:pPr>
        <w:spacing w:after="0" w:line="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On August 29, 2022, we announced feedback from a Type C meeting with the FDA regarding Chemistry, Manufacturing and Controls (“CMC”) practices. The meeting focused on our cGMP clinical and commercial manufacturing process for our lead investigational targeted radiotherapeutic, BMEDA-chelated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recurrent GBM.</w:t>
      </w:r>
    </w:p>
    <w:p>
      <w:pPr>
        <w:spacing w:after="0" w:line="101"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The FDA indicated agreement with our proposed application of cGMP guidance for radiotherapeutics, small molecule drug products and liposome drug products for our novel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used in other clinical development programs, including LM and PBC.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 (</w:t>
      </w:r>
      <w:r>
        <w:rPr>
          <w:rFonts w:ascii="Arial" w:cs="Arial" w:eastAsia="Arial" w:hAnsi="Arial"/>
          <w:sz w:val="24"/>
          <w:szCs w:val="24"/>
          <w:i w:val="1"/>
          <w:iCs w:val="1"/>
          <w:color w:val="auto"/>
          <w:vertAlign w:val="superscript"/>
        </w:rPr>
        <w:t>186</w:t>
      </w:r>
      <w:r>
        <w:rPr>
          <w:rFonts w:ascii="Arial" w:cs="Arial" w:eastAsia="Arial" w:hAnsi="Arial"/>
          <w:sz w:val="18"/>
          <w:szCs w:val="18"/>
          <w:i w:val="1"/>
          <w:iCs w:val="1"/>
          <w:color w:val="auto"/>
        </w:rPr>
        <w:t>Re) obisbemeda versus External Beam Radiation Therapy for Recurrent GBM</w:t>
      </w:r>
    </w:p>
    <w:p>
      <w:pPr>
        <w:spacing w:after="0" w:line="6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a novel injectable radiotherapy designed to deliver targeted, high dose radiation directly into GBM tumors in a safe, effective, and convenient manner that may ultimately prolong patient survival.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compared to standard external beam radiotherapy or EBRT include:</w:t>
      </w:r>
    </w:p>
    <w:p>
      <w:pPr>
        <w:spacing w:after="0" w:line="6" w:lineRule="exact"/>
        <w:rPr>
          <w:sz w:val="20"/>
          <w:szCs w:val="20"/>
          <w:color w:val="auto"/>
        </w:rPr>
      </w:pPr>
    </w:p>
    <w:p>
      <w:pPr>
        <w:jc w:val="both"/>
        <w:ind w:left="1140" w:hanging="519"/>
        <w:spacing w:after="0" w:line="23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ind w:left="1140" w:hanging="519"/>
        <w:spacing w:after="0" w:line="22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can be visualized in real-time during administration, possibly giving clinicians better control of radiation dosing, distribution and retention.</w:t>
      </w:r>
    </w:p>
    <w:p>
      <w:pPr>
        <w:ind w:left="1140" w:right="20" w:hanging="519"/>
        <w:spacing w:after="0" w:line="22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potentially more effectively treats a bulk tumor and microscopic disease that has already invaded healthy tissue.</w:t>
      </w:r>
    </w:p>
    <w:p>
      <w:pPr>
        <w:jc w:val="both"/>
        <w:ind w:left="1140" w:hanging="519"/>
        <w:spacing w:after="0" w:line="251"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Arial" w:cs="Arial" w:eastAsia="Arial" w:hAnsi="Arial"/>
          <w:sz w:val="17"/>
          <w:szCs w:val="17"/>
          <w:color w:val="auto"/>
        </w:rPr>
      </w:pPr>
    </w:p>
    <w:p>
      <w:pPr>
        <w:ind w:left="1140" w:hanging="519"/>
        <w:spacing w:after="0" w:line="239"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ReSPECT-GBM Trial for Recurrent GBM</w:t>
      </w:r>
    </w:p>
    <w:p>
      <w:pPr>
        <w:spacing w:after="0" w:line="22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749"/>
        <w:spacing w:after="0" w:line="277" w:lineRule="auto"/>
        <w:rPr>
          <w:sz w:val="20"/>
          <w:szCs w:val="20"/>
          <w:color w:val="auto"/>
        </w:rPr>
      </w:pPr>
      <w:r>
        <w:rPr>
          <w:rFonts w:ascii="Arial" w:cs="Arial" w:eastAsia="Arial" w:hAnsi="Arial"/>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7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designed for and provides patient tolerability and safety. Though no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head-to-head trial with chemo, immune, EBRT or systemic radiopharmaceutical products have been conducted, patient tolerability and safety considerations have been reported as expected.</w:t>
      </w:r>
    </w:p>
    <w:p>
      <w:pPr>
        <w:spacing w:after="0" w:line="19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Interim results from our ongoing Phase 1/2a ReSPECT-GBM trial (ClinicalTrials.gov NCT01906385) show that the beta particle energy from our lead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19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In September 2020, the FDA granted both Orphan Drug designation and Fast Track designations to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patients with GBM. In November 2021, the FDA granted Fast Track designation for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LM.</w:t>
      </w:r>
    </w:p>
    <w:p>
      <w:pPr>
        <w:spacing w:after="0" w:line="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under clinical investigation in a multicenter, sequential cohort, open-label, volume and dose escalation study of the safety, tolerability, and distribution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dose and will expand exploring higher radiation doses in larger volumes to treat larger tumors. Additionally, two or more rhenium</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24"/>
          <w:szCs w:val="24"/>
          <w:color w:val="auto"/>
          <w:vertAlign w:val="superscript"/>
        </w:rPr>
        <w:t>186</w:t>
      </w:r>
      <w:r>
        <w:rPr>
          <w:rFonts w:ascii="Arial" w:cs="Arial" w:eastAsia="Arial" w:hAnsi="Arial"/>
          <w:sz w:val="18"/>
          <w:szCs w:val="18"/>
          <w:color w:val="auto"/>
        </w:rPr>
        <w:t>Re) obisbemeda administrations, if indicated, will be evaluated, and reviewed with the FDA, as well as expanded safety, imaging and efficacy data to support a planned future registrational trial.</w:t>
      </w:r>
    </w:p>
    <w:p>
      <w:pPr>
        <w:spacing w:after="0" w:line="20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6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in approximately 24 months.</w:t>
      </w:r>
    </w:p>
    <w:p>
      <w:pPr>
        <w:spacing w:after="0" w:line="188" w:lineRule="exact"/>
        <w:rPr>
          <w:sz w:val="20"/>
          <w:szCs w:val="20"/>
          <w:color w:val="auto"/>
        </w:rPr>
      </w:pPr>
    </w:p>
    <w:p>
      <w:pPr>
        <w:jc w:val="both"/>
        <w:ind w:right="20" w:firstLine="749"/>
        <w:spacing w:after="0" w:line="216" w:lineRule="auto"/>
        <w:rPr>
          <w:sz w:val="20"/>
          <w:szCs w:val="20"/>
          <w:color w:val="auto"/>
        </w:rPr>
      </w:pPr>
      <w:r>
        <w:rPr>
          <w:rFonts w:ascii="Arial" w:cs="Arial" w:eastAsia="Arial" w:hAnsi="Arial"/>
          <w:sz w:val="18"/>
          <w:szCs w:val="18"/>
          <w:color w:val="auto"/>
        </w:rPr>
        <w:t xml:space="preserve">In June 2023, we presented data regarding the safety and feasibility results from our Phase 1/2 Clinical Trial of </w:t>
      </w:r>
      <w:r>
        <w:rPr>
          <w:rFonts w:ascii="Arial" w:cs="Arial" w:eastAsia="Arial" w:hAnsi="Arial"/>
          <w:sz w:val="24"/>
          <w:szCs w:val="24"/>
          <w:color w:val="auto"/>
          <w:vertAlign w:val="superscript"/>
        </w:rPr>
        <w:t>186</w:t>
      </w:r>
      <w:r>
        <w:rPr>
          <w:rFonts w:ascii="Arial" w:cs="Arial" w:eastAsia="Arial" w:hAnsi="Arial"/>
          <w:sz w:val="18"/>
          <w:szCs w:val="18"/>
          <w:color w:val="auto"/>
        </w:rPr>
        <w:t>RNL (Rhenium-186 Nanoliposome)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Recurrent Glioma: The ReSPECT-GBM Trial at the Society of Nuclear Medicine &amp; Molecular Imaging Annual Meeting.</w:t>
      </w:r>
    </w:p>
    <w:p>
      <w:pPr>
        <w:spacing w:after="0" w:line="20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March 31, 2022, we entered into a Sales Order (the “Sales Order”) with Medidata Solutions, Inc. (“Medidata”), pursuant to which Medidata built a Synthetic Control Arm® (“SCA”) platform that facilitates the use of historical clinical data to incorporate into our Phase 2 clinical trial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GBM. The Sales Order had a term of six (6) months. Work under this Sales Order has been completed. As part of this collaboration, we jointly submitted with Medidata a historical clinical trials control arm methodology abstract (“HCA”) to American Society of Clinical Oncology (“ASCO”) which was accepted for publication, further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strengthening this collaboration and allowing applications to advance GBM development. We plan to use the HCA for breakthrough therapy designation and Phase 2 and/or a pivotal or registrational Phase 3 trial.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ReSPECT-LM Clinical Trial for LM</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The ReSPECT-LM Phase 1 clinical trial (ClinicalTrials.gov NCT05034497) was preceded with preclinical studies in which tolerance to doses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7"/>
          <w:szCs w:val="17"/>
          <w:color w:val="auto"/>
        </w:rPr>
        <w:t>Upon receiving acceptance of our Investigational New Drug application and Fast Track designation by the FDA for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LM, we initiated the trial and began screening patients for the ReSPECT-LM Phase 1 clinical trial in Q4 2021.</w:t>
      </w:r>
    </w:p>
    <w:p>
      <w:pPr>
        <w:spacing w:after="0" w:line="9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ReSPECT-LM is a multi-center, sequential cohort, open-label, dose escalation study evaluating the safety, tolerability, and efficacy of a single-dose application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w:t>
      </w:r>
    </w:p>
    <w:p>
      <w:pPr>
        <w:spacing w:after="0" w:line="9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7"/>
          <w:szCs w:val="17"/>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based on specific dollar thresholds until CPRIT receives the aggregate amount of 400% of the proceeds awarded under the CPRIT Grant, and certain reporting requirements.</w:t>
      </w:r>
    </w:p>
    <w:p>
      <w:pPr>
        <w:spacing w:after="0" w:line="20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Interim results showed that a single treatment with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showed a consistent decreased CSF tumor cell count/ml and was very well tolerated by all LM patients.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distribution throughout the subarachnoid space. On October 10, 2023, we announced we had completed Cohort 4 of the ReSPECT-LM Phase 1/2a dose escalation trial.</w:t>
      </w:r>
    </w:p>
    <w:p>
      <w:pPr>
        <w:spacing w:after="0" w:line="199"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18"/>
          <w:szCs w:val="18"/>
          <w:color w:val="auto"/>
        </w:rPr>
        <w:t>A single dose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at 6.6 millicurie (“mCi”) in 5.0 mL, in Cohort 1, achieved absorbed doses of 18.7 to 29.0 Gy to the ventricles and cranial subarachnoid spaces, respectively. Cohort 2 has also completed with a 13.2 mCi administered dose in 5ml and was also well tolerated. Cohort 3 enrolled three patients through early April 2023 with a 26.4 mCi administered dose.</w:t>
      </w:r>
    </w:p>
    <w:p>
      <w:pPr>
        <w:spacing w:after="0" w:line="203"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On August 10, 2023, we presented data from the ReSPECT-LM clinical trial of rhenium (186Re) obismeda at the Society for Neuro Oncology ASCO CNS Cancer Conference.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ReSPECT-PBC Clinical Trial for Pediatric Brain Cancer</w:t>
      </w:r>
    </w:p>
    <w:p>
      <w:pPr>
        <w:spacing w:after="0" w:line="22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Since the initial FDA feedback and receiving important adult GBM data and experience with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and follow-up communications with the FDA, we plan to submit a pediatric brain tumor IND to investigate the use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obisbemeda in two pediatric brain cancers, high-grade glioma and ependymoma, in the fourth quarter of 2023 or the first quarter of 2024.</w:t>
      </w:r>
    </w:p>
    <w:p>
      <w:pPr>
        <w:spacing w:after="0" w:line="22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6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Overall, pediatric HGG and ependymoma are extremely difficult-to-treat pediatric brain tumors, frequently aggressive, and in recurrent settings, carry an extremely poor prognosis.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Rhenium-188 NanoLiposome Biodegradable Alginate Microsphere Technology</w:t>
      </w:r>
    </w:p>
    <w:p>
      <w:pPr>
        <w:spacing w:after="0" w:line="22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 xml:space="preserve">In January 2022, we announced that we licensed Biodegradable Alginate Microsphere (“BAM”) patents and technology from The University of Texas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Arial" w:cs="Arial" w:eastAsia="Arial" w:hAnsi="Arial"/>
          <w:sz w:val="19"/>
          <w:szCs w:val="19"/>
          <w:color w:val="auto"/>
          <w:vertAlign w:val="superscript"/>
        </w:rPr>
        <w:t>188</w:t>
      </w:r>
      <w:r>
        <w:rPr>
          <w:rFonts w:ascii="Arial" w:cs="Arial" w:eastAsia="Arial" w:hAnsi="Arial"/>
          <w:sz w:val="17"/>
          <w:szCs w:val="17"/>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7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18"/>
          <w:szCs w:val="18"/>
          <w:color w:val="auto"/>
        </w:rPr>
        <w:t xml:space="preserve">Preclinical data from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embolization experiment in which Technetium99m-BAM was intra-arterially delivered to a bovine kidney perfusion model was presented at the recent 2021 Society of Interventional Radiology Annual Scientific Meeting. The study concluded that the technology required for radiolabeling BAM could successfully deliver, embolize and retain radiation in the target organ. </w:t>
      </w:r>
      <w:r>
        <w:rPr>
          <w:rFonts w:ascii="Arial" w:cs="Arial" w:eastAsia="Arial" w:hAnsi="Arial"/>
          <w:sz w:val="24"/>
          <w:szCs w:val="24"/>
          <w:color w:val="auto"/>
          <w:vertAlign w:val="superscript"/>
        </w:rPr>
        <w:t>188</w:t>
      </w:r>
      <w:r>
        <w:rPr>
          <w:rFonts w:ascii="Arial" w:cs="Arial" w:eastAsia="Arial" w:hAnsi="Arial"/>
          <w:sz w:val="18"/>
          <w:szCs w:val="18"/>
          <w:color w:val="auto"/>
        </w:rPr>
        <w:t xml:space="preserve">RNL-BAM is a preclinical investigational drug we intend to further develop and move into clinical trials. Specifically, in 2022 we transferred the </w:t>
      </w:r>
      <w:r>
        <w:rPr>
          <w:rFonts w:ascii="Arial" w:cs="Arial" w:eastAsia="Arial" w:hAnsi="Arial"/>
          <w:sz w:val="24"/>
          <w:szCs w:val="24"/>
          <w:color w:val="auto"/>
          <w:vertAlign w:val="superscript"/>
        </w:rPr>
        <w:t>188</w:t>
      </w:r>
      <w:r>
        <w:rPr>
          <w:rFonts w:ascii="Arial" w:cs="Arial" w:eastAsia="Arial" w:hAnsi="Arial"/>
          <w:sz w:val="18"/>
          <w:szCs w:val="18"/>
          <w:color w:val="auto"/>
        </w:rPr>
        <w:t>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Biocept License Agreement</w:t>
      </w:r>
    </w:p>
    <w:p>
      <w:pPr>
        <w:spacing w:after="0" w:line="22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On September 7, 2023, we entered into a Non-Exclusive License and Services Agreement (the “Biocept Agreement”) with Biocept, Inc (“Biocept”), pursuant to which Biocept granted us a non-exclusive license to use the Biocept proprietary cell enumeration test, CNsideTM. In exchange for the license, we issued to Biocept 53,381 unregistered shares, the fair value of which was $75,000. The Biocept Agreement also provides that if Biocept fully transfers the technology to us, a tech transfer and validation fee of $300,000 will be payable. In addition, we were granted an option for an exclusive worldwide license for $1,000,000 on or before December 31, 2024, to process and perform cell enumeration testing for treatments for other patients including those on our radiotherapeutic drugs.</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October 16, 2023, Biocept filed a voluntary petition for relief under the provisions of Chapter 7 of Title 11 of the United States Bankruptcy Code, making the full transfer of the Biocept technology to us unlikely. In addition, the Biocept Agreement is subject to provisions under the Bankruptcy Code.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Agreement with CPRIT</w:t>
      </w:r>
    </w:p>
    <w:p>
      <w:pPr>
        <w:spacing w:after="0" w:line="225"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18"/>
          <w:szCs w:val="18"/>
          <w:color w:val="auto"/>
        </w:rPr>
        <w:t>As noted above in the LM development discussion, on September 19, 2022, we entered into the CPRIT Contract, effective as of August 31, 2022, with CPRIT, pursuant to which CPRIT will provide us the CPRIT Grant over a three-year period to fund the continued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 The CPRIT Grant is subject to customary CPRIT funding conditions, including, but not limited to, a matching fund requirement (one dollar from Plus Therapeutics for every two dollars awarded by CPRIT), revenue sharing obligations upon commercialization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based on specific dollar thresholds until CPRIT receives the aggregate amount of 400% of the proceeds awarded under the CPRIT Grant, and certain reporting requirements.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760"/>
        <w:spacing w:after="0"/>
        <w:rPr>
          <w:sz w:val="20"/>
          <w:szCs w:val="20"/>
          <w:color w:val="auto"/>
        </w:rPr>
      </w:pPr>
      <w:r>
        <w:rPr>
          <w:rFonts w:ascii="Arial" w:cs="Arial" w:eastAsia="Arial" w:hAnsi="Arial"/>
          <w:sz w:val="18"/>
          <w:szCs w:val="18"/>
          <w:color w:val="auto"/>
        </w:rPr>
        <w:t>Refer to the “Liquidity and Capital Resources” section below for information on our recent financings.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25" w:lineRule="exact"/>
        <w:rPr>
          <w:sz w:val="20"/>
          <w:szCs w:val="20"/>
          <w:color w:val="auto"/>
        </w:rPr>
      </w:pPr>
    </w:p>
    <w:p>
      <w:pPr>
        <w:jc w:val="both"/>
        <w:ind w:right="20" w:firstLine="749"/>
        <w:spacing w:after="0" w:line="285" w:lineRule="auto"/>
        <w:rPr>
          <w:sz w:val="20"/>
          <w:szCs w:val="20"/>
          <w:color w:val="auto"/>
        </w:rPr>
      </w:pPr>
      <w:r>
        <w:rPr>
          <w:rFonts w:ascii="Arial" w:cs="Arial" w:eastAsia="Arial" w:hAnsi="Arial"/>
          <w:sz w:val="18"/>
          <w:szCs w:val="18"/>
          <w:color w:val="auto"/>
        </w:rPr>
        <w:t>We recognized $1.2 million and $3.6 million of grant revenue during the three and nine months ended September 30, 2023, which represents CPRIT’s share of the costs incurred for our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development for the treatment of patients with LM.</w:t>
      </w:r>
    </w:p>
    <w:p>
      <w:pPr>
        <w:spacing w:after="0" w:line="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expect grant revenue will continue to increase during the remainder of 2023 and the remaining term of the CPRIT Grant through August 2025, as we plan to expand the LM clinical trial to add clinical sites and enroll patients. The ability to continue to access the grant remains subject to additional FDA approval of the LM clinical trial, ability to deliver expanded drug supply and continued enrollment of patients. In addition, grant revenue amounts will vary quarter to quarter based on enrollment, mandated safety periods between cohorts and required interactions with FDA.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following table summarizes the components of our research and development expenses for the three and nine months ended September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6,896</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The decrease of $0.5 million in research and development expenses for the three months ended September 30, 2023 as compared to the same period in 2022 was due primarily to a decrease of $1.1 million in development of cGMP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offset by an increase of $1.0 million from LM clinical trial expenses compared to $0 in the same period in 2022, a license agreement payment of $0.4 million to NanoTx resulting from the first patient treated in the GBM phase 2 trial and $0.1 million of expenses for Biocept Agreement. In addition, there was a $0.7 million reduction related to professional and legal expenses and a $0.2 million decrease of travel related and other expenses.</w:t>
      </w:r>
    </w:p>
    <w:p>
      <w:pPr>
        <w:spacing w:after="0" w:line="18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decrease of $0.7 million in research and development expenses for the nine months ended September 30, 2023 as compared to the same period in 2022 was due primarily to a decrease of $2.6 million in development of cGMP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 decrease of $1.9 million of professional and legal expenses, offset by a license agreement payment of $1.2 million to NanoTx resulting from the first patient treated in the GBM phase 2 trial, $2.5 million from treatment of patients for LM clinical trial in 2023 compared to $0 in the same period in 2022, and $0.1 million of expenses for Biocept Agreement incurred in the third quarter of 2023.</w:t>
      </w:r>
    </w:p>
    <w:p>
      <w:pPr>
        <w:spacing w:after="0" w:line="20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We expect aggregate research and development expenditures to increase significantly during the remainder of 2023 as compared to the corresponding comparable period ended December 31, 2022, due to increased costs for </w:t>
      </w:r>
      <w:r>
        <w:rPr>
          <w:rFonts w:ascii="Arial" w:cs="Arial" w:eastAsia="Arial" w:hAnsi="Arial"/>
          <w:sz w:val="18"/>
          <w:szCs w:val="18"/>
          <w:i w:val="1"/>
          <w:iCs w:val="1"/>
          <w:color w:val="auto"/>
        </w:rPr>
        <w:t>ReSPECT-LM</w:t>
      </w:r>
      <w:r>
        <w:rPr>
          <w:rFonts w:ascii="Arial" w:cs="Arial" w:eastAsia="Arial" w:hAnsi="Arial"/>
          <w:sz w:val="18"/>
          <w:szCs w:val="18"/>
          <w:color w:val="auto"/>
        </w:rPr>
        <w:t xml:space="preserve"> clinical trial under the CPRIT grant, increases in licensing payments, offset by reduced research and development spend on the cGMP development.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nine months ended September 30, 2023 and 2022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tbl>
      <w:tblPr>
        <w:tblLayout w:type="fixed"/>
        <w:tblInd w:w="46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w w:val="99"/>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1,866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FF0FC"/>
          </w:tcPr>
          <w:p>
            <w:pPr>
              <w:spacing w:after="0"/>
              <w:rPr>
                <w:sz w:val="20"/>
                <w:szCs w:val="20"/>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1,998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General and administrative expenses decreased by approximately $0.2 million during the three months ended September 30, 2023, as compared to the same period in 2022. The decrease was due primarily to a decrease in legal expenses of $0.2 million.</w:t>
      </w:r>
    </w:p>
    <w:p>
      <w:pPr>
        <w:spacing w:after="0" w:line="1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General and administrative expenses decreased by approximately $0.5 million during the nine months ended September 30, 2023, as compared to the same period in 2022. The decrease was due primarily to a decrease of legal expenses of $0.5 million from expenditure incurred in 2022 related to litigation that was settled in the fourth quarter of 2022.</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expect general and administrative expenditures to remain generally consistent during the remainder of 2023 as compared with the corresponding comparable period ended December 31, 2022, exclusive of the impact of the one-time legal settlement costs and settlement related legal expenses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184"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following table summarizes the components of our stock-based compensation expenses for the three and nine months ended September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148</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Our stock-based compensation expenses, which are impacted by grants of stock-based options, vesting schedule of such grants, as well as grant-date fair value of stock-based awards, remained consistent for the three and nine months ended September 30, 2023 and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items</w:t>
      </w:r>
    </w:p>
    <w:p>
      <w:pPr>
        <w:spacing w:after="0" w:line="225"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summarizes interest income, interest expense, and other income and expense for the three and nine months ended September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5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4"/>
              </w:rPr>
              <w:t>Three Months Ended September 30,</w:t>
            </w:r>
          </w:p>
        </w:tc>
        <w:tc>
          <w:tcPr>
            <w:tcW w:w="23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5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(87 )</w:t>
            </w:r>
          </w:p>
        </w:tc>
        <w:tc>
          <w:tcPr>
            <w:tcW w:w="24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(173 )</w:t>
            </w:r>
          </w:p>
        </w:tc>
        <w:tc>
          <w:tcPr>
            <w:tcW w:w="22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(333 )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(552 )</w:t>
            </w: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property and equipment</w:t>
            </w:r>
          </w:p>
        </w:tc>
        <w:tc>
          <w:tcPr>
            <w:tcW w:w="7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Change in fair value of liability instruments</w:t>
            </w:r>
          </w:p>
        </w:tc>
        <w:tc>
          <w:tcPr>
            <w:tcW w:w="72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decrease in interest expense for the three and nine months ended September 30, 2023 as compared to the same period in 2022 was primarily due to the repayment of debt principal of $1.6 million during the year ended December 31, 2022, and $1.2 million for the nine months ended September 30, 2023, respectively.</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expect interest expense in 2023 to decrease as compared with 2022 due to scheduled debt principal repayments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liquidity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our key liquidity measures at September 30, 2023 and December 31, 2022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As of September 30,</w:t>
            </w:r>
          </w:p>
        </w:tc>
        <w:tc>
          <w:tcPr>
            <w:tcW w:w="240" w:type="dxa"/>
            <w:vAlign w:val="bottom"/>
          </w:tcPr>
          <w:p>
            <w:pPr>
              <w:spacing w:after="0"/>
              <w:rPr>
                <w:sz w:val="15"/>
                <w:szCs w:val="15"/>
                <w:color w:val="auto"/>
              </w:rPr>
            </w:pPr>
          </w:p>
        </w:tc>
        <w:tc>
          <w:tcPr>
            <w:tcW w:w="13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15"/>
                <w:szCs w:val="15"/>
                <w:color w:val="auto"/>
              </w:rPr>
            </w:pPr>
          </w:p>
        </w:tc>
      </w:tr>
      <w:tr>
        <w:trPr>
          <w:trHeight w:val="18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6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11,584</w:t>
            </w:r>
          </w:p>
        </w:tc>
        <w:tc>
          <w:tcPr>
            <w:tcW w:w="56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20"/>
                <w:szCs w:val="20"/>
                <w:color w:val="auto"/>
              </w:rPr>
            </w:pPr>
          </w:p>
        </w:tc>
      </w:tr>
      <w:tr>
        <w:trPr>
          <w:trHeight w:val="277"/>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-659130</wp:posOffset>
            </wp:positionV>
            <wp:extent cx="5969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incurred net losses of $9.5 million for the nine months ended September 30, 2023. We have an accumulated deficit of $476.7 million as of September 30, 2023. Additionally, we used net cash of $11.0 million to fund our operating activities for the nine months ended September 30, 2023. These factors raise substantial doubt about our ability to continue as a going concern.</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To date, our operating losses have been funded primarily from outside sources of invested capital from issuance of our common and preferred stocks, proceeds from our term loan with Oxford and grant funding. However,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would cause us to default on our term loan.</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w:t>
      </w:r>
    </w:p>
    <w:p>
      <w:pPr>
        <w:spacing w:after="0" w:line="20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We have no obligation to sell any of our common stock. We may instruct Canaccord not to sell any common stock if the sales cannot be effected at or above the price designated by us from time to time and we may at any time suspend sales pursuant to the September 2022 Distribution Agreement. During the period from September 9, 2022 to December 31, 2022, we issued 68,758 shares under the September 2022 Distribution Agreement for net proceeds of approximately $0.6 million. From January 1, 2023 through September 30, 2023, we issued 1,819,993 shares under the September 2022 Distribution Agreement for net proceeds of approximately $4.3 million. We have reached the capacity for sales of our shares under the September 2022 Distribution Agreement.</w:t>
      </w:r>
    </w:p>
    <w:p>
      <w:pPr>
        <w:spacing w:after="0" w:line="17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On August 2, 2022, we entered into a purchase agreement (the “2022 Purchase Agreement”) and registration rights agreement pursuant to which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As consideration for Lincoln Park’s irrevocable commitment to purchase shares of our common stock upon the terms of and subject to satisfaction of the conditions set forth in the Purchase Agreement, we paid $0.1 million in cash as an Initial Commitment Fee and issued 492,698 as the initial commitment shares to Lincoln Park in consideration for its commitment to purchase shares of our common stock at our direction under the Purchase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5" w:name="page26"/>
    <w:bookmarkEnd w:id="25"/>
    <w:p>
      <w:pPr>
        <w:jc w:val="both"/>
        <w:ind w:firstLine="749"/>
        <w:spacing w:after="0" w:line="273" w:lineRule="auto"/>
        <w:rPr>
          <w:sz w:val="20"/>
          <w:szCs w:val="20"/>
          <w:color w:val="auto"/>
        </w:rPr>
      </w:pPr>
      <w:r>
        <w:rPr>
          <w:rFonts w:ascii="Arial" w:cs="Arial" w:eastAsia="Arial" w:hAnsi="Arial"/>
          <w:sz w:val="17"/>
          <w:szCs w:val="17"/>
          <w:color w:val="auto"/>
        </w:rPr>
        <w:t>On August 17, 2022, a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An additional commitment fee equal to 2.5% of the remainder of the $50 million will be paid if and when we sell over $25.0 million of our common stock under the 2022 Purchase Agreement. The additional commitment fee may be paid in cash, common stock, or a combination thereof. On August 21, 2023, a new registration statement was declared effective covering the resale of up to 1,500,000 shares of our common stock that we have reserved for issuance and sale to Lincoln Park under the 2022 Purchase Agreement.</w:t>
      </w:r>
    </w:p>
    <w:p>
      <w:pPr>
        <w:spacing w:after="0" w:line="17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September 30, 2023.</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$5,000,000, depending on market demand, with Canaccord acting as an agent for sales. During the year ended December 31, 2022, we issued 460,151 shares under the January 2022 Distribution Agreement for net proceeds of approximately $4.8 million. The January 2022 Distribution Agreement was terminated after all available registered shares were fully utilized.</w:t>
      </w:r>
    </w:p>
    <w:p>
      <w:pPr>
        <w:spacing w:after="0" w:line="18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continue to seek additional capital through strategic transactions and from other financing alternatives. Without additional capital, current working capital and cash generated from sales will not provide adequate funding for research, sales and marketing efforts and product development activities at their current levels. If sufficient capital is not raised, we will at a minimum need to significantly reduce or curtail our research and development and other operations, and this would negatively affect our ability to achieve corporate growth goals.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we be unable to raise additional cash from outside sources, this would have a material adverse impact on our operations.</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7"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Cash (used in) provided by operating, investing, and financing activities for the nine months ended September 30, 2023 and 2022 is summarized as follows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4"/>
              </w:rPr>
              <w:t>For the Nine Months Ended September 30,</w:t>
            </w:r>
          </w:p>
        </w:tc>
      </w:tr>
      <w:tr>
        <w:trPr>
          <w:trHeight w:val="169"/>
        </w:trPr>
        <w:tc>
          <w:tcPr>
            <w:tcW w:w="69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0"/>
                <w:szCs w:val="20"/>
                <w:color w:val="auto"/>
              </w:rPr>
            </w:pPr>
          </w:p>
        </w:tc>
        <w:tc>
          <w:tcPr>
            <w:tcW w:w="1520" w:type="dxa"/>
            <w:vAlign w:val="bottom"/>
            <w:gridSpan w:val="2"/>
          </w:tcPr>
          <w:p>
            <w:pPr>
              <w:jc w:val="right"/>
              <w:ind w:right="121"/>
              <w:spacing w:after="0"/>
              <w:rPr>
                <w:sz w:val="20"/>
                <w:szCs w:val="20"/>
                <w:color w:val="auto"/>
              </w:rPr>
            </w:pPr>
            <w:r>
              <w:rPr>
                <w:rFonts w:ascii="Arial" w:cs="Arial" w:eastAsia="Arial" w:hAnsi="Arial"/>
                <w:sz w:val="18"/>
                <w:szCs w:val="18"/>
                <w:color w:val="auto"/>
              </w:rPr>
              <w:t>(118 )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(748 )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21"/>
              <w:spacing w:after="0"/>
              <w:rPr>
                <w:sz w:val="20"/>
                <w:szCs w:val="20"/>
                <w:color w:val="auto"/>
              </w:rPr>
            </w:pPr>
            <w:r>
              <w:rPr>
                <w:rFonts w:ascii="Arial" w:cs="Arial" w:eastAsia="Arial" w:hAnsi="Arial"/>
                <w:sz w:val="18"/>
                <w:szCs w:val="18"/>
                <w:color w:val="auto"/>
              </w:rPr>
              <w:t>(7,114 )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Obligations</w:t>
      </w:r>
    </w:p>
    <w:p>
      <w:pPr>
        <w:spacing w:after="0" w:line="22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September 19, 2022, we entered into the CPRIT Contract, effective as of August 31, 2022, pursuant to which we will continue the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 with CPRIT providing matching funds for approximately two-thirds of the total development costs, subject to various funding conditions. The CPRIT contract is effective for three years, unless otherwise terminated per terms of the contract. CPRIT may require us to repay some or all of the disbursed CPRIT grant proceeds (with interest not to exceed 5% annually) in the event of the early termination of the CPRIT Contract.</w:t>
      </w:r>
    </w:p>
    <w:p>
      <w:pPr>
        <w:spacing w:after="0" w:line="20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are also obligated to make ongoing payments against the remaining principal, interest and final payments of approximately $4.4 million in total under the Term Loan with Oxford through the maturity date of June 1, 2024 (See Note 5 of the accompanying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condensed financial statements for more information). In addition, we are obligated to make operating lease payments for our office and laboratory space and we may be required to make payments under certain of our other contractual agreements.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Net cash used in operating activities for the nine months ended September 30, 2023 was $11.0 million compared to $10.7 million in the same period of 2022. Our operational cash use increased by $0.3 million during the nine months ended September 30, 2023 as compared to the same period in 2022, due to a reduction of net loss of approximately $5.0 million, offset by a net change of operating assets and liabilities of approximately $5.3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2023 was related to purchases of fixed assets of $0.1 million. Net cash used in investing activities for the nine months ended September 30, 2022 was related to cash payments of $250,000 made for in process research and development assets from UTHSA and purchases of fixed assets and intangible assets of $498,000.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2023 was primarily related to the net proceeds from sales of common stock of $5.2 million through the September 2022 Distribution Agreement with Canaccord and the 2022 Purchase Agreement, offset by $1.2 million of principal repayment under our Term Loan.</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2022 was primarily related to sales of common stock of $14.6 million, net of offering cost through the January and September 2022 Distribution Agreement with Canaccord and the 2020 Purchase Agreement with Lincoln Park, offset by $1.2 million of principal repayment under our Term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184"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estimate the fair value of liability classified warrants using an option pricing model. Following the authoritative accounting guidance, warrants with potential cash settlement outside control of the Company are accounted for as liabilities, with changes in the fair value included in operating expenses.</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believe it is important for you to understand our most critical accounting policies. Our critical accounting policies and estimates are discussed in our Annual Report on Form 10-K for the fiscal year ended December 31, 2022 and there have been no material changes during nine months ended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ensure that information required to be disclosed in our reports that we file or furnish pursuant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color w:val="auto"/>
        </w:rPr>
        <w:t>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6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not effective at the reasonable assurance level due to a material weakness in our internal control over the application of appropriate accounting principles to significant and unusual grant revenue transactions as of September 30, 2023.</w:t>
      </w:r>
    </w:p>
    <w:p>
      <w:pPr>
        <w:spacing w:after="0" w:line="19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not correctly recognized in prior period grant revenue due to management’s view that insufficient progress had been made in the ReSPECT -LM clinical trial, when CPRIT has no performance specific milestones in the grant outside of a reasonableness test to reimburse expenses. Despite the error management concluded that the previously issued financial statements were not materially misstated.</w:t>
      </w:r>
    </w:p>
    <w:p>
      <w:pPr>
        <w:spacing w:after="0" w:line="18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Upon evaluation, we concluded that 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Notwithstanding the identified material weakness described above, our Chief Executive Officer and our Chief Financial Officer believe the condensed financial statements included in this Quarterly Report on Form 10-Q fairly represent in all material respects our financial condition, results of operations and cash flows at and for the periods presented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Material Weakness Remediation</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have taken steps to remediate the material weakness mentioned above, including strengthening our review process related to significant and unusual transactions. However, these review processes are too new to be fully tested and we cannot assure investors that these measures will significantly improve or remediate the material weakness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Except with respect to the changes in connection with the implementation of the steps to remediate the material weakness described above, there has been no change in our internal control over financial reporting during the quarter ended September 30, 2023 that has materially affected, or is reasonably likely to materially affect, our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color w:val="auto"/>
        </w:rPr>
        <w:t>.</w:t>
      </w:r>
      <w:r>
        <w:rPr>
          <w:rFonts w:ascii="Arial" w:cs="Arial" w:eastAsia="Arial" w:hAnsi="Arial"/>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or that could cause actual results to differ materially from the results described in or implied by the forward-looking statements in this Form 10-Q, in addition to the information in the section entitled “Cautionary Statement Regarding Forward-Looking Statements,” you should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carefully review and consider the information under “Part I, Item 1A- Risk Factors” in our Annual Report on Form 10-K for the year ended December 31, 2022. The risk factors below are in addition to and supplement (and with respect to certain matters, update) the risk factors discussed in our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22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By way of example, the FDIC took control of Silicon Valley Bank (“SVB”) on March 10, 2023. Similarly, on March 12, 2023, Signature Bank and Silvergate Capital Corp. were each swept into receivership. Although depositors at SVB received access to their funds,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 Additionally,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relating to our ability to fund our operations for at least the next 12 months raises substantial doubt about our ability to continue as a going concern.</w:t>
      </w:r>
    </w:p>
    <w:p>
      <w:pPr>
        <w:spacing w:after="0" w:line="17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As of September 30, 2023, we had an accumulated shareholders’ deficit of approximately $476.7 million and approximately $11.0 million of cash and cash equivalents and $1.0 million of positive working capital available for use to fund our operations and capital requirements. We do not currently have sufficient available liquidity to fund our operations for at least the next 12 months. Consequently, absent further actions, these matters raise substantial doubt about our ability to continue as a going concern within one year after the date that the condensed financial statements in this Form 10-Q are issued.</w:t>
      </w:r>
    </w:p>
    <w:p>
      <w:pPr>
        <w:spacing w:after="0" w:line="18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We have a history of generating losses and negative cash flows from operations. Our unaudited financial statements have been prepared under the assumption that we will continue as a going concern for the next twelve months. Our ability to continue as a going concern is dependent upon our ability to obtain additional debt, equity or other financing. If we are not able to resolve the going concern prior to the issuance of our financial statements for the fiscal year ending December 31, 2023, the reaction of investors to the inclusion of a going concern statement by our auditors, and our potential inability to continue as a going concern in future years could materially adversely affect our share price and our ability to raise new capital or enter into strategic alliances. Furthermore, we also could be required to seek funds through arrangements with collaborative partners or otherwise that may require us to relinquish rights to some of our intellectual property or product candidates or otherwise agree to terms unfavorable to us.</w:t>
      </w:r>
    </w:p>
    <w:p>
      <w:pPr>
        <w:spacing w:after="0" w:line="16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and quarterly report on Form 10-Q, as required by Section 404 of the Sarbanes-Oxley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749"/>
        <w:spacing w:after="0" w:line="255" w:lineRule="auto"/>
        <w:rPr>
          <w:sz w:val="20"/>
          <w:szCs w:val="20"/>
          <w:color w:val="auto"/>
        </w:rPr>
      </w:pPr>
      <w:r>
        <w:rPr>
          <w:rFonts w:ascii="Arial" w:cs="Arial" w:eastAsia="Arial" w:hAnsi="Arial"/>
          <w:sz w:val="18"/>
          <w:szCs w:val="18"/>
          <w:color w:val="auto"/>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eligible for reimbursement under our CPRIT Grant, but were not correctly recognized in prior period grant revenue due to management’s view that insufficient progress had been made in the ReSPECT -LM clinical trial, despite no performance specific milestones in the grant outside of a reasonableness test for reimbursement of expenses. Management has concluded that the correction to grant revenue in the prior periods did not cause a material misstatement of our financial statements.</w:t>
      </w:r>
    </w:p>
    <w:p>
      <w:pPr>
        <w:spacing w:after="0" w:line="192" w:lineRule="exact"/>
        <w:rPr>
          <w:sz w:val="20"/>
          <w:szCs w:val="20"/>
          <w:color w:val="auto"/>
        </w:rPr>
      </w:pPr>
    </w:p>
    <w:p>
      <w:pPr>
        <w:jc w:val="both"/>
        <w:ind w:firstLine="724"/>
        <w:spacing w:after="0" w:line="296" w:lineRule="auto"/>
        <w:rPr>
          <w:sz w:val="20"/>
          <w:szCs w:val="20"/>
          <w:color w:val="auto"/>
        </w:rPr>
      </w:pPr>
      <w:r>
        <w:rPr>
          <w:rFonts w:ascii="Arial" w:cs="Arial" w:eastAsia="Arial" w:hAnsi="Arial"/>
          <w:sz w:val="16"/>
          <w:szCs w:val="16"/>
          <w:color w:val="auto"/>
        </w:rPr>
        <w:t>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While we have taken remediation measures, these review processes are too new to be fully tested and therefore we cannot assure investors that these measures will significantly improve or remediate the material weakness described above.</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We may in the future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Furthermore, if our remediation of the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delisted from Nasdaq, which would seriously harm the liquidity of our stock and our ability to raise capital.</w:t>
      </w:r>
    </w:p>
    <w:p>
      <w:pPr>
        <w:spacing w:after="0" w:line="22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Nasdaq requires listing issuers to comply with certain standards in order to remain listed on its exchange. These requirements include, among other things, maintaining a closing bid price for our common stock of $1.00 per share (the “minimum bid price requirement”) and meeting one of the following three requirements: maintaining at least $2.5 million in stockholders’ equity; maintaining $35 million of market value of listed securities; or having $500,000 in net income over the prior two years or two of the prior three years. In 2022, we received notice that because the closing bid price for our common stock had fallen below $1.00 per share for 30 consecutive business days, we no longer complied with the minimum bid price requirement. While we cured this deficiency in 2023 after effecting the Reverse Stock Split, there is no assurance that we will be able to maintain compliance with this standard. As of September 30, 2023, our stockholders’ equity was $2.6 million and without raising additional capital it will continue to decline. The market value of our listed securities was below $35 million and we did not have net income in the last three years. Accordingly, we may not continue to meet the continued listing standards in the future.</w:t>
      </w:r>
    </w:p>
    <w:p>
      <w:pPr>
        <w:spacing w:after="0" w:line="181"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6"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liquidity and marketability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institutional and general investors that will consider investing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September 15, 2023, pursuant to the Biocept Agreement, we issued 53,381 unregistered shares to Biocept as an upfront payment, the fair value of which was $75,000. The unregistered shares are subject to resale restrictions under Rule 144.</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right"/>
        <w:ind w:right="3820"/>
        <w:spacing w:after="0"/>
        <w:rPr>
          <w:sz w:val="20"/>
          <w:szCs w:val="20"/>
          <w:color w:val="auto"/>
        </w:rPr>
      </w:pPr>
      <w:r>
        <w:rPr>
          <w:rFonts w:ascii="Arial" w:cs="Arial" w:eastAsia="Arial" w:hAnsi="Arial"/>
          <w:sz w:val="18"/>
          <w:szCs w:val="18"/>
          <w:b w:val="1"/>
          <w:bCs w:val="1"/>
          <w:color w:val="auto"/>
        </w:rPr>
        <w:t>PLUS THERAPEUTICS, INC.</w:t>
      </w:r>
    </w:p>
    <w:p>
      <w:pPr>
        <w:sectPr>
          <w:pgSz w:w="11900" w:h="16838" w:orient="portrait"/>
          <w:cols w:equalWidth="0" w:num="1">
            <w:col w:w="10640"/>
          </w:cols>
          <w:pgMar w:left="320" w:top="337" w:right="939" w:bottom="1440" w:gutter="0" w:footer="0" w:header="0"/>
        </w:sectPr>
      </w:pP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17"/>
                <w:szCs w:val="17"/>
                <w:color w:val="auto"/>
              </w:rPr>
            </w:pPr>
          </w:p>
        </w:tc>
        <w:tc>
          <w:tcPr>
            <w:tcW w:w="4720" w:type="dxa"/>
            <w:vAlign w:val="bottom"/>
            <w:gridSpan w:val="12"/>
          </w:tcPr>
          <w:p>
            <w:pPr>
              <w:ind w:left="1760"/>
              <w:spacing w:after="0"/>
              <w:rPr>
                <w:sz w:val="20"/>
                <w:szCs w:val="20"/>
                <w:color w:val="auto"/>
              </w:rPr>
            </w:pPr>
            <w:r>
              <w:rPr>
                <w:rFonts w:ascii="Arial" w:cs="Arial" w:eastAsia="Arial" w:hAnsi="Arial"/>
                <w:sz w:val="16"/>
                <w:szCs w:val="16"/>
                <w:b w:val="1"/>
                <w:bCs w:val="1"/>
                <w:color w:val="auto"/>
              </w:rPr>
              <w:t>Exhibit Title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Filed with</w:t>
            </w:r>
          </w:p>
        </w:tc>
      </w:tr>
      <w:tr>
        <w:trPr>
          <w:trHeight w:val="203"/>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left="15"/>
              <w:spacing w:after="0"/>
              <w:rPr>
                <w:sz w:val="20"/>
                <w:szCs w:val="20"/>
                <w:color w:val="auto"/>
              </w:rPr>
            </w:pPr>
            <w:r>
              <w:rPr>
                <w:rFonts w:ascii="Arial" w:cs="Arial" w:eastAsia="Arial" w:hAnsi="Arial"/>
                <w:sz w:val="16"/>
                <w:szCs w:val="16"/>
                <w:b w:val="1"/>
                <w:bCs w:val="1"/>
                <w:color w:val="auto"/>
                <w:w w:val="93"/>
              </w:rPr>
              <w:t>this Form 10-</w:t>
            </w:r>
          </w:p>
        </w:tc>
      </w:tr>
      <w:tr>
        <w:trPr>
          <w:trHeight w:val="210"/>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Q</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2860" w:type="dxa"/>
            <w:vAlign w:val="bottom"/>
            <w:tcBorders>
              <w:bottom w:val="single" w:sz="8" w:color="0000EE"/>
            </w:tcBorders>
            <w:gridSpan w:val="3"/>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Composite Certificate of Incorporation</w:t>
              </w:r>
            </w:hyperlink>
          </w:p>
        </w:tc>
        <w:tc>
          <w:tcPr>
            <w:tcW w:w="2220" w:type="dxa"/>
            <w:vAlign w:val="bottom"/>
            <w:gridSpan w:val="10"/>
          </w:tcPr>
          <w:p>
            <w:pPr>
              <w:spacing w:after="0"/>
              <w:rPr>
                <w:sz w:val="18"/>
                <w:szCs w:val="18"/>
                <w:color w:val="auto"/>
              </w:rPr>
            </w:pPr>
          </w:p>
        </w:tc>
        <w:tc>
          <w:tcPr>
            <w:tcW w:w="1040" w:type="dxa"/>
            <w:vAlign w:val="bottom"/>
          </w:tcPr>
          <w:p>
            <w:pPr>
              <w:spacing w:after="0"/>
              <w:rPr>
                <w:sz w:val="18"/>
                <w:szCs w:val="18"/>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4600" w:type="dxa"/>
            <w:vAlign w:val="bottom"/>
            <w:tcBorders>
              <w:bottom w:val="single" w:sz="8" w:color="0000FF"/>
            </w:tcBorders>
            <w:gridSpan w:val="7"/>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Certificate of Amendment to Amended and Restated Certificate</w:t>
              </w:r>
            </w:hyperlink>
          </w:p>
        </w:tc>
        <w:tc>
          <w:tcPr>
            <w:tcW w:w="48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3.7</w:t>
            </w:r>
          </w:p>
        </w:tc>
        <w:tc>
          <w:tcPr>
            <w:tcW w:w="5080" w:type="dxa"/>
            <w:vAlign w:val="bottom"/>
            <w:gridSpan w:val="1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Amended and Restated Bylaws of Plus Therapeutics, Inc.</w:t>
              </w:r>
            </w:hyperlink>
          </w:p>
        </w:tc>
        <w:tc>
          <w:tcPr>
            <w:tcW w:w="10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82"/>
        </w:trPr>
        <w:tc>
          <w:tcPr>
            <w:tcW w:w="1020" w:type="dxa"/>
            <w:vAlign w:val="bottom"/>
          </w:tcPr>
          <w:p>
            <w:pPr>
              <w:spacing w:after="0"/>
              <w:rPr>
                <w:sz w:val="20"/>
                <w:szCs w:val="20"/>
                <w:color w:val="auto"/>
              </w:rPr>
            </w:pPr>
            <w:r>
              <w:rPr>
                <w:rFonts w:ascii="Arial" w:cs="Arial" w:eastAsia="Arial" w:hAnsi="Arial"/>
                <w:sz w:val="18"/>
                <w:szCs w:val="18"/>
                <w:color w:val="auto"/>
              </w:rPr>
              <w:t>3.8</w:t>
            </w:r>
          </w:p>
        </w:tc>
        <w:tc>
          <w:tcPr>
            <w:tcW w:w="5080" w:type="dxa"/>
            <w:vAlign w:val="bottom"/>
            <w:tcBorders>
              <w:bottom w:val="single" w:sz="8" w:color="0000FF"/>
            </w:tcBorders>
            <w:gridSpan w:val="13"/>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Certificate of Designation of Series F Preferred Stock, dated March 3,</w:t>
              </w:r>
            </w:hyperlink>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161">
              <w:r>
                <w:rPr>
                  <w:rFonts w:ascii="Arial" w:cs="Arial" w:eastAsia="Arial" w:hAnsi="Arial"/>
                  <w:sz w:val="18"/>
                  <w:szCs w:val="18"/>
                  <w:color w:val="0000FF"/>
                  <w:w w:val="84"/>
                </w:rPr>
                <w:t>2023</w:t>
              </w:r>
            </w:hyperlink>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Principal Executive Officer Pursuant to Securities</w:t>
            </w:r>
          </w:p>
        </w:tc>
        <w:tc>
          <w:tcPr>
            <w:tcW w:w="300" w:type="dxa"/>
            <w:vAlign w:val="bottom"/>
            <w:gridSpan w:val="4"/>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0"/>
              </w:rPr>
              <w:t>Exchange Act Rule 13a-14(a), as adopted pursuant to Section 302 of</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80" w:type="dxa"/>
            <w:vAlign w:val="bottom"/>
            <w:gridSpan w:val="13"/>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4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Principal Financial and Accounting Officer Pursuant</w:t>
            </w:r>
          </w:p>
        </w:tc>
        <w:tc>
          <w:tcPr>
            <w:tcW w:w="100" w:type="dxa"/>
            <w:vAlign w:val="bottom"/>
            <w:gridSpan w:val="2"/>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484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to Securities Exchange Act Rule 13a-14(a), as adopted pursuant to</w:t>
            </w:r>
          </w:p>
        </w:tc>
        <w:tc>
          <w:tcPr>
            <w:tcW w:w="24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64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80645</wp:posOffset>
            </wp:positionV>
            <wp:extent cx="2065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0" w:lineRule="exact"/>
        <w:rPr>
          <w:sz w:val="20"/>
          <w:szCs w:val="20"/>
          <w:color w:val="auto"/>
        </w:rPr>
      </w:pPr>
    </w:p>
    <w:p>
      <w:pPr>
        <w:spacing w:after="0"/>
        <w:tabs>
          <w:tab w:leader="none" w:pos="820" w:val="left"/>
          <w:tab w:leader="none" w:pos="20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5"/>
          <w:szCs w:val="15"/>
          <w:b w:val="1"/>
          <w:bCs w:val="1"/>
          <w:color w:val="auto"/>
        </w:rPr>
        <w:t>Date Filed</w:t>
      </w:r>
    </w:p>
    <w:p>
      <w:pPr>
        <w:spacing w:after="0" w:line="126" w:lineRule="exact"/>
        <w:rPr>
          <w:sz w:val="20"/>
          <w:szCs w:val="20"/>
          <w:color w:val="auto"/>
        </w:rPr>
      </w:pPr>
    </w:p>
    <w:p>
      <w:pPr>
        <w:ind w:left="720" w:right="80" w:hanging="738"/>
        <w:spacing w:after="0" w:line="277" w:lineRule="auto"/>
        <w:tabs>
          <w:tab w:leader="none" w:pos="7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001-34375 03/11/2016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05/10/2016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05/23/2018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07/29/2019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08/06/2019 Exhibit 3.1</w:t>
      </w:r>
    </w:p>
    <w:p>
      <w:pPr>
        <w:spacing w:after="0" w:line="130" w:lineRule="exact"/>
        <w:rPr>
          <w:sz w:val="20"/>
          <w:szCs w:val="20"/>
          <w:color w:val="auto"/>
        </w:rPr>
      </w:pPr>
    </w:p>
    <w:p>
      <w:pPr>
        <w:ind w:left="720" w:right="8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04/28/2023 Exhibit 3.1</w:t>
      </w:r>
    </w:p>
    <w:p>
      <w:pPr>
        <w:spacing w:after="0" w:line="130" w:lineRule="exact"/>
        <w:rPr>
          <w:sz w:val="20"/>
          <w:szCs w:val="20"/>
          <w:color w:val="auto"/>
        </w:rPr>
      </w:pPr>
    </w:p>
    <w:p>
      <w:pPr>
        <w:ind w:left="720" w:right="8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09/21/2021 Exhibit 3.1</w:t>
      </w:r>
    </w:p>
    <w:p>
      <w:pPr>
        <w:spacing w:after="0" w:line="224" w:lineRule="exact"/>
        <w:rPr>
          <w:sz w:val="20"/>
          <w:szCs w:val="20"/>
          <w:color w:val="auto"/>
        </w:rPr>
      </w:pPr>
    </w:p>
    <w:p>
      <w:pPr>
        <w:ind w:left="720" w:right="8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03/03/2023 Exhibit 3.1</w:t>
      </w:r>
    </w:p>
    <w:p>
      <w:pPr>
        <w:spacing w:after="0" w:line="1854" w:lineRule="exact"/>
        <w:rPr>
          <w:sz w:val="20"/>
          <w:szCs w:val="20"/>
          <w:color w:val="auto"/>
        </w:rPr>
      </w:pPr>
    </w:p>
    <w:p>
      <w:pPr>
        <w:sectPr>
          <w:pgSz w:w="11900" w:h="16838" w:orient="portrait"/>
          <w:cols w:equalWidth="0" w:num="2">
            <w:col w:w="7560" w:space="160"/>
            <w:col w:w="2920"/>
          </w:cols>
          <w:pgMar w:left="320" w:top="337" w:right="939" w:bottom="1440" w:gutter="0" w:footer="0" w:header="0"/>
          <w:type w:val="continuous"/>
        </w:sectPr>
      </w:pPr>
    </w:p>
    <w:tbl>
      <w:tblPr>
        <w:tblLayout w:type="fixed"/>
        <w:tblInd w:w="4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Certifications Pursuant to 18 U.S.C. Section 1350/ Securities</w:t>
            </w:r>
          </w:p>
        </w:tc>
        <w:tc>
          <w:tcPr>
            <w:tcW w:w="560" w:type="dxa"/>
            <w:vAlign w:val="bottom"/>
          </w:tcPr>
          <w:p>
            <w:pPr>
              <w:spacing w:after="0"/>
              <w:rPr>
                <w:sz w:val="18"/>
                <w:szCs w:val="18"/>
                <w:color w:val="auto"/>
              </w:rPr>
            </w:pP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Exchange Act Rule 13a-14(b), as adopted pursuant to Section 906 of</w:t>
            </w:r>
          </w:p>
        </w:tc>
        <w:tc>
          <w:tcPr>
            <w:tcW w:w="7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the Sarbanes - Oxley Act of 2002</w:t>
            </w:r>
          </w:p>
        </w:tc>
        <w:tc>
          <w:tcPr>
            <w:tcW w:w="25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r>
      <w:tr>
        <w:trPr>
          <w:trHeight w:val="39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000" w:type="dxa"/>
            <w:vAlign w:val="bottom"/>
            <w:gridSpan w:val="3"/>
          </w:tcPr>
          <w:p>
            <w:pPr>
              <w:spacing w:after="0"/>
              <w:rPr>
                <w:sz w:val="20"/>
                <w:szCs w:val="20"/>
                <w:color w:val="auto"/>
              </w:rPr>
            </w:pPr>
            <w:r>
              <w:rPr>
                <w:rFonts w:ascii="Arial" w:cs="Arial" w:eastAsia="Arial" w:hAnsi="Arial"/>
                <w:sz w:val="18"/>
                <w:szCs w:val="18"/>
                <w:color w:val="auto"/>
                <w:w w:val="93"/>
              </w:rPr>
              <w:t>Inline XBRL Instance Document – the instance document does not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16"/>
        </w:trPr>
        <w:tc>
          <w:tcPr>
            <w:tcW w:w="10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7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700" w:type="dxa"/>
            <w:vAlign w:val="bottom"/>
          </w:tcPr>
          <w:p>
            <w:pPr>
              <w:spacing w:after="0"/>
              <w:rPr>
                <w:sz w:val="20"/>
                <w:szCs w:val="20"/>
                <w:color w:val="auto"/>
              </w:rPr>
            </w:pP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Label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0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000" w:type="dxa"/>
            <w:vAlign w:val="bottom"/>
            <w:gridSpan w:val="3"/>
          </w:tcPr>
          <w:p>
            <w:pPr>
              <w:spacing w:after="0"/>
              <w:rPr>
                <w:sz w:val="20"/>
                <w:szCs w:val="20"/>
                <w:color w:val="auto"/>
              </w:rPr>
            </w:pPr>
            <w:r>
              <w:rPr>
                <w:rFonts w:ascii="Arial" w:cs="Arial" w:eastAsia="Arial" w:hAnsi="Arial"/>
                <w:sz w:val="18"/>
                <w:szCs w:val="18"/>
                <w:color w:val="auto"/>
                <w:w w:val="98"/>
              </w:rPr>
              <w:t>Cover Page Interactive Data File (formatted as Inline XBRL and</w:t>
            </w:r>
          </w:p>
        </w:tc>
        <w:tc>
          <w:tcPr>
            <w:tcW w:w="700" w:type="dxa"/>
            <w:vAlign w:val="bottom"/>
          </w:tcPr>
          <w:p>
            <w:pPr>
              <w:ind w:left="580"/>
              <w:spacing w:after="0"/>
              <w:rPr>
                <w:sz w:val="20"/>
                <w:szCs w:val="20"/>
                <w:color w:val="auto"/>
              </w:rPr>
            </w:pPr>
            <w:r>
              <w:rPr>
                <w:rFonts w:ascii="Arial" w:cs="Arial" w:eastAsia="Arial" w:hAnsi="Arial"/>
                <w:sz w:val="18"/>
                <w:szCs w:val="18"/>
                <w:color w:val="auto"/>
                <w:w w:val="82"/>
              </w:rPr>
              <w:t>X</w:t>
            </w:r>
          </w:p>
        </w:tc>
      </w:tr>
      <w:tr>
        <w:trPr>
          <w:trHeight w:val="230"/>
        </w:trPr>
        <w:tc>
          <w:tcPr>
            <w:tcW w:w="10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0"/>
                <w:szCs w:val="20"/>
                <w:color w:val="auto"/>
              </w:rPr>
            </w:pPr>
          </w:p>
        </w:tc>
      </w:tr>
    </w:tbl>
    <w:p>
      <w:pPr>
        <w:spacing w:after="0" w:line="107" w:lineRule="exact"/>
        <w:rPr>
          <w:sz w:val="20"/>
          <w:szCs w:val="20"/>
          <w:color w:val="auto"/>
        </w:rPr>
      </w:pPr>
    </w:p>
    <w:p>
      <w:pPr>
        <w:ind w:left="520" w:hanging="512"/>
        <w:spacing w:after="0" w:line="223" w:lineRule="exact"/>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w:t>
      </w: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7" w:right="939" w:bottom="1440" w:gutter="0" w:footer="0" w:header="0"/>
          <w:type w:val="continuous"/>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840" w:top="449" w:right="71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President &amp; Chief Executive Officer (Duly Authorized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 and Principal Executive Officer)</w:t>
      </w:r>
    </w:p>
    <w:p>
      <w:pPr>
        <w:spacing w:after="0" w:line="265"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Chief Financial Officer (Duly Authorized Officer and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52" w:lineRule="exact"/>
        <w:rPr>
          <w:rFonts w:ascii="Arial" w:cs="Arial" w:eastAsia="Arial" w:hAnsi="Arial"/>
          <w:sz w:val="18"/>
          <w:szCs w:val="18"/>
          <w:color w:val="auto"/>
        </w:rPr>
      </w:pPr>
    </w:p>
    <w:p>
      <w:pPr>
        <w:ind w:left="520" w:right="280" w:hanging="512"/>
        <w:spacing w:after="0" w:line="263" w:lineRule="auto"/>
        <w:tabs>
          <w:tab w:leader="none" w:pos="4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20" w:right="380" w:hanging="512"/>
        <w:spacing w:after="0" w:line="308" w:lineRule="auto"/>
        <w:tabs>
          <w:tab w:leader="none" w:pos="4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020" w:right="80" w:hanging="479"/>
        <w:spacing w:after="0" w:line="263"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020" w:right="480" w:hanging="479"/>
        <w:spacing w:after="0" w:line="342" w:lineRule="auto"/>
        <w:tabs>
          <w:tab w:leader="none" w:pos="96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020" w:right="100" w:hanging="479"/>
        <w:spacing w:after="0" w:line="263"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hanging="479"/>
        <w:spacing w:after="0" w:line="308" w:lineRule="auto"/>
        <w:tabs>
          <w:tab w:leader="none" w:pos="96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020" w:right="520" w:hanging="479"/>
        <w:spacing w:after="0" w:line="277"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31,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 H. Hedrick,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25"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460" w:hanging="512"/>
        <w:spacing w:after="0" w:line="308"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60" w:hanging="479"/>
        <w:spacing w:after="0" w:line="263"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79"/>
        <w:spacing w:after="0" w:line="308" w:lineRule="auto"/>
        <w:tabs>
          <w:tab w:leader="none" w:pos="89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40" w:hanging="479"/>
        <w:spacing w:after="0" w:line="277"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31,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Sims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CERTIFICATION PURSUANT TO 18 U.S.C. SECTION 1350/ SECURITIES EXCHANGE ACT RULE 13a-14(b), AS ADOPTED PURSUANT TO SECTION 906 OF THE SARBANES-OXLEY ACT OF 2002</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on Form 10-Q of Plus Therapeutics, Inc. for the quarterly period ended September 30, 2023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84" w:lineRule="exact"/>
        <w:rPr>
          <w:sz w:val="20"/>
          <w:szCs w:val="20"/>
          <w:color w:val="auto"/>
        </w:rPr>
      </w:pPr>
    </w:p>
    <w:p>
      <w:pPr>
        <w:ind w:left="520" w:right="440" w:hanging="512"/>
        <w:spacing w:after="0" w:line="277" w:lineRule="auto"/>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report of Plus Therapeutics, Inc. that this certification accompanies fully complies with the requirements of Section 13(a) of the Securities Exchange Act of 1934.</w:t>
      </w:r>
    </w:p>
    <w:p>
      <w:pPr>
        <w:spacing w:after="0" w:line="89" w:lineRule="exact"/>
        <w:rPr>
          <w:rFonts w:ascii="Arial" w:cs="Arial" w:eastAsia="Arial" w:hAnsi="Arial"/>
          <w:sz w:val="18"/>
          <w:szCs w:val="18"/>
          <w:color w:val="auto"/>
        </w:rPr>
      </w:pPr>
    </w:p>
    <w:p>
      <w:pPr>
        <w:ind w:left="520" w:right="560" w:hanging="512"/>
        <w:spacing w:after="0" w:line="277" w:lineRule="auto"/>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3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October 31,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35"/>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 "/>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54" Type="http://schemas.openxmlformats.org/officeDocument/2006/relationships/hyperlink" Target="https://www.sec.gov/Archives/edgar/data/0001095981/000114036116057505/ex3_1.htm" TargetMode="External"/><Relationship Id="rId155" Type="http://schemas.openxmlformats.org/officeDocument/2006/relationships/hyperlink" Target="https://www.sec.gov/Archives/edgar/data/0001095981/000109598116000063/ex3_1.htm" TargetMode="External"/><Relationship Id="rId156" Type="http://schemas.openxmlformats.org/officeDocument/2006/relationships/hyperlink" Target="https://www.sec.gov/Archives/edgar/data/0001095981/000156459018014245/cytx-ex31_6.htm" TargetMode="External"/><Relationship Id="rId157" Type="http://schemas.openxmlformats.org/officeDocument/2006/relationships/hyperlink" Target="https://www.sec.gov/Archives/edgar/data/1095981/000156459019026454/cytx-ex31_6.htm" TargetMode="External"/><Relationship Id="rId158" Type="http://schemas.openxmlformats.org/officeDocument/2006/relationships/hyperlink" Target="https://www.sec.gov/Archives/edgar/data/0001095981/000156459019028996/pstv-ex31_18.htm" TargetMode="External"/><Relationship Id="rId159" Type="http://schemas.openxmlformats.org/officeDocument/2006/relationships/hyperlink" Target="https://www.sec.gov/Archives/edgar/data/1095981/000119312523127227/d475493dex31.htm" TargetMode="External"/><Relationship Id="rId160" Type="http://schemas.openxmlformats.org/officeDocument/2006/relationships/hyperlink" Target="https://www.sec.gov/Archives/edgar/data/0001095981/000119312521277718/d164672dex31.htm" TargetMode="External"/><Relationship Id="rId161" Type="http://schemas.openxmlformats.org/officeDocument/2006/relationships/hyperlink" Target="https://www.sec.gov/Archives/edgar/data/1095981/000119312523060090/d44943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2023-10-31T15:14:41Z</dcterms:created>
  <dcterms:modified xsi:type="dcterms:W3CDTF">2023-10-31T15:14:41Z</dcterms:modified>
</cp:coreProperties>
</file>