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PLUS THERAPEUTICS,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83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832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4200 Marathon Blvd. Suite 200,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78756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(737) 255-7194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2022 was a year of significant progress for Plus Therapeutics. We made considerable clinical and regulatory advances for our lead program, created momentum for our earlier stage programs and, even during a turbulent time in the U.S. capital markets, reached a new level of balance sheet strength. All the while, the radiotherapeutics market continues to gain attention as an opportunity to potentially transform patients’ lives. 2023 provides a great outlook for the Plus team!</w:t>
      </w:r>
    </w:p>
    <w:p>
      <w:pPr>
        <w:spacing w:after="0" w:line="18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lead investigational targeted radiotherapeutic drug, rhenium (</w:t>
      </w:r>
      <w:r>
        <w:rPr>
          <w:rFonts w:ascii="Arial" w:cs="Arial" w:eastAsia="Arial" w:hAnsi="Arial"/>
          <w:sz w:val="23"/>
          <w:szCs w:val="23"/>
          <w:color w:val="auto"/>
          <w:vertAlign w:val="superscript"/>
        </w:rPr>
        <w:t>186</w:t>
      </w:r>
      <w:r>
        <w:rPr>
          <w:rFonts w:ascii="Arial" w:cs="Arial" w:eastAsia="Arial" w:hAnsi="Arial"/>
          <w:sz w:val="16"/>
          <w:szCs w:val="16"/>
          <w:color w:val="auto"/>
        </w:rPr>
        <w:t xml:space="preserve">Re) obisbemeda, previously known as Rhenium-186 NanoLiposome, or </w:t>
      </w:r>
      <w:r>
        <w:rPr>
          <w:rFonts w:ascii="Arial" w:cs="Arial" w:eastAsia="Arial" w:hAnsi="Arial"/>
          <w:sz w:val="23"/>
          <w:szCs w:val="23"/>
          <w:color w:val="auto"/>
          <w:vertAlign w:val="superscript"/>
        </w:rPr>
        <w:t>186</w:t>
      </w:r>
      <w:r>
        <w:rPr>
          <w:rFonts w:ascii="Arial" w:cs="Arial" w:eastAsia="Arial" w:hAnsi="Arial"/>
          <w:sz w:val="16"/>
          <w:szCs w:val="16"/>
          <w:color w:val="auto"/>
        </w:rPr>
        <w:t>RNL, is currently being evaluated in our ReSPECT-GBM Phase 2b trial for patients with recurrent glioblastoma (GBM). This Phase 2b multi-center trial, funded by the National Institute of Health (NIH), is designed to evaluate the safety, tolerability, distribution and efficacy of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infused directly into the tumor via convection-enhanced delivery catheters in patients with recurrent GBM progressing after conventional treatment. We enrolled the first patient in this trial late 2022. The Phase 2b trial is expected to enroll up to 31 total patients with small- to medium-sized tumors in approximately 24 months. The initiation of our Phase 2b trial follows positive interim results reported from our ReSPECT-GBM Phase 1/2a dose escalation trial of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in recurrent GBM disclosed in 2022. In the Phase 1/2a dose escalation trial, we showed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can be safely administered and that there is a statistically significant correlation between overall survival and both absorbed radiation dose to the tumor and percent tumor volume in the treated volume. The strength of this correlation is unusually positive for a Phase 1/2a trial and we are optimistic that these safety and efficacy signals will be confirmed in the ongoing Phase 2b trial. The U.S. Food and Drug Administration (“FDA”) granted both Orphan Drug designation and Fast Track designations to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for the treatment of patients with GBM.</w:t>
      </w:r>
    </w:p>
    <w:p>
      <w:pPr>
        <w:spacing w:after="0" w:line="7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2022, the </w:t>
      </w:r>
      <w:r>
        <w:rPr>
          <w:rFonts w:ascii="Arial" w:cs="Arial" w:eastAsia="Arial" w:hAnsi="Arial"/>
          <w:sz w:val="23"/>
          <w:szCs w:val="23"/>
          <w:color w:val="auto"/>
          <w:vertAlign w:val="superscript"/>
        </w:rPr>
        <w:t>186</w:t>
      </w:r>
      <w:r>
        <w:rPr>
          <w:rFonts w:ascii="Arial" w:cs="Arial" w:eastAsia="Arial" w:hAnsi="Arial"/>
          <w:sz w:val="16"/>
          <w:szCs w:val="16"/>
          <w:color w:val="auto"/>
        </w:rPr>
        <w:t>RNL program made substantial strides on its path towards being a leader for the treatment of patients with leptomeningeal metastases (LM). A 3-year, $17.6 million grant was awarded to Plus Therapeutics by the Cancer Prevention &amp; Research Institute of Texas (CPRIT). Further, Plus Therapeutics completed enrollment of Cohort 1 in late 2022 and Cohort 2 in 2023 in the ReSPECT-LM Phase 1/2a dose escalation trial. The FDA has also granted Fast Track designation to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for the treatment of LM. At the 2022 Annual Scientific Meeting and Education Day of the Society for Neuro-Oncology, Plus Therapeutics presented Phase 1 data from the ReSPECT-LM trial demonstrating that a single administered dose of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was feasible, safe and well-tolerated across two dosages in four patients from Cohorts 1 and 2.</w:t>
      </w:r>
    </w:p>
    <w:p>
      <w:pPr>
        <w:spacing w:after="0" w:line="66" w:lineRule="exact"/>
        <w:rPr>
          <w:sz w:val="20"/>
          <w:szCs w:val="20"/>
          <w:color w:val="auto"/>
        </w:rPr>
      </w:pPr>
    </w:p>
    <w:p>
      <w:pPr>
        <w:ind w:right="320"/>
        <w:spacing w:after="0" w:line="222" w:lineRule="auto"/>
        <w:rPr>
          <w:sz w:val="20"/>
          <w:szCs w:val="20"/>
          <w:color w:val="auto"/>
        </w:rPr>
      </w:pPr>
      <w:r>
        <w:rPr>
          <w:rFonts w:ascii="Arial" w:cs="Arial" w:eastAsia="Arial" w:hAnsi="Arial"/>
          <w:sz w:val="18"/>
          <w:szCs w:val="18"/>
          <w:color w:val="auto"/>
        </w:rPr>
        <w:t>Beyond LM, we also hope to expand our programs by obtaining FDA Investigational New Drug (“IND”) approval to evaluate rhenium (</w:t>
      </w:r>
      <w:r>
        <w:rPr>
          <w:rFonts w:ascii="Arial" w:cs="Arial" w:eastAsia="Arial" w:hAnsi="Arial"/>
          <w:sz w:val="26"/>
          <w:szCs w:val="26"/>
          <w:color w:val="auto"/>
          <w:vertAlign w:val="superscript"/>
        </w:rPr>
        <w:t>186</w:t>
      </w:r>
      <w:r>
        <w:rPr>
          <w:rFonts w:ascii="Arial" w:cs="Arial" w:eastAsia="Arial" w:hAnsi="Arial"/>
          <w:sz w:val="18"/>
          <w:szCs w:val="18"/>
          <w:color w:val="auto"/>
        </w:rPr>
        <w:t>Re) obisbemeda in patients with pediatric brain cancer (“PBC”), specifically ependymoma and high-grade glioma, as part of the ReSPECT-PBC Phase 1 clinical trial.</w:t>
      </w:r>
    </w:p>
    <w:p>
      <w:pPr>
        <w:sectPr>
          <w:pgSz w:w="11900" w:h="16838" w:orient="portrait"/>
          <w:cols w:equalWidth="0" w:num="1">
            <w:col w:w="11000"/>
          </w:cols>
          <w:pgMar w:left="440" w:top="1440" w:right="459" w:bottom="1440" w:gutter="0" w:footer="0" w:header="0"/>
        </w:sectPr>
      </w:pPr>
    </w:p>
    <w:bookmarkStart w:id="2" w:name="page3"/>
    <w:bookmarkEnd w:id="2"/>
    <w:p>
      <w:pPr>
        <w:jc w:val="both"/>
        <w:ind w:right="40"/>
        <w:spacing w:after="0" w:line="24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we began evaluating Rhenium-188 NanoLiposome Biodegradable Alginate Microsphere (</w:t>
      </w:r>
      <w:r>
        <w:rPr>
          <w:rFonts w:ascii="Arial" w:cs="Arial" w:eastAsia="Arial" w:hAnsi="Arial"/>
          <w:sz w:val="25"/>
          <w:szCs w:val="25"/>
          <w:color w:val="auto"/>
          <w:vertAlign w:val="superscript"/>
        </w:rPr>
        <w:t>188</w:t>
      </w:r>
      <w:r>
        <w:rPr>
          <w:rFonts w:ascii="Arial" w:cs="Arial" w:eastAsia="Arial" w:hAnsi="Arial"/>
          <w:sz w:val="17"/>
          <w:szCs w:val="17"/>
          <w:color w:val="auto"/>
        </w:rPr>
        <w:t xml:space="preserve">RNL-BAM) to treat a variety of solid organ tumors such as primary liver cancer, hepatocellular carcinoma, and secondary liver cancer, metastatic colorectal cancer. We have licensed patents and technologies for the development of </w:t>
      </w:r>
      <w:r>
        <w:rPr>
          <w:rFonts w:ascii="Arial" w:cs="Arial" w:eastAsia="Arial" w:hAnsi="Arial"/>
          <w:sz w:val="25"/>
          <w:szCs w:val="25"/>
          <w:color w:val="auto"/>
          <w:vertAlign w:val="superscript"/>
        </w:rPr>
        <w:t>188</w:t>
      </w:r>
      <w:r>
        <w:rPr>
          <w:rFonts w:ascii="Arial" w:cs="Arial" w:eastAsia="Arial" w:hAnsi="Arial"/>
          <w:sz w:val="17"/>
          <w:szCs w:val="17"/>
          <w:color w:val="auto"/>
        </w:rPr>
        <w:t>RNL-BAM from The University of Texas Health Science Center at San Antonio.</w:t>
      </w:r>
    </w:p>
    <w:p>
      <w:pPr>
        <w:spacing w:after="0" w:line="7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In 2022, we also made significant progress building a resilient and redundant supply chain through strategic partnerships that enable the development, manufacturing and future potential commercialization of our products. Our current supply chain and key partners are positioned to supply cGMP rhenium (</w:t>
      </w:r>
      <w:r>
        <w:rPr>
          <w:rFonts w:ascii="Arial" w:cs="Arial" w:eastAsia="Arial" w:hAnsi="Arial"/>
          <w:sz w:val="25"/>
          <w:szCs w:val="25"/>
          <w:color w:val="auto"/>
          <w:vertAlign w:val="superscript"/>
        </w:rPr>
        <w:t>186</w:t>
      </w:r>
      <w:r>
        <w:rPr>
          <w:rFonts w:ascii="Arial" w:cs="Arial" w:eastAsia="Arial" w:hAnsi="Arial"/>
          <w:sz w:val="17"/>
          <w:szCs w:val="17"/>
          <w:color w:val="auto"/>
        </w:rPr>
        <w:t>Re) obisbemeda for ongoing and planned Phase 2 and Phase 3 clinical trials in patients with GBM, LM and PBC.</w:t>
      </w:r>
    </w:p>
    <w:p>
      <w:pPr>
        <w:spacing w:after="0" w:line="33" w:lineRule="exact"/>
        <w:rPr>
          <w:sz w:val="20"/>
          <w:szCs w:val="20"/>
          <w:color w:val="auto"/>
        </w:rPr>
      </w:pPr>
    </w:p>
    <w:p>
      <w:pPr>
        <w:jc w:val="both"/>
        <w:ind w:right="820"/>
        <w:spacing w:after="0" w:line="280" w:lineRule="auto"/>
        <w:rPr>
          <w:sz w:val="20"/>
          <w:szCs w:val="20"/>
          <w:color w:val="auto"/>
        </w:rPr>
      </w:pPr>
      <w:r>
        <w:rPr>
          <w:rFonts w:ascii="Arial" w:cs="Arial" w:eastAsia="Arial" w:hAnsi="Arial"/>
          <w:sz w:val="16"/>
          <w:szCs w:val="16"/>
          <w:color w:val="auto"/>
        </w:rPr>
        <w:t>Looking forward to the remainder of 2023, anticipated milestones include continuing enrollment in our ReSPECT-GBM Phase 2b and our ReSPECT-LM Phase 1/2a dose escalation trials for rhenium (</w:t>
      </w:r>
      <w:r>
        <w:rPr>
          <w:rFonts w:ascii="Arial" w:cs="Arial" w:eastAsia="Arial" w:hAnsi="Arial"/>
          <w:sz w:val="23"/>
          <w:szCs w:val="23"/>
          <w:color w:val="auto"/>
          <w:vertAlign w:val="superscript"/>
        </w:rPr>
        <w:t>186</w:t>
      </w:r>
      <w:r>
        <w:rPr>
          <w:rFonts w:ascii="Arial" w:cs="Arial" w:eastAsia="Arial" w:hAnsi="Arial"/>
          <w:sz w:val="16"/>
          <w:szCs w:val="16"/>
          <w:color w:val="auto"/>
        </w:rPr>
        <w:t xml:space="preserve">Re) obisbemeda, completing key CMC and FDA IND-enabling studies for </w:t>
      </w:r>
      <w:r>
        <w:rPr>
          <w:rFonts w:ascii="Arial" w:cs="Arial" w:eastAsia="Arial" w:hAnsi="Arial"/>
          <w:sz w:val="23"/>
          <w:szCs w:val="23"/>
          <w:color w:val="auto"/>
          <w:vertAlign w:val="superscript"/>
        </w:rPr>
        <w:t>188</w:t>
      </w:r>
      <w:r>
        <w:rPr>
          <w:rFonts w:ascii="Arial" w:cs="Arial" w:eastAsia="Arial" w:hAnsi="Arial"/>
          <w:sz w:val="16"/>
          <w:szCs w:val="16"/>
          <w:color w:val="auto"/>
        </w:rPr>
        <w:t>RNL-BAM, as well as exploring new indications for our rhenium (</w:t>
      </w:r>
      <w:r>
        <w:rPr>
          <w:rFonts w:ascii="Arial" w:cs="Arial" w:eastAsia="Arial" w:hAnsi="Arial"/>
          <w:sz w:val="23"/>
          <w:szCs w:val="23"/>
          <w:color w:val="auto"/>
          <w:vertAlign w:val="superscript"/>
        </w:rPr>
        <w:t>186</w:t>
      </w:r>
      <w:r>
        <w:rPr>
          <w:rFonts w:ascii="Arial" w:cs="Arial" w:eastAsia="Arial" w:hAnsi="Arial"/>
          <w:sz w:val="16"/>
          <w:szCs w:val="16"/>
          <w:color w:val="auto"/>
        </w:rPr>
        <w:t>Re) obisbemeda program such as pediatric brain cancer.</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all of our employees and our board of directors, I would like to express our appreciation for our stockholders and various partners for their help and support in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185670" cy="59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56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Marc H. Hedrick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President &amp; Chief Executive Officer</w:t>
      </w:r>
    </w:p>
    <w:p>
      <w:pPr>
        <w:sectPr>
          <w:pgSz w:w="11900" w:h="16838" w:orient="portrait"/>
          <w:cols w:equalWidth="0" w:num="1">
            <w:col w:w="10800"/>
          </w:cols>
          <w:pgMar w:left="440" w:top="274"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2728595</wp:posOffset>
            </wp:positionH>
            <wp:positionV relativeFrom="page">
              <wp:posOffset>337820</wp:posOffset>
            </wp:positionV>
            <wp:extent cx="209169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91690" cy="78867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628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rPr>
              <w:t>NOTICE OF 2023 ANNUAL MEETING OF STOCKHOLDERS</w:t>
            </w:r>
          </w:p>
        </w:tc>
      </w:tr>
      <w:tr>
        <w:trPr>
          <w:trHeight w:val="234"/>
        </w:trPr>
        <w:tc>
          <w:tcPr>
            <w:tcW w:w="2960" w:type="dxa"/>
            <w:vAlign w:val="bottom"/>
          </w:tcPr>
          <w:p>
            <w:pPr>
              <w:spacing w:after="0"/>
              <w:rPr>
                <w:sz w:val="20"/>
                <w:szCs w:val="20"/>
                <w:color w:val="auto"/>
              </w:rPr>
            </w:pPr>
          </w:p>
        </w:tc>
        <w:tc>
          <w:tcPr>
            <w:tcW w:w="62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7"/>
              </w:rPr>
              <w:t>TO BE HELD ON APRIL 20, 2023</w:t>
            </w:r>
          </w:p>
        </w:tc>
      </w:tr>
      <w:tr>
        <w:trPr>
          <w:trHeight w:val="441"/>
        </w:trPr>
        <w:tc>
          <w:tcPr>
            <w:tcW w:w="2960" w:type="dxa"/>
            <w:vAlign w:val="bottom"/>
          </w:tcPr>
          <w:p>
            <w:pPr>
              <w:spacing w:after="0"/>
              <w:rPr>
                <w:sz w:val="20"/>
                <w:szCs w:val="20"/>
                <w:color w:val="auto"/>
              </w:rPr>
            </w:pPr>
            <w:r>
              <w:rPr>
                <w:rFonts w:ascii="Arial" w:cs="Arial" w:eastAsia="Arial" w:hAnsi="Arial"/>
                <w:sz w:val="18"/>
                <w:szCs w:val="18"/>
                <w:b w:val="1"/>
                <w:bCs w:val="1"/>
                <w:color w:val="auto"/>
              </w:rPr>
              <w:t>PLUS THERAPEUTICS, INC.</w:t>
            </w:r>
          </w:p>
        </w:tc>
        <w:tc>
          <w:tcPr>
            <w:tcW w:w="6280" w:type="dxa"/>
            <w:vAlign w:val="bottom"/>
            <w:gridSpan w:val="2"/>
          </w:tcPr>
          <w:p>
            <w:pPr>
              <w:ind w:left="2780"/>
              <w:spacing w:after="0"/>
              <w:rPr>
                <w:sz w:val="20"/>
                <w:szCs w:val="20"/>
                <w:color w:val="auto"/>
              </w:rPr>
            </w:pPr>
            <w:r>
              <w:rPr>
                <w:rFonts w:ascii="Arial" w:cs="Arial" w:eastAsia="Arial" w:hAnsi="Arial"/>
                <w:sz w:val="18"/>
                <w:szCs w:val="18"/>
                <w:b w:val="1"/>
                <w:bCs w:val="1"/>
                <w:color w:val="auto"/>
              </w:rPr>
              <w:t>MEETING LOCATION:</w:t>
            </w:r>
          </w:p>
        </w:tc>
      </w:tr>
      <w:tr>
        <w:trPr>
          <w:trHeight w:val="194"/>
        </w:trPr>
        <w:tc>
          <w:tcPr>
            <w:tcW w:w="2960" w:type="dxa"/>
            <w:vAlign w:val="bottom"/>
          </w:tcPr>
          <w:p>
            <w:pPr>
              <w:spacing w:after="0" w:line="194" w:lineRule="exact"/>
              <w:rPr>
                <w:sz w:val="20"/>
                <w:szCs w:val="20"/>
                <w:color w:val="auto"/>
              </w:rPr>
            </w:pPr>
            <w:r>
              <w:rPr>
                <w:rFonts w:ascii="Arial" w:cs="Arial" w:eastAsia="Arial" w:hAnsi="Arial"/>
                <w:sz w:val="18"/>
                <w:szCs w:val="18"/>
                <w:b w:val="1"/>
                <w:bCs w:val="1"/>
                <w:color w:val="auto"/>
              </w:rPr>
              <w:t>Headquarters</w:t>
            </w:r>
          </w:p>
        </w:tc>
        <w:tc>
          <w:tcPr>
            <w:tcW w:w="6280" w:type="dxa"/>
            <w:vAlign w:val="bottom"/>
            <w:gridSpan w:val="2"/>
          </w:tcPr>
          <w:p>
            <w:pPr>
              <w:ind w:left="2780"/>
              <w:spacing w:after="0" w:line="194" w:lineRule="exact"/>
              <w:rPr>
                <w:sz w:val="20"/>
                <w:szCs w:val="20"/>
                <w:color w:val="auto"/>
              </w:rPr>
            </w:pPr>
            <w:r>
              <w:rPr>
                <w:rFonts w:ascii="Arial" w:cs="Arial" w:eastAsia="Arial" w:hAnsi="Arial"/>
                <w:sz w:val="18"/>
                <w:szCs w:val="18"/>
                <w:color w:val="auto"/>
                <w:w w:val="91"/>
              </w:rPr>
              <w:t>www.virtualshareholdermeeting.com/PSTV2023</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w w:val="96"/>
              </w:rPr>
              <w:t>4200 MARATHON BLVD. SUITE 200,</w:t>
            </w:r>
          </w:p>
        </w:tc>
        <w:tc>
          <w:tcPr>
            <w:tcW w:w="2780" w:type="dxa"/>
            <w:vAlign w:val="bottom"/>
          </w:tcPr>
          <w:p>
            <w:pPr>
              <w:spacing w:after="0"/>
              <w:rPr>
                <w:sz w:val="19"/>
                <w:szCs w:val="19"/>
                <w:color w:val="auto"/>
              </w:rPr>
            </w:pPr>
          </w:p>
        </w:tc>
        <w:tc>
          <w:tcPr>
            <w:tcW w:w="3500" w:type="dxa"/>
            <w:vAlign w:val="bottom"/>
            <w:tcBorders>
              <w:top w:val="single" w:sz="8" w:color="auto"/>
            </w:tcBorders>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AUSTIN, TX 78756</w:t>
            </w:r>
          </w:p>
        </w:tc>
        <w:tc>
          <w:tcPr>
            <w:tcW w:w="278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Dear Plus Therapeutics, Inc. Stockholder:</w:t>
      </w:r>
    </w:p>
    <w:p>
      <w:pPr>
        <w:spacing w:after="0" w:line="11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You are cordially invited to attend the 2023 Annual Meeting of the stockholders of Plus Therapeutics, Inc. (the “Annual Meeting”). The Annual Meeting will be held on April 20, 2023, commencing at 9:00 a.m., Central Time, and will be a completely virtual meeting of stockholders.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items of business for the meeting are to:</w:t>
      </w:r>
    </w:p>
    <w:p>
      <w:pPr>
        <w:spacing w:after="0" w:line="131"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members of our board of directors (the “Board”) for a one-year term;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BDO USA, LLP as our independent registered public accounting firm for the 2023 fiscal year;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non-binding advisory vote on the compensation of our named executive officers;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a non-binding advisory vote on the frequency of holding future non-binding advisory votes on executive officer compensation;</w:t>
      </w:r>
    </w:p>
    <w:p>
      <w:pPr>
        <w:spacing w:after="0" w:line="153" w:lineRule="exact"/>
        <w:rPr>
          <w:rFonts w:ascii="Arial" w:cs="Arial" w:eastAsia="Arial" w:hAnsi="Arial"/>
          <w:sz w:val="16"/>
          <w:szCs w:val="16"/>
          <w:color w:val="auto"/>
        </w:rPr>
      </w:pPr>
    </w:p>
    <w:p>
      <w:pPr>
        <w:ind w:left="960" w:right="40" w:hanging="532"/>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approve an amendment to our Amended and Restated Certificate of Incorporation, as amended (the “Charter”), to effect a reverse stock split of our issued and outstanding shares of common stock, at a specific ratio, ranging from one-for-three (1:3) to one-for-fifteen (1:15);</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the third amendment and restatement of the Company’s 2020 Stock Incentive Plan;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such other business as may be properly brought before the meeting or any adjournment or postponement thereof.</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Board recommends that shareholders (a) elect each board member nominee; (b) vote to approve items (ii), (iii), (v) and (vi); and (c) vote in favor of “one year” for item (iv).</w:t>
      </w:r>
    </w:p>
    <w:p>
      <w:pPr>
        <w:spacing w:after="0" w:line="17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In light of our successful virtual annual meetings of stockholders in 2021 and 2022, the Annual Meeting will be held via live webcast only again this year. We believe that the virtual meeting format also expands stockholder access and participation and improves communications.</w:t>
      </w:r>
    </w:p>
    <w:p>
      <w:pPr>
        <w:sectPr>
          <w:pgSz w:w="11900" w:h="16838" w:orient="portrait"/>
          <w:cols w:equalWidth="0" w:num="1">
            <w:col w:w="10840"/>
          </w:cols>
          <w:pgMar w:left="440" w:top="1440" w:right="619" w:bottom="1440" w:gutter="0" w:footer="0" w:header="0"/>
        </w:sectPr>
      </w:pPr>
    </w:p>
    <w:bookmarkStart w:id="4" w:name="page5"/>
    <w:bookmarkEnd w:id="4"/>
    <w:p>
      <w:pPr>
        <w:jc w:val="both"/>
        <w:ind w:right="3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 will be able to attend and participate in the Annual Meeting online, vote your shares electronically, and submit your questions prior to and during the meeting by visiting: </w:t>
      </w:r>
      <w:r>
        <w:rPr>
          <w:rFonts w:ascii="Arial" w:cs="Arial" w:eastAsia="Arial" w:hAnsi="Arial"/>
          <w:sz w:val="16"/>
          <w:szCs w:val="16"/>
          <w:u w:val="single" w:color="auto"/>
          <w:color w:val="auto"/>
        </w:rPr>
        <w:t>www.virtualshareholdermeeting.com/PSTV2023</w:t>
      </w:r>
      <w:r>
        <w:rPr>
          <w:rFonts w:ascii="Arial" w:cs="Arial" w:eastAsia="Arial" w:hAnsi="Arial"/>
          <w:sz w:val="16"/>
          <w:szCs w:val="16"/>
          <w:color w:val="auto"/>
        </w:rPr>
        <w:t>. To vote at the meeting, you must have your control number that is shown on your proxy card. There will not be a physical meeting location and you will not be able to attend the annual meeting in person.</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Only stockholders of record at the close of business on March 3, 2023 are entitled to notice of, and to vote while attending the Annual Meeting on the Internet. For 10 days prior to the Annual Meeting, a complete list of stockholders entitled to vote at the Annual Meeting will be available at the Secretary’s office at 4200 Marathon Blvd. Suite 200, Austin, TX 78756. We expect to commence mailing these proxy materials to our security holders on or about March 7, 2023.</w:t>
      </w:r>
    </w:p>
    <w:p>
      <w:pPr>
        <w:spacing w:after="0" w:line="183"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You are cordially invited to attend the Annual Meeting live via the Internet. It is important that your shares are represented at the Annual Meeting. Even if you plan to attend the Annual Meeting live via the Internet, we hope that you will promptly vote by dating, signing, and returning the enclosed proxy card or vote via the Internet or by telephone. This will not limit your ability to attend or vote during the Annual Meeting.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18567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56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MARC H. HEDRICK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Austin, Texas,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ectPr>
          <w:pgSz w:w="11900" w:h="16838" w:orient="portrait"/>
          <w:cols w:equalWidth="0" w:num="1">
            <w:col w:w="11000"/>
          </w:cols>
          <w:pgMar w:left="440" w:top="27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0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43"/>
        </w:trPr>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96"/>
        </w:trPr>
        <w:tc>
          <w:tcPr>
            <w:tcW w:w="104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DIRECTORS AND EXECUTIVE OFFICERS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83"/>
        </w:trPr>
        <w:tc>
          <w:tcPr>
            <w:tcW w:w="3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CORPORATE GOVERNANCE</w:t>
            </w:r>
          </w:p>
        </w:tc>
        <w:tc>
          <w:tcPr>
            <w:tcW w:w="7120" w:type="dxa"/>
            <w:vAlign w:val="bottom"/>
            <w:tcBorders>
              <w:top w:val="single" w:sz="8" w:color="CCEEFF"/>
            </w:tcBorders>
            <w:gridSpan w:val="11"/>
          </w:tcPr>
          <w:p>
            <w:pPr>
              <w:spacing w:after="0"/>
              <w:rPr>
                <w:sz w:val="24"/>
                <w:szCs w:val="24"/>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w:t>
            </w:r>
          </w:p>
        </w:tc>
      </w:tr>
      <w:tr>
        <w:trPr>
          <w:trHeight w:val="128"/>
        </w:trPr>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96"/>
        </w:trPr>
        <w:tc>
          <w:tcPr>
            <w:tcW w:w="24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5"/>
              </w:rPr>
              <w:t>EXECUTIVE COMPENSATION</w:t>
            </w:r>
          </w:p>
        </w:tc>
        <w:tc>
          <w:tcPr>
            <w:tcW w:w="804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84"/>
        </w:trPr>
        <w:tc>
          <w:tcPr>
            <w:tcW w:w="10480" w:type="dxa"/>
            <w:vAlign w:val="bottom"/>
            <w:gridSpan w:val="18"/>
          </w:tcPr>
          <w:p>
            <w:pPr>
              <w:spacing w:after="0"/>
              <w:rPr>
                <w:sz w:val="20"/>
                <w:szCs w:val="20"/>
                <w:color w:val="auto"/>
              </w:rPr>
            </w:pPr>
            <w:r>
              <w:rPr>
                <w:rFonts w:ascii="Arial" w:cs="Arial" w:eastAsia="Arial" w:hAnsi="Arial"/>
                <w:sz w:val="18"/>
                <w:szCs w:val="18"/>
                <w:color w:val="0000EE"/>
              </w:rPr>
              <w:t>PAY VERSUS PERFORMANCE</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28"/>
        </w:trPr>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96"/>
        </w:trPr>
        <w:tc>
          <w:tcPr>
            <w:tcW w:w="104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83"/>
        </w:trPr>
        <w:tc>
          <w:tcPr>
            <w:tcW w:w="67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CERTAIN RELATIONSHIPS AND RELATED TRANSACTIONS</w:t>
            </w:r>
          </w:p>
        </w:tc>
        <w:tc>
          <w:tcPr>
            <w:tcW w:w="3760" w:type="dxa"/>
            <w:vAlign w:val="bottom"/>
            <w:tcBorders>
              <w:top w:val="single" w:sz="8" w:color="CCEEFF"/>
            </w:tcBorders>
            <w:gridSpan w:val="7"/>
          </w:tcPr>
          <w:p>
            <w:pPr>
              <w:spacing w:after="0"/>
              <w:rPr>
                <w:sz w:val="24"/>
                <w:szCs w:val="24"/>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r>
      <w:tr>
        <w:trPr>
          <w:trHeight w:val="128"/>
        </w:trPr>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80" w:type="dxa"/>
            <w:vAlign w:val="bottom"/>
            <w:tcBorders>
              <w:top w:val="single" w:sz="8" w:color="0000EE"/>
            </w:tcBorders>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6"/>
        </w:trPr>
        <w:tc>
          <w:tcPr>
            <w:tcW w:w="104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AUDIT MATTERS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10480" w:type="dxa"/>
            <w:vAlign w:val="bottom"/>
            <w:gridSpan w:val="18"/>
          </w:tcPr>
          <w:p>
            <w:pPr>
              <w:spacing w:after="0"/>
              <w:rPr>
                <w:sz w:val="20"/>
                <w:szCs w:val="20"/>
                <w:color w:val="auto"/>
              </w:rPr>
            </w:pPr>
            <w:r>
              <w:rPr>
                <w:rFonts w:ascii="Arial" w:cs="Arial" w:eastAsia="Arial" w:hAnsi="Arial"/>
                <w:sz w:val="18"/>
                <w:szCs w:val="18"/>
                <w:color w:val="0000EE"/>
              </w:rPr>
              <w:t>PROPOSAL #1 ELECTION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28"/>
        </w:trPr>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96"/>
        </w:trPr>
        <w:tc>
          <w:tcPr>
            <w:tcW w:w="91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5"/>
              </w:rPr>
              <w:t>PROPOSAL #2 RATIFICATION OF APPOINTMENT OF INDEPENDENT REGISTERED PUBLIC ACCOUNTING FIRM</w:t>
            </w:r>
          </w:p>
        </w:tc>
        <w:tc>
          <w:tcPr>
            <w:tcW w:w="1360" w:type="dxa"/>
            <w:vAlign w:val="bottom"/>
            <w:tcBorders>
              <w:bottom w:val="single" w:sz="8" w:color="CCEEFF"/>
            </w:tcBorders>
            <w:gridSpan w:val="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r>
      <w:tr>
        <w:trPr>
          <w:trHeight w:val="283"/>
        </w:trPr>
        <w:tc>
          <w:tcPr>
            <w:tcW w:w="10480" w:type="dxa"/>
            <w:vAlign w:val="bottom"/>
            <w:gridSpan w:val="18"/>
          </w:tcPr>
          <w:p>
            <w:pPr>
              <w:spacing w:after="0"/>
              <w:rPr>
                <w:sz w:val="20"/>
                <w:szCs w:val="20"/>
                <w:color w:val="auto"/>
              </w:rPr>
            </w:pPr>
            <w:r>
              <w:rPr>
                <w:rFonts w:ascii="Arial" w:cs="Arial" w:eastAsia="Arial" w:hAnsi="Arial"/>
                <w:sz w:val="18"/>
                <w:szCs w:val="18"/>
                <w:color w:val="0000EE"/>
              </w:rPr>
              <w:t>PROPOSAL #3 NON-BINDING ADVISORY VOTE ON EXECUTIVE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28"/>
        </w:trPr>
        <w:tc>
          <w:tcPr>
            <w:tcW w:w="18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8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5"/>
        </w:trPr>
        <w:tc>
          <w:tcPr>
            <w:tcW w:w="104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7"/>
              </w:rPr>
              <w:t>PROPOSAL #4 NON-BINDING ADVISORY VOTE ON FREQUENCY OF HOLDING FUTURE NON-BINDING ADVISORY VOTES ON</w:t>
            </w:r>
          </w:p>
        </w:tc>
        <w:tc>
          <w:tcPr>
            <w:tcW w:w="5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440" w:type="dxa"/>
            <w:vAlign w:val="bottom"/>
            <w:tcBorders>
              <w:top w:val="single" w:sz="8" w:color="0000EE"/>
              <w:bottom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772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83"/>
        </w:trPr>
        <w:tc>
          <w:tcPr>
            <w:tcW w:w="10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5"/>
              </w:rPr>
              <w:t>PROPOSAL #5 APPROVAL OF AN AMENDMENT TO OUR AMENDED AND RESTATED CERTIFICATE OF INCORPORATION, AS</w:t>
            </w:r>
          </w:p>
        </w:tc>
        <w:tc>
          <w:tcPr>
            <w:tcW w:w="3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024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AMENDED, TO EFFECT A REVERSE STOCK SPLIT OF OUR ISSUED AND OUTSTANDING SHARES OF COMMON STOCK, AS A</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300" w:type="dxa"/>
            <w:vAlign w:val="bottom"/>
            <w:gridSpan w:val="17"/>
          </w:tcPr>
          <w:p>
            <w:pPr>
              <w:spacing w:after="0" w:line="196" w:lineRule="exact"/>
              <w:rPr>
                <w:sz w:val="20"/>
                <w:szCs w:val="20"/>
                <w:color w:val="auto"/>
              </w:rPr>
            </w:pPr>
            <w:r>
              <w:rPr>
                <w:rFonts w:ascii="Arial" w:cs="Arial" w:eastAsia="Arial" w:hAnsi="Arial"/>
                <w:sz w:val="18"/>
                <w:szCs w:val="18"/>
                <w:color w:val="0000EE"/>
              </w:rPr>
              <w:t>SPECIFIC RATIO, RANGING FROM ONE-FOR-THREE (1:3) TO ONE-FOR-FIFTEEN (1:15)</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29"/>
        </w:trPr>
        <w:tc>
          <w:tcPr>
            <w:tcW w:w="180" w:type="dxa"/>
            <w:vAlign w:val="bottom"/>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8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96"/>
        </w:trPr>
        <w:tc>
          <w:tcPr>
            <w:tcW w:w="104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PROPOSAL #6 APPROVAL OF THE THIRD AMENDMENT AND RESTATEMENT OF THE 2020 STOCK INCENTIVE PLAN</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r>
      <w:tr>
        <w:trPr>
          <w:trHeight w:val="175"/>
        </w:trPr>
        <w:tc>
          <w:tcPr>
            <w:tcW w:w="956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OTHER MATTERS</w:t>
            </w:r>
          </w:p>
        </w:tc>
        <w:tc>
          <w:tcPr>
            <w:tcW w:w="920" w:type="dxa"/>
            <w:vAlign w:val="bottom"/>
            <w:tcBorders>
              <w:top w:val="single" w:sz="8" w:color="CCEEFF"/>
            </w:tcBorders>
            <w:gridSpan w:val="4"/>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64</w:t>
            </w:r>
          </w:p>
        </w:tc>
      </w:tr>
      <w:tr>
        <w:trPr>
          <w:trHeight w:val="385"/>
        </w:trPr>
        <w:tc>
          <w:tcPr>
            <w:tcW w:w="1460" w:type="dxa"/>
            <w:vAlign w:val="bottom"/>
            <w:tcBorders>
              <w:top w:val="single" w:sz="8" w:color="0000EE"/>
            </w:tcBorders>
            <w:gridSpan w:val="3"/>
          </w:tcPr>
          <w:p>
            <w:pPr>
              <w:spacing w:after="0"/>
              <w:rPr>
                <w:sz w:val="24"/>
                <w:szCs w:val="24"/>
                <w:color w:val="auto"/>
              </w:rPr>
            </w:pPr>
          </w:p>
        </w:tc>
        <w:tc>
          <w:tcPr>
            <w:tcW w:w="5220" w:type="dxa"/>
            <w:vAlign w:val="bottom"/>
            <w:gridSpan w:val="7"/>
          </w:tcPr>
          <w:p>
            <w:pPr>
              <w:jc w:val="right"/>
              <w:ind w:right="11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4200 Marathon Blvd. Suite 200,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TX 78756</w:t>
      </w:r>
    </w:p>
    <w:p>
      <w:pPr>
        <w:spacing w:after="0" w:line="9" w:lineRule="exact"/>
        <w:rPr>
          <w:sz w:val="20"/>
          <w:szCs w:val="20"/>
          <w:color w:val="auto"/>
        </w:rPr>
      </w:pPr>
    </w:p>
    <w:p>
      <w:pPr>
        <w:ind w:left="5380" w:hanging="438"/>
        <w:spacing w:after="0"/>
        <w:tabs>
          <w:tab w:leader="none" w:pos="5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255-7194</w:t>
      </w:r>
    </w:p>
    <w:p>
      <w:pPr>
        <w:spacing w:after="0" w:line="200" w:lineRule="exact"/>
        <w:rPr>
          <w:rFonts w:ascii="Arial" w:cs="Arial" w:eastAsia="Arial" w:hAnsi="Arial"/>
          <w:sz w:val="18"/>
          <w:szCs w:val="18"/>
          <w:b w:val="1"/>
          <w:bCs w:val="1"/>
          <w:color w:val="auto"/>
        </w:rPr>
      </w:pPr>
    </w:p>
    <w:p>
      <w:pPr>
        <w:spacing w:after="0" w:line="371" w:lineRule="exact"/>
        <w:rPr>
          <w:rFonts w:ascii="Arial" w:cs="Arial" w:eastAsia="Arial" w:hAnsi="Arial"/>
          <w:sz w:val="18"/>
          <w:szCs w:val="18"/>
          <w:b w:val="1"/>
          <w:bCs w:val="1"/>
          <w:color w:val="auto"/>
        </w:rPr>
      </w:pPr>
    </w:p>
    <w:p>
      <w:pPr>
        <w:ind w:left="4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-264795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MEETING OF STOCKHOLDERS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i w:val="1"/>
          <w:iCs w:val="1"/>
          <w:color w:val="auto"/>
        </w:rPr>
        <w:t>Our annual report on Form 10-K for the year ended December 31, 2022 is being made available to stockholders together with these proxy materials on or about March 7, 2023.</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Proxy Statement is being furnished in connection with the solicitation of proxies by Plus Therapeutics, Inc. (the “Company,” “Plus,” or “we”) to be used at our 2023 Annual Meeting of Stockholders to be held on April 20, 2023 at 9:00 a.m., Central Time (“Annual Meeting”), and at any adjournment or postponement of the Annual Meeting, for the purposes set forth in the accompanying notice of Annual Meeting. The Annual Meeting will be a completely virtual meeting of stockholders.</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We have fixed the close of business on March 3, 2023 as the record date for the determination of the stockholders entitled to notice of and to vote at the Annual Meeting (the “Record Date”). Only holders of record of shares of our common stock on that date are entitled to notice of and to vote at the Annual Meeting.</w:t>
      </w:r>
    </w:p>
    <w:p>
      <w:pPr>
        <w:spacing w:after="0" w:line="184" w:lineRule="exact"/>
        <w:rPr>
          <w:sz w:val="20"/>
          <w:szCs w:val="20"/>
          <w:color w:val="auto"/>
        </w:rPr>
      </w:pPr>
    </w:p>
    <w:p>
      <w:pPr>
        <w:jc w:val="both"/>
        <w:ind w:right="300" w:firstLine="440"/>
        <w:spacing w:after="0" w:line="311" w:lineRule="auto"/>
        <w:rPr>
          <w:sz w:val="20"/>
          <w:szCs w:val="20"/>
          <w:color w:val="auto"/>
        </w:rPr>
      </w:pPr>
      <w:r>
        <w:rPr>
          <w:rFonts w:ascii="Arial" w:cs="Arial" w:eastAsia="Arial" w:hAnsi="Arial"/>
          <w:sz w:val="16"/>
          <w:szCs w:val="16"/>
          <w:color w:val="auto"/>
        </w:rPr>
        <w:t xml:space="preserve">You will be able to attend and participate in the Annual Meeting online, vote your shares electronically, and submit your questions prior to and during the meeting by visiting: </w:t>
      </w:r>
      <w:r>
        <w:rPr>
          <w:rFonts w:ascii="Arial" w:cs="Arial" w:eastAsia="Arial" w:hAnsi="Arial"/>
          <w:sz w:val="16"/>
          <w:szCs w:val="16"/>
          <w:u w:val="single" w:color="auto"/>
          <w:color w:val="auto"/>
        </w:rPr>
        <w:t>www.virtualshareholdermeeting.com/PSTV2023</w:t>
      </w:r>
      <w:r>
        <w:rPr>
          <w:rFonts w:ascii="Arial" w:cs="Arial" w:eastAsia="Arial" w:hAnsi="Arial"/>
          <w:sz w:val="16"/>
          <w:szCs w:val="16"/>
          <w:color w:val="auto"/>
        </w:rPr>
        <w:t>. To vote at the meeting, you must have your control number that is shown on your proxy card. There will not be a physical meeting location and you will not be able to attend the annual meeting in person.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Meeting and Voting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What is a proxy statement and why has this Proxy Statement been provided to me?</w:t>
      </w:r>
    </w:p>
    <w:p>
      <w:pPr>
        <w:spacing w:after="0" w:line="229" w:lineRule="exact"/>
        <w:rPr>
          <w:sz w:val="20"/>
          <w:szCs w:val="20"/>
          <w:color w:val="auto"/>
        </w:rPr>
      </w:pPr>
    </w:p>
    <w:p>
      <w:pPr>
        <w:jc w:val="both"/>
        <w:ind w:right="160" w:firstLine="436"/>
        <w:spacing w:after="0" w:line="279" w:lineRule="auto"/>
        <w:tabs>
          <w:tab w:leader="none" w:pos="66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Proxy Statement is a document that Securities and Exchange Commission (“SEC”) regulations require us to give you when we ask you to provide a proxy to vote your shares at the Annual Meeting. Among other things, this Proxy Statement describes the proposals on which stockholders will be voting and provides information about us. We are soliciting your proxy to vote at the Annual Meeting and at any adjournment or postponement of the Annual Meeting. We will use the proxies received in connection with proposals to:</w:t>
      </w:r>
    </w:p>
    <w:p>
      <w:pPr>
        <w:spacing w:after="0" w:line="76" w:lineRule="exact"/>
        <w:rPr>
          <w:rFonts w:ascii="Arial" w:cs="Arial" w:eastAsia="Arial" w:hAnsi="Arial"/>
          <w:sz w:val="17"/>
          <w:szCs w:val="17"/>
          <w:color w:val="auto"/>
        </w:rPr>
      </w:pPr>
    </w:p>
    <w:p>
      <w:pPr>
        <w:ind w:left="1420" w:hanging="439"/>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elect members of our Board for a one-year term;</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ratify the appointment of BDO USA, LLP as our independent registered public accounting firm for the 2023 fiscal year;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provide a non-binding advisory vote on the compensation of our named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7" w:name="page8"/>
    <w:bookmarkEnd w:id="7"/>
    <w:p>
      <w:pPr>
        <w:ind w:left="1420" w:right="960" w:hanging="439"/>
        <w:spacing w:after="0" w:line="277"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 non-binding advisory vote on the frequency of holding future non-binding advisory votes on executive officer compensation;</w:t>
      </w:r>
    </w:p>
    <w:p>
      <w:pPr>
        <w:spacing w:after="0" w:line="75" w:lineRule="exact"/>
        <w:rPr>
          <w:rFonts w:ascii="Arial" w:cs="Arial" w:eastAsia="Arial" w:hAnsi="Arial"/>
          <w:sz w:val="18"/>
          <w:szCs w:val="18"/>
          <w:color w:val="auto"/>
        </w:rPr>
      </w:pPr>
    </w:p>
    <w:p>
      <w:pPr>
        <w:ind w:left="1420" w:right="260" w:hanging="439"/>
        <w:spacing w:after="0" w:line="263"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approve an amendment to our Amended and Restated Certificate of Incorporation, as amended (the “Charter”), to effect a reverse stock split of our issued and outstanding shares of common stock, at a specific ratio, ranging from one-for-three (1:3) to one-for-fifteen (1:15);</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approve the third amendment and restatement of the Plus Therapeutics, Inc. 2020 Stock Incentive Plan;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transact such other business as may be properly brought before the meeting or any adjournment or postponement thereof.</w:t>
      </w:r>
    </w:p>
    <w:p>
      <w:pPr>
        <w:spacing w:after="0" w:line="232" w:lineRule="exact"/>
        <w:rPr>
          <w:rFonts w:ascii="Arial" w:cs="Arial" w:eastAsia="Arial" w:hAnsi="Arial"/>
          <w:sz w:val="17"/>
          <w:szCs w:val="17"/>
          <w:color w:val="auto"/>
        </w:rPr>
      </w:pPr>
    </w:p>
    <w:p>
      <w:pPr>
        <w:ind w:left="680" w:hanging="244"/>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229" w:lineRule="exact"/>
        <w:rPr>
          <w:sz w:val="20"/>
          <w:szCs w:val="20"/>
          <w:color w:val="auto"/>
        </w:rPr>
      </w:pPr>
    </w:p>
    <w:p>
      <w:pPr>
        <w:ind w:firstLine="436"/>
        <w:spacing w:after="0" w:line="259"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proxy is your legal designation of another person to vote the stock you own. That designee is referred to as a proxy holder. Designation of a particular proxy holder can be effected by completion of a written proxy card, or by voting via the Internet or by telephone. If you return a proxy card, or vote by phone or internet, our President and Chief Executive Officer, Marc H. Hedrick, M.D., and our Chief Financial Officer, Andrew Sims, will act as your designated proxy holder at the Annual Meeting.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can I attend the Annual Meeting?</w:t>
      </w:r>
    </w:p>
    <w:p>
      <w:pPr>
        <w:spacing w:after="0" w:line="229" w:lineRule="exact"/>
        <w:rPr>
          <w:sz w:val="20"/>
          <w:szCs w:val="20"/>
          <w:color w:val="auto"/>
        </w:rPr>
      </w:pPr>
    </w:p>
    <w:p>
      <w:pPr>
        <w:jc w:val="both"/>
        <w:ind w:right="100" w:firstLine="436"/>
        <w:spacing w:after="0" w:line="263"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Meeting will be a virtual meeting of stockholders, which will be conducted exclusively by webcast. You are entitled to participate in the Annual Meeting only if you were a stockholder of the Company as of the close of business on March 3, 2023, or if you hold a valid proxy for the Annual Meeting.</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No physical meeting will be held. You will be able to attend the Annual Meeting online and submit your questions during the meeting by visiting </w:t>
      </w:r>
      <w:r>
        <w:rPr>
          <w:rFonts w:ascii="Arial" w:cs="Arial" w:eastAsia="Arial" w:hAnsi="Arial"/>
          <w:sz w:val="17"/>
          <w:szCs w:val="17"/>
          <w:u w:val="single" w:color="auto"/>
          <w:color w:val="auto"/>
        </w:rPr>
        <w:t>www.virtualshareholdermeeting.com/PSTV2023</w:t>
      </w:r>
      <w:r>
        <w:rPr>
          <w:rFonts w:ascii="Arial" w:cs="Arial" w:eastAsia="Arial" w:hAnsi="Arial"/>
          <w:sz w:val="17"/>
          <w:szCs w:val="17"/>
          <w:color w:val="auto"/>
        </w:rPr>
        <w:t>. You also will be able to vote your shares online by attending the Annual Meeting webcast. To participate in the Annual Meeting, you will need the sixteen-digit control number provided on your proxy card. For more information, review the information included on your proxy card, or the instructions that accompanied your proxy materials.</w:t>
      </w:r>
    </w:p>
    <w:p>
      <w:pPr>
        <w:spacing w:after="0" w:line="17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online meeting will begin promptly at 9:00 a.m., Central Time, on April 20, 2023. We encourage you to access the meeting prior to the start time, leaving ample time for the check in. Please follow the instructions in this Proxy Statement and on your proxy card.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What is the difference between a stockholder of record and a beneficial owner who holds stock in street name?</w:t>
      </w:r>
    </w:p>
    <w:p>
      <w:pPr>
        <w:spacing w:after="0" w:line="229" w:lineRule="exact"/>
        <w:rPr>
          <w:sz w:val="20"/>
          <w:szCs w:val="20"/>
          <w:color w:val="auto"/>
        </w:rPr>
      </w:pPr>
    </w:p>
    <w:p>
      <w:pPr>
        <w:ind w:right="20" w:firstLine="436"/>
        <w:spacing w:after="0" w:line="259"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a stockholder of record, or a “registered holder”, if your shares are registered in your own name through our transfer agent. If you have a stock certificate, you are also a stockholder of record. You are a beneficial owner of our stock in street name if you hold your shares through a broker, bank or other third-party institution (in this situation, the banks, brokers, etc. are the stockholders of record). The vast majority of our stockholders hold their shares in street name.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What different methods can I use to vote?</w:t>
      </w:r>
    </w:p>
    <w:p>
      <w:pPr>
        <w:spacing w:after="0" w:line="229" w:lineRule="exact"/>
        <w:rPr>
          <w:sz w:val="20"/>
          <w:szCs w:val="20"/>
          <w:color w:val="auto"/>
        </w:rPr>
      </w:pPr>
    </w:p>
    <w:p>
      <w:pPr>
        <w:ind w:right="140" w:firstLine="436"/>
        <w:spacing w:after="0" w:line="255"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Stockholders who are a registered holder may vote by virtually attending the proxy meeting, submitting votes electronically over the Internet, by telephone or by completing and mailing a proxy card. The website identified on the proxy card provides specific instructions on how to vote electronically over the Internet. Those stockholders who receive a paper proxy by mail, and who elect to vote by mail, should complete and return the mailed proxy card in the prepaid and addressed envelope that was enclosed with the proxy materials. Stockholders who vote over the Internet or by telephone need not return a proxy card or voting instruction form by mail, but may incur costs, such as usage charges, from telephone companies or Internet service providers.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are the beneficial owner of stock held in street name, follow the instructions from your broker, bank or other nominee to vote your shares.</w:t>
      </w:r>
    </w:p>
    <w:p>
      <w:pPr>
        <w:spacing w:after="0" w:line="248"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Stockholders who have previously elected to access our proxy materials and annual report electronically over the Internet will continue to receive an e-mail, referred to in this Proxy Statement as an “e-mail notice”, with information on how to access the proxy information and voting instructions.</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Only proxy cards and voting instruction forms that have been signed, dated and timely returned and only proxies that have been timely voted electronically or by telephone will be counted in the quorum and voted.</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You may also vote your shares at the Annual Meeting. If you are a registered holder you must join live online at </w:t>
      </w:r>
      <w:r>
        <w:rPr>
          <w:rFonts w:ascii="Arial" w:cs="Arial" w:eastAsia="Arial" w:hAnsi="Arial"/>
          <w:sz w:val="18"/>
          <w:szCs w:val="18"/>
          <w:u w:val="single" w:color="auto"/>
          <w:color w:val="auto"/>
        </w:rPr>
        <w:t>www.virtualshareholdermeeting.com/PSTV2023</w:t>
      </w:r>
      <w:r>
        <w:rPr>
          <w:rFonts w:ascii="Arial" w:cs="Arial" w:eastAsia="Arial" w:hAnsi="Arial"/>
          <w:sz w:val="18"/>
          <w:szCs w:val="18"/>
          <w:color w:val="auto"/>
        </w:rPr>
        <w:t>. The webcast will start at 9:00 a.m., Central Time. You may vote and submit questions while attending the meeting online. You will need the control number included on your proxy card (if you received a printed copy of the proxy materials) to vote during the meeting.</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If you receive more than one email notice, proxy card or voting instruction form because your shares are held in multiple accounts or registered in different names or addresses, please vote your shares held in </w:t>
      </w:r>
      <w:r>
        <w:rPr>
          <w:rFonts w:ascii="Arial" w:cs="Arial" w:eastAsia="Arial" w:hAnsi="Arial"/>
          <w:sz w:val="18"/>
          <w:szCs w:val="18"/>
          <w:i w:val="1"/>
          <w:iCs w:val="1"/>
          <w:color w:val="auto"/>
        </w:rPr>
        <w:t>each account</w:t>
      </w:r>
      <w:r>
        <w:rPr>
          <w:rFonts w:ascii="Arial" w:cs="Arial" w:eastAsia="Arial" w:hAnsi="Arial"/>
          <w:sz w:val="18"/>
          <w:szCs w:val="18"/>
          <w:color w:val="auto"/>
        </w:rPr>
        <w:t xml:space="preserve"> to ensure that all of your shares will be voted.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What is the Record Date and what does it mean?</w:t>
      </w:r>
    </w:p>
    <w:p>
      <w:pPr>
        <w:spacing w:after="0" w:line="229" w:lineRule="exact"/>
        <w:rPr>
          <w:sz w:val="20"/>
          <w:szCs w:val="20"/>
          <w:color w:val="auto"/>
        </w:rPr>
      </w:pPr>
    </w:p>
    <w:p>
      <w:pPr>
        <w:ind w:right="200" w:firstLine="436"/>
        <w:spacing w:after="0" w:line="263" w:lineRule="auto"/>
        <w:tabs>
          <w:tab w:leader="none" w:pos="6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Record Date for the Annual Meeting is March 3, 2023. The Record Date is established by our Board as required by Delaware General Corporation Law. Owners of our common stock at the close of business on the Record Date are entitled to receive notice of the meeting and to vote at the meeting and any adjournment or postponement of the meeting.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can I change my vote?</w:t>
      </w:r>
    </w:p>
    <w:p>
      <w:pPr>
        <w:spacing w:after="0" w:line="229" w:lineRule="exact"/>
        <w:rPr>
          <w:sz w:val="20"/>
          <w:szCs w:val="20"/>
          <w:color w:val="auto"/>
        </w:rPr>
      </w:pPr>
    </w:p>
    <w:p>
      <w:pPr>
        <w:ind w:right="40" w:firstLine="436"/>
        <w:spacing w:after="0" w:line="259"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may revoke your proxy and change your vote at any time before the final vote at the meeting. You can revoke a proxy by delivering written notice of revocation to our Corporate Secretary, following the Internet voting instructions, delivering a later dated proxy, or voting at the meeting. However, your attendance at the Annual Meeting will not automatically revoke your proxy unless you vote again at the meeting or specifically request in writing that your proxy be revoked.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What are my voting choices when voting for director nominees and what vote is needed to elect directors?</w:t>
      </w:r>
    </w:p>
    <w:p>
      <w:pPr>
        <w:spacing w:after="0" w:line="229" w:lineRule="exact"/>
        <w:rPr>
          <w:sz w:val="20"/>
          <w:szCs w:val="20"/>
          <w:color w:val="auto"/>
        </w:rPr>
      </w:pPr>
    </w:p>
    <w:p>
      <w:pPr>
        <w:ind w:firstLine="436"/>
        <w:spacing w:after="0" w:line="255" w:lineRule="auto"/>
        <w:tabs>
          <w:tab w:leader="none" w:pos="6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voting on the election of director nominees to serve until the 2024 Annual Meeting, stockholders may vote in favor of each nominee, or may withhold votes as to each nominee. In addition, if any other candidates are properly nominated at the meeting, stockholders of record who attend the meeting could vote for the other candidates. Directors are elected by a plurality vote, which means that the six nominees receiving the most affirmative votes will be elected. Stockholders are not entitled to cumulative voting rights with respect to the election of directors. Only votes “FOR” or “WITHHELD” will affect the outcome. We do not expect any broker non-votes in connection with this proposal since we expect brokers to have discretionary authority to vote on this proposal.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9" w:name="page10"/>
    <w:bookmarkEnd w:id="9"/>
    <w:p>
      <w:pPr>
        <w:ind w:right="320" w:firstLine="436"/>
        <w:spacing w:after="0" w:line="282" w:lineRule="auto"/>
        <w:tabs>
          <w:tab w:leader="none" w:pos="68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are my voting choices when voting to ratify the appointment of our independent registered public accounting firm, and what vote is needed to ratify the appointment?</w:t>
      </w:r>
    </w:p>
    <w:p>
      <w:pPr>
        <w:spacing w:after="0" w:line="166" w:lineRule="exact"/>
        <w:rPr>
          <w:sz w:val="20"/>
          <w:szCs w:val="20"/>
          <w:color w:val="auto"/>
        </w:rPr>
      </w:pPr>
    </w:p>
    <w:p>
      <w:pPr>
        <w:ind w:right="20" w:firstLine="436"/>
        <w:spacing w:after="0" w:line="296" w:lineRule="auto"/>
        <w:tabs>
          <w:tab w:leader="none" w:pos="6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voting on the ratification of the appointment of our independent registered public accounting firm, stockholders may vote in favor of or against the ratification or may abstain from voting on the ratification. The affirmative vote of a majority of the common stock having voting power present at the meeting or represented by proxy at the meeting is required to approve this proposal. Abstentions will be counted as present for purposes of determining a quorum and are considered shares present and entitled to vote and thus will have the effect of a vote “AGAINST” this proposal. We do not expect any broker non-votes in connection with this proposal since we expect brokers to have discretionary authority to vote on this proposal.</w:t>
      </w:r>
    </w:p>
    <w:p>
      <w:pPr>
        <w:spacing w:after="0" w:line="16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vote is advisory, and therefore not binding on the Board. Although the vote is non-binding, the Board will review the voting results, seek to determine the cause or causes of any significant negative voting, and take them into consideration when making decisions regarding our independent registered public accounting firm for this fiscal year and future fiscal years.</w:t>
      </w:r>
    </w:p>
    <w:p>
      <w:pPr>
        <w:spacing w:after="0" w:line="180" w:lineRule="exact"/>
        <w:rPr>
          <w:sz w:val="20"/>
          <w:szCs w:val="20"/>
          <w:color w:val="auto"/>
        </w:rPr>
      </w:pPr>
    </w:p>
    <w:p>
      <w:pPr>
        <w:ind w:left="680" w:hanging="244"/>
        <w:spacing w:after="0"/>
        <w:tabs>
          <w:tab w:leader="none" w:pos="6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my voting choices when voting to approve, on an advisory basis, the compensation of the Company’s named executive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 In voting on the approval, on an advisory basis, of the compensation of our named executive officers, stockholders may vote in favor or against the proposal, or they may abstain from voting on this proposal. The affirmative vote of a majority of the common stock having voting power present at the meeting or represented by proxy at the meeting is required to approve this proposal. Abstentions will be counted as present for purposes of determining a quorum and are considered shares present and entitled to vote and thus will have the effect of a vote “AGAINST” this proposal.</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vote is advisory, and therefore not binding on the Board. Although the vote is non-binding, the Board will review the voting results, seek to determine the cause or causes of any significant negative voting, and take them into consideration when making future decisions regarding executive compensation programs. We do not expect any broker non-votes in connection with this proposal since we expect brokers to have discretionary authority to vote on this proposal.</w:t>
      </w:r>
    </w:p>
    <w:p>
      <w:pPr>
        <w:spacing w:after="0" w:line="183" w:lineRule="exact"/>
        <w:rPr>
          <w:sz w:val="20"/>
          <w:szCs w:val="20"/>
          <w:color w:val="auto"/>
        </w:rPr>
      </w:pPr>
    </w:p>
    <w:p>
      <w:pPr>
        <w:ind w:right="180" w:firstLine="987"/>
        <w:spacing w:after="0" w:line="282" w:lineRule="auto"/>
        <w:tabs>
          <w:tab w:leader="none" w:pos="123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voting choices when voting, on an advisory basis, on the frequency of holding future non-binding advisory votes on executive officer compensation?</w:t>
      </w:r>
    </w:p>
    <w:p>
      <w:pPr>
        <w:spacing w:after="0" w:line="166" w:lineRule="exact"/>
        <w:rPr>
          <w:sz w:val="20"/>
          <w:szCs w:val="20"/>
          <w:color w:val="auto"/>
        </w:rPr>
      </w:pPr>
    </w:p>
    <w:p>
      <w:pPr>
        <w:ind w:right="60" w:firstLine="987"/>
        <w:spacing w:after="0" w:line="291" w:lineRule="auto"/>
        <w:tabs>
          <w:tab w:leader="none" w:pos="12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voting, on an advisory basis, on the frequency of holding non-binding advisory votes on executive officer compensation, or “say-on-pay,” stockholders may vote to have the say-on-pay vote every year, every two years, or every three years, or may abstain from voting. The option of every year, every two years or every three years that receives the affirmative vote of holders of a majority of shares present in person virtually or by proxy and entitled to vote on the proposal will be the frequency recommended by stockholders for the advisory vote on the compensation of our executive officers, unless none of the frequency options receives a majority vote, in which case the option that receives the highest number of votes will be considered to be the frequency recommended by stockholders. Abstentions have the same effect as a vote against each of the frequency options. Broker non-votes are not counted for any purpose in determining which frequency option has been recommended by stockholders.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0" w:name="page11"/>
    <w:bookmarkEnd w:id="10"/>
    <w:p>
      <w:pPr>
        <w:ind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vote is advisory, and therefore not binding on the Board. Stockholders may choose among the four choices (every year, every two years, every three years or abstain from voting). The Board will consider any significant vote in favor of one frequency over the other options and will evaluate the appropriate next step.</w:t>
      </w:r>
    </w:p>
    <w:p>
      <w:pPr>
        <w:spacing w:after="0" w:line="180" w:lineRule="exact"/>
        <w:rPr>
          <w:sz w:val="20"/>
          <w:szCs w:val="20"/>
          <w:color w:val="auto"/>
        </w:rPr>
      </w:pPr>
    </w:p>
    <w:p>
      <w:pPr>
        <w:ind w:right="400" w:firstLine="436"/>
        <w:spacing w:after="0" w:line="282" w:lineRule="auto"/>
        <w:tabs>
          <w:tab w:leader="none" w:pos="68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voting choices when voting to approve an amendment to our Charter to effect a reverse stock split of our issued and outstanding shares of common stock.</w:t>
      </w:r>
    </w:p>
    <w:p>
      <w:pPr>
        <w:spacing w:after="0" w:line="166" w:lineRule="exact"/>
        <w:rPr>
          <w:sz w:val="20"/>
          <w:szCs w:val="20"/>
          <w:color w:val="auto"/>
        </w:rPr>
      </w:pPr>
    </w:p>
    <w:p>
      <w:pPr>
        <w:ind w:firstLine="436"/>
        <w:spacing w:after="0" w:line="286" w:lineRule="auto"/>
        <w:tabs>
          <w:tab w:leader="none" w:pos="6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voting to approve an amendment to our Charter to effect a reverse stock split of our issued and outstanding shares of common stock, stockholders may vote in favor of or against the proposal, or may abstain from voting on this proposal. The holder of record of the one (1) outstanding share of Series F Preferred Stock will be entitled to 50,000,000 votes for such share of our Series F Preferred Stock held on the Record Date, and has the right to vote only on the reverse stock split proposal described below, provided that such votes will automatically be voted, without action by the holder, in the same proportion as the shares of common stock voted on the reverse stock split proposal. As an example, if 50.5% of the shares of common stock voted at the Annual Meeting are voted FOR the reverse stock split proposal, 50.5% of the votes cast by the holder of the Series F Preferred Stock will be cast as votes FOR the reverse stock split proposal. Holders of common stock and Series F Preferred Stock will vote on the reverse stock split proposal as a single class. The presence, in person virtually or by proxy, of the holders on the Record Date entitled to cast at least one third of the total votes entitled to be cast by the holders of all outstanding capital stock of the Company, present in person or by proxy, shall constitute a quorum for the reverse stock split proposal at the Annual Meeting and any adjournment thereof. This proposal must be approved, in person virtually or by proxy, by the holders on the Record Date of a majority of the voting power of the outstanding shares of our common stock and Series F Preferred Stock, voting together as a single class. As a result, abstentions will have the same effect as a vote “AGAINST” such proposal. Broker non-votes are not counted for any purpose in determining whether to approve the amendment to our Charter.</w:t>
      </w:r>
    </w:p>
    <w:p>
      <w:pPr>
        <w:spacing w:after="0" w:line="170" w:lineRule="exact"/>
        <w:rPr>
          <w:sz w:val="20"/>
          <w:szCs w:val="20"/>
          <w:color w:val="auto"/>
        </w:rPr>
      </w:pPr>
    </w:p>
    <w:p>
      <w:pPr>
        <w:ind w:right="220" w:firstLine="436"/>
        <w:spacing w:after="0" w:line="282" w:lineRule="auto"/>
        <w:tabs>
          <w:tab w:leader="none" w:pos="68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voting choices when voting to approve the third amendment and restatement of the Plus Therapeutics, Inc. 2020 Stock Incentive Plan?</w:t>
      </w:r>
    </w:p>
    <w:p>
      <w:pPr>
        <w:spacing w:after="0" w:line="166" w:lineRule="exact"/>
        <w:rPr>
          <w:sz w:val="20"/>
          <w:szCs w:val="20"/>
          <w:color w:val="auto"/>
        </w:rPr>
      </w:pPr>
    </w:p>
    <w:p>
      <w:pPr>
        <w:ind w:right="60" w:firstLine="436"/>
        <w:spacing w:after="0" w:line="257"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voting on the approval of the third amendment and restatement of the Plus Therapeutics, Inc. 2020 Stock Incentive Plan, stockholders may vote in favor of or against the proposal or they may abstain from voting on the proposal. The affirmative vote of a majority of the common stock having voting power present in person or represented by proxy at the meeting is required to approve this proposal. Abstentions will be counted as present for purposes of determining a quorum and are considered shares present and entitled to vote and thus will have the effect of a vote “AGAINST” this proposal.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will a proxy get voted?</w:t>
      </w:r>
    </w:p>
    <w:p>
      <w:pPr>
        <w:spacing w:after="0" w:line="229" w:lineRule="exact"/>
        <w:rPr>
          <w:sz w:val="20"/>
          <w:szCs w:val="20"/>
          <w:color w:val="auto"/>
        </w:rPr>
      </w:pPr>
    </w:p>
    <w:p>
      <w:pPr>
        <w:ind w:right="60" w:firstLine="436"/>
        <w:spacing w:after="0" w:line="263" w:lineRule="auto"/>
        <w:tabs>
          <w:tab w:leader="none" w:pos="6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properly complete and return a proxy card or vote by Internet or by telephone, the designated proxy holders will vote your shares as you have directed. If you sign a proxy card but do not make specific choices or if you vote by Internet or telephone but do not make specific choices, the designated proxy holders will vote your shares as recommended by the Board as follows:</w:t>
      </w:r>
    </w:p>
    <w:p>
      <w:pPr>
        <w:spacing w:after="0" w:line="85" w:lineRule="exact"/>
        <w:rPr>
          <w:sz w:val="20"/>
          <w:szCs w:val="20"/>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listed director nominee;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ratification of the appointment of BDO USA, LLP as our independent registered public accounting firm for the 2023 fiscal year;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on an advisory basis, of the compensation of our named executive officers;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 w:name="page12"/>
    <w:bookmarkEnd w:id="11"/>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approval of the frequency of holding future non-binding advisory votes on executive officer compensation </w:t>
      </w:r>
      <w:r>
        <w:rPr>
          <w:rFonts w:ascii="Arial" w:cs="Arial" w:eastAsia="Arial" w:hAnsi="Arial"/>
          <w:sz w:val="18"/>
          <w:szCs w:val="18"/>
          <w:b w:val="1"/>
          <w:bCs w:val="1"/>
          <w:color w:val="auto"/>
        </w:rPr>
        <w:t>EVERY YEAR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line="347"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an amendment to our Amended and Restated Certificate of Incorporation, as amended, to effect a reverse stock split of our issued and outstanding shares of common stock, at a specific ratio, ranging from one-for-three (1:3) to one-for-fifteen (1:15); and</w:t>
      </w:r>
    </w:p>
    <w:p>
      <w:pPr>
        <w:spacing w:after="0" w:line="21" w:lineRule="exact"/>
        <w:rPr>
          <w:rFonts w:ascii="Arial" w:cs="Arial" w:eastAsia="Arial" w:hAnsi="Arial"/>
          <w:sz w:val="16"/>
          <w:szCs w:val="16"/>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third amendment and restatement of the Plus Therapeutics, Inc. 2020 Stock Incentive Plan.</w:t>
      </w:r>
    </w:p>
    <w:p>
      <w:pPr>
        <w:spacing w:after="0" w:line="229"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With respect to the election of directors, if any nominee is unable or declines to serve, or for good cause will not serve, as a director at the time of the Annual Meeting, an event not currently anticipated, the designated proxy holders will have the express discretionary authority to vote for a replacement nominee designated by our Board, and proxies will be voted for any nominee designated by our Board to fill the vacancy.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are abstentions and broker non-votes counted?</w:t>
      </w:r>
    </w:p>
    <w:p>
      <w:pPr>
        <w:spacing w:after="0" w:line="229" w:lineRule="exact"/>
        <w:rPr>
          <w:sz w:val="20"/>
          <w:szCs w:val="20"/>
          <w:color w:val="auto"/>
        </w:rPr>
      </w:pPr>
    </w:p>
    <w:p>
      <w:pPr>
        <w:ind w:right="20" w:firstLine="436"/>
        <w:spacing w:after="0" w:line="287" w:lineRule="auto"/>
        <w:tabs>
          <w:tab w:leader="none" w:pos="6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Abstentions and broker non-votes will be counted as present for purposes of determining a quorum. An abstention occurs when a stockholder chooses to “ABSTAIN” from voting on a matter. A broker non-vote occurs when a broker, bank, or other stockholder of record, in nominee name or otherwise, exercising fiduciary powers submits a proxy for the Annual Meeting, but does not vote on a particular proposal because that holder does not have discretionary voting power with respect to that proposal and has not received voting instructions from the beneficial owner. Under the rules that govern brokers who are voting with respect to shares held in street name, brokers have the discretion to vote those shares on routine matters, but not on non-routine matters. We expect the proposals relating to the ratification of the appointment of our independent registered public accounting firm and the reverse stock split to be routine matters, and therefore, broker non-votes are not expected to exist with respect to these proposals. We expect the other proposals described in this proxy statement to be non-routine. Brokers and nominees do not have discretionary voting power over these non-routine proposals and, therefore, broker non-votes may exist with respect to these proposals. Broker non-votes will not affect the outcome of any of these non-routine matters that are being voted on at the Annual Meeting, assuming that a quorum is obtained. However, we strongly encourage you to submit your proxy and exercise your right to vote as a stockholder to ensure your shares are voted in the manner in which you want them voted.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Who pays for the solicitation of proxies?</w:t>
      </w:r>
    </w:p>
    <w:p>
      <w:pPr>
        <w:spacing w:after="0" w:line="229" w:lineRule="exact"/>
        <w:rPr>
          <w:sz w:val="20"/>
          <w:szCs w:val="20"/>
          <w:color w:val="auto"/>
        </w:rPr>
      </w:pPr>
    </w:p>
    <w:p>
      <w:pPr>
        <w:ind w:right="60" w:firstLine="436"/>
        <w:spacing w:after="0" w:line="301"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will pay the entire cost of the solicitation of proxies for the Annual Meeting. This includes preparation, assembly, printing, and mailing of the Notice, this Proxy Statement and any other information we send to stockholders. We have engaged Alliance Advisors, LLC to assist in the solicitation of proxies and provide related advice and information support, for a services fee and the reimbursement of customary disbursements, which are not expected to exceed $70,000 in the aggregate. In addition, we may supplement our efforts to solicit your proxy in the following ways:</w:t>
      </w:r>
    </w:p>
    <w:p>
      <w:pPr>
        <w:spacing w:after="0" w:line="63" w:lineRule="exact"/>
        <w:rPr>
          <w:sz w:val="20"/>
          <w:szCs w:val="20"/>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contact you using the telephone or electronic communication;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directors, officers or other regular employees may contact you personally; or</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Alliance Advisors, LLC or any other third parties we may hire as agents for the sole purpose of contacting you regarding your proxy, may contact you.</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12" w:name="page13"/>
    <w:bookmarkEnd w:id="12"/>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not pay directors, officers or other regular employees any additional compensation for their efforts to supplement our proxy solicitation. We anticipate banks, brokerage houses and other custodians, nominees and fiduciaries will forward soliciting material to the beneficial owners of shares of common stock entitled to vote at the Annual Meeting and that we will reimburse those persons for their out-of-pocket expenses incurred in performing such services.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What constitutes a quorum?</w:t>
      </w:r>
    </w:p>
    <w:p>
      <w:pPr>
        <w:spacing w:after="0" w:line="86" w:lineRule="exact"/>
        <w:rPr>
          <w:sz w:val="20"/>
          <w:szCs w:val="20"/>
          <w:color w:val="auto"/>
        </w:rPr>
      </w:pPr>
    </w:p>
    <w:p>
      <w:pPr>
        <w:ind w:right="80" w:firstLine="436"/>
        <w:spacing w:after="0" w:line="261" w:lineRule="auto"/>
        <w:tabs>
          <w:tab w:leader="none" w:pos="6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business to be conducted at the Annual Meeting, a quorum must be present. A quorum exists when the holders of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our common stock issued, outstanding and entitled to vote are represented at the meeting. Shares of common stock represented in person virtually or by proxy (including broker non-votes and shares that abstain or do not vote with respect to one or more of the matters to be voted upon) will be counted for the purpose of determining whether a quorum exists.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many votes may I cast? How many shares are eligible to be voted?</w:t>
      </w:r>
    </w:p>
    <w:p>
      <w:pPr>
        <w:spacing w:after="0" w:line="229" w:lineRule="exact"/>
        <w:rPr>
          <w:sz w:val="20"/>
          <w:szCs w:val="20"/>
          <w:color w:val="auto"/>
        </w:rPr>
      </w:pPr>
    </w:p>
    <w:p>
      <w:pPr>
        <w:ind w:right="140" w:firstLine="436"/>
        <w:spacing w:after="0" w:line="277"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may cast one vote for every share of our common stock that you owned on the Record Date. As of the Record Date, March 3, 2023, there were 35,418,165 shares of common stock outstanding, each of which is entitled to one vote.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How will voting on any “other business” be conducted?</w:t>
      </w:r>
    </w:p>
    <w:p>
      <w:pPr>
        <w:spacing w:after="0" w:line="229" w:lineRule="exact"/>
        <w:rPr>
          <w:sz w:val="20"/>
          <w:szCs w:val="20"/>
          <w:color w:val="auto"/>
        </w:rPr>
      </w:pPr>
    </w:p>
    <w:p>
      <w:pPr>
        <w:jc w:val="both"/>
        <w:ind w:firstLine="436"/>
        <w:spacing w:after="0" w:line="263"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Although we do not know of any business to be considered at the Annual Meeting other than the proposals described in this Proxy Statement, if any additional business is presented at the Annual Meeting, your proxy gives authority to the designated proxy holders to vote on such matters according to their best judgment.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 Where can I find the voting results of the Annual Meeting?</w:t>
      </w:r>
    </w:p>
    <w:p>
      <w:pPr>
        <w:spacing w:after="0" w:line="229" w:lineRule="exact"/>
        <w:rPr>
          <w:sz w:val="20"/>
          <w:szCs w:val="20"/>
          <w:color w:val="auto"/>
        </w:rPr>
      </w:pPr>
    </w:p>
    <w:p>
      <w:pPr>
        <w:jc w:val="both"/>
        <w:ind w:right="40" w:firstLine="436"/>
        <w:spacing w:after="0" w:line="259"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publish the final voting results in a current report on Form 8-K, which we expect to file with the SEC within four business days of the Annual Meeting. If the final voting results are unavailable in time to file a current report on Form 8-K with the SEC within four business days after the Annual Meeting, we intend to file a Form 8-K to disclose the preliminary results and, within four business days after the final results are known, we will file an additional current report on Form 8-K with the SEC to disclose the final voting results.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AND EXECUTIVE OFFICERS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Our Board consists of six (6) directors. The term of each director expires each year at our Annual Meeting of Stockholders. Each director also continues to serve as a director until his or her successor is duly elected and qualified, or until he or she sooner dies, resigns, or is removed.</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the name, age, and committee appointments of each of our current directors as of March 3, 2023:</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860" w:type="dxa"/>
            <w:vAlign w:val="bottom"/>
            <w:gridSpan w:val="3"/>
          </w:tcPr>
          <w:p>
            <w:pPr>
              <w:ind w:left="4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60" w:type="dxa"/>
            <w:vAlign w:val="bottom"/>
            <w:gridSpan w:val="2"/>
          </w:tcPr>
          <w:p>
            <w:pPr>
              <w:spacing w:after="0" w:line="195" w:lineRule="exact"/>
              <w:rPr>
                <w:sz w:val="20"/>
                <w:szCs w:val="20"/>
                <w:color w:val="auto"/>
              </w:rPr>
            </w:pPr>
            <w:r>
              <w:rPr>
                <w:rFonts w:ascii="Arial" w:cs="Arial" w:eastAsia="Arial" w:hAnsi="Arial"/>
                <w:sz w:val="18"/>
                <w:szCs w:val="18"/>
                <w:color w:val="auto"/>
              </w:rPr>
              <w:t>Howard Clowes(1)(2)(3)</w:t>
            </w: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69</w:t>
            </w:r>
          </w:p>
        </w:tc>
        <w:tc>
          <w:tcPr>
            <w:tcW w:w="420" w:type="dxa"/>
            <w:vAlign w:val="bottom"/>
            <w:vMerge w:val="continue"/>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Director</w:t>
            </w: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An van Es-Johansson, M.D.(1)(3)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Richard J. Hawkins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Marc H. Hedrick,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Robert Lenk, PhD(3)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Greg Petersen(1)(2)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8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governance and nominating committee.</w:t>
      </w:r>
    </w:p>
    <w:p>
      <w:pPr>
        <w:spacing w:after="0" w:line="21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names of the nominees and certain biographical information about each current director standing for election at the Annual Meeting, including a description of his or her business experience, qualifications, education and skills that led our Board to conclude that such individual should serve as a member of our Board, are set forth below:</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i w:val="1"/>
          <w:iCs w:val="1"/>
          <w:color w:val="auto"/>
        </w:rPr>
        <w:t xml:space="preserve">Howard Clowes. </w:t>
      </w:r>
      <w:r>
        <w:rPr>
          <w:rFonts w:ascii="Arial" w:cs="Arial" w:eastAsia="Arial" w:hAnsi="Arial"/>
          <w:sz w:val="16"/>
          <w:szCs w:val="16"/>
          <w:color w:val="auto"/>
        </w:rPr>
        <w:t>Mr. Clowes has served on our Board since April 1, 2020. From January 2005 until he retired as a lawyer in December 2018,</w:t>
      </w:r>
      <w:r>
        <w:rPr>
          <w:rFonts w:ascii="Arial" w:cs="Arial" w:eastAsia="Arial" w:hAnsi="Arial"/>
          <w:sz w:val="16"/>
          <w:szCs w:val="16"/>
          <w:i w:val="1"/>
          <w:iCs w:val="1"/>
          <w:color w:val="auto"/>
        </w:rPr>
        <w:t xml:space="preserve"> </w:t>
      </w:r>
      <w:r>
        <w:rPr>
          <w:rFonts w:ascii="Arial" w:cs="Arial" w:eastAsia="Arial" w:hAnsi="Arial"/>
          <w:sz w:val="16"/>
          <w:szCs w:val="16"/>
          <w:color w:val="auto"/>
        </w:rPr>
        <w:t>Mr. Clowes was a partner in the law firm DLA Piper (US) LLC. From 1982 until the formation of DLA Piper in 2005, he was an associate and then a partner in the predecessor firms of DLA Piper, holding various management positions, including serving on its board of directors. Mr. Clowes served on the board of Equalize Health and as Chair of its Governance Committee from January 2018 to May 2022 and serves on the board of AFRAC, each of which are nonprofit corporations focused on global healthcare. Mr. Clowes served on the board of the Law Foundation of Silicon Valley, a non-profit organization located in San Jose, California, that provides free legal services to Silicon Valley residents in need, from 2008 until December 2018, serving during that period in various positions, including President of its board of directors, and Chair of a Strategic Planning and CEO Search Committee. From 2017 to 2021, Mr. Clowes served as a Lecturer at U.C. Berkeley’s Berkeley School of Law, teaching a course in International Business Negotiations. Mr. Clowes earned his J.D. at U.C. Berkeley and his B.A. in Experimental Psychology at U.C. Santa Barbara. We believe</w:t>
      </w:r>
    </w:p>
    <w:p>
      <w:pPr>
        <w:spacing w:after="0" w:line="6"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Mr. Clowes’ qualifications to serve on the Board include his extensive experience as a lawyer advising boards of directors and their audit, compensation and governance committees on a wide range of matters, his experience with a wide range of transactions, and his experience serving on various boards of directors.</w:t>
      </w:r>
    </w:p>
    <w:p>
      <w:pPr>
        <w:spacing w:after="0" w:line="19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i w:val="1"/>
          <w:iCs w:val="1"/>
          <w:color w:val="auto"/>
        </w:rPr>
        <w:t>An van Es-Johansson, M.D</w:t>
      </w:r>
      <w:r>
        <w:rPr>
          <w:rFonts w:ascii="Arial" w:cs="Arial" w:eastAsia="Arial" w:hAnsi="Arial"/>
          <w:sz w:val="18"/>
          <w:szCs w:val="18"/>
          <w:color w:val="auto"/>
        </w:rPr>
        <w:t>. Dr. van Es-Johansson has served on our Board since January 1, 2020. Dr. van Es-Johansson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Officer for AlzeCure Pharma, a Swedish pharmaceutical company with a primary focus on Alzheimer’s disease, from September 2018 through March 1, 2021 following which she has continued to serve AlzeCure Pharma as a Senior Advisor beginning in March 2021. From May 2005 to September 2018, Dr. van Es-Johansson served in a range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0" w:right="49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executive roles of increasing responsibility at Sobi, an international rare disease company headquartered in Stockholm, Sweden, including as Vice President and Head of EMENAR Medical Affairs for Specialty Care and Partner Products from March 2013 to January 2018. Prior to her time at Sobi, Dr. van Es-Johansson served in leadership positions within large pharmaceutical and smaller biotechnology companies, including Roche, Pharmacia, Eli Lilly, Active Biotech, and BioStratum. From 2004 to 2016, she was a member of the Scientific Advisory Board of Uppsala Bio and currently serves on the board of directors of IRLAB AB (NASDAQ IRLAB Stockholm), Savara, Inc. (NASDAQ: SVRA), Lumos Pharma, Inc. (NASDAQ: LUMO) and privately held Agendia BV. She also served on the board of directors at BioInvent International AB (NASDAQ OMX Stockholm), from June 2016 to February 2021. Dr. van Es-Johansson received a M.D. from Erasmus University, Rotterdam, The Netherlands. We believe Dr. van Es-Johansson’s qualifications to serve on our board include her extensive medical knowledge and experience in the pharmaceutical industry.</w:t>
      </w:r>
    </w:p>
    <w:p>
      <w:pPr>
        <w:spacing w:after="0" w:line="16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i w:val="1"/>
          <w:iCs w:val="1"/>
          <w:color w:val="auto"/>
        </w:rPr>
        <w:t>Richard J. Hawkins</w:t>
      </w:r>
      <w:r>
        <w:rPr>
          <w:rFonts w:ascii="Arial" w:cs="Arial" w:eastAsia="Arial" w:hAnsi="Arial"/>
          <w:sz w:val="16"/>
          <w:szCs w:val="16"/>
          <w:color w:val="auto"/>
        </w:rPr>
        <w:t>. Mr. Hawkins has served on our Board since December 2007 and as Chairman of our Board since January 2018. In 1982,</w:t>
      </w:r>
      <w:r>
        <w:rPr>
          <w:rFonts w:ascii="Arial" w:cs="Arial" w:eastAsia="Arial" w:hAnsi="Arial"/>
          <w:sz w:val="16"/>
          <w:szCs w:val="16"/>
          <w:i w:val="1"/>
          <w:iCs w:val="1"/>
          <w:color w:val="auto"/>
        </w:rPr>
        <w:t xml:space="preserve"> </w:t>
      </w:r>
      <w:r>
        <w:rPr>
          <w:rFonts w:ascii="Arial" w:cs="Arial" w:eastAsia="Arial" w:hAnsi="Arial"/>
          <w:sz w:val="16"/>
          <w:szCs w:val="16"/>
          <w:color w:val="auto"/>
        </w:rPr>
        <w:t>Mr. Hawkins founded Pharmaco, a clinical research organization, or CRO, where he served as its Chairman, President and Chief Executive Officer until 1991 when it merged with the predecessor of PPD-Pharmaco. In 1992, Mr. Hawkins co-founded Sensus Drug Development Corporation, or SDDC, a privately-held company focused on the development of drugs to treat endocrine disorders, which developed and received regulatory approval for SOMAVERT, a growth hormone antagonist approved for the treatment of acromegaly, which is now marketed by Pfizer, Inc., where he served as Chairman until 2000. In 1994, Mr. Hawkins co-founded Corning Biopro, a contract protein manufacturing firm, where he served on its board until Corning BioPro’s sale to Akzo-Nobel, N.V., a publicly-held producer of paints, coatings and specialty chemicals, in 2000. In September 2003,</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Mr. Hawkins founded LabNow, Inc., a privately held company that develops lab-on-a-chip sensor technology, where he served as the Chairman and Chief Executive Officer until October 2009. In February 2011, Mr. Hawkins became Chief Executive Officer, and is currently Chief Executive Officer, president and chairman of Lumos Pharma, Inc. (NASDAQ: LUMO). Mr. Hawkins served on the board of SciClone Pharmaceuticals, Inc. (HKD: SCLN), a publicly-held specialty pharmaceutical company, from October 2004 through December 2017. He also served on the Presidential Advisory Committee for the Center for Nano and Molecular Science and Technology at the University of Texas in Austin, and was inducted into the Hall of Honor for the College of Natural Sciences at the University of Texas. Mr. Hawkins is a member of the National Ernst &amp; Young Entrepreneur of the Year Hall of Fame. Mr. Hawkins graduated cum laude with a B.S. in Biology from Ohio University, where he later received the Ohio University Konneker Medal, the highest award given to a faculty member or former student for entrepreneurial excellence. We believe Mr. Hawkins’s qualifications to serve on our Board include his executive experience working with life sciences companies, his extensive experience in pharmaceutical research and development, his knowledge, understanding and experience in the regulatory development and approval process, and his service on other public company boards and committees.</w:t>
      </w:r>
    </w:p>
    <w:p>
      <w:pPr>
        <w:spacing w:after="0" w:line="186"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i w:val="1"/>
          <w:iCs w:val="1"/>
          <w:color w:val="auto"/>
        </w:rPr>
        <w:t xml:space="preserve">Marc H. Hedrick, M.D. </w:t>
      </w:r>
      <w:r>
        <w:rPr>
          <w:rFonts w:ascii="Arial" w:cs="Arial" w:eastAsia="Arial" w:hAnsi="Arial"/>
          <w:sz w:val="17"/>
          <w:szCs w:val="17"/>
          <w:color w:val="auto"/>
        </w:rPr>
        <w:t>Dr. Hedrick joined the Company in October 2002 as Chief Scientific Officer. In May 2004, he was appointed as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in April 2014 he was appointed as its Chief Executive Officer. Dr. Hedrick has served as a member of our Board since joining the Company in October 2002. Previously, Dr. Hedrick served in a number of executive leadership positions, including President and Chief Executive Officer of StemSource from 2001 to 2003 and Chief Scientific Officer and Medical Director of Macropore Biosurgery from 2002 to 2004. Dr. Hedrick has also served as a board member for a number of public and private companies since 2000. Prior to his corporate career, Dr. Hedrick was Associate Professor of Surgery and Pediatrics at the University of California, Los Angeles. While at the University of California, Los Angeles, Dr. Hedrick’s academic research received both NIH funding as well as private and public capitalization and was widely acknowledged through scientific publications and the media. Dr. Hedrick also has first-hand experience as a physician, practicing general,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5" w:name="page16"/>
    <w:bookmarkEnd w:id="15"/>
    <w:p>
      <w:pPr>
        <w:ind w:right="5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vascular and craniofacial surgery. Dr. Hedrick has a medical degree from The University of Texas Southwestern Medical School and a Master of Business Administration from The UCLA Anderson School of Management and is a trained general, vascular and plastic surgeon. We believe</w:t>
      </w:r>
    </w:p>
    <w:p>
      <w:pPr>
        <w:ind w:right="320"/>
        <w:spacing w:after="0" w:line="260" w:lineRule="auto"/>
        <w:rPr>
          <w:sz w:val="20"/>
          <w:szCs w:val="20"/>
          <w:color w:val="auto"/>
        </w:rPr>
      </w:pPr>
      <w:r>
        <w:rPr>
          <w:rFonts w:ascii="Arial" w:cs="Arial" w:eastAsia="Arial" w:hAnsi="Arial"/>
          <w:sz w:val="18"/>
          <w:szCs w:val="18"/>
          <w:color w:val="auto"/>
        </w:rPr>
        <w:t>Dr. Hedrick’s qualifications to serve on our Board include his executive, financial, governance and operational leadership experience in medical and pharmaceutical product development.</w:t>
      </w:r>
    </w:p>
    <w:p>
      <w:pPr>
        <w:spacing w:after="0" w:line="185" w:lineRule="exact"/>
        <w:rPr>
          <w:sz w:val="20"/>
          <w:szCs w:val="20"/>
          <w:color w:val="auto"/>
        </w:rPr>
      </w:pPr>
    </w:p>
    <w:p>
      <w:pPr>
        <w:ind w:right="100" w:firstLine="440"/>
        <w:spacing w:after="0" w:line="287" w:lineRule="auto"/>
        <w:rPr>
          <w:sz w:val="20"/>
          <w:szCs w:val="20"/>
          <w:color w:val="auto"/>
        </w:rPr>
      </w:pPr>
      <w:r>
        <w:rPr>
          <w:rFonts w:ascii="Arial" w:cs="Arial" w:eastAsia="Arial" w:hAnsi="Arial"/>
          <w:sz w:val="16"/>
          <w:szCs w:val="16"/>
          <w:i w:val="1"/>
          <w:iCs w:val="1"/>
          <w:color w:val="auto"/>
        </w:rPr>
        <w:t>Robert Lenk</w:t>
      </w:r>
      <w:r>
        <w:rPr>
          <w:rFonts w:ascii="Arial" w:cs="Arial" w:eastAsia="Arial" w:hAnsi="Arial"/>
          <w:sz w:val="16"/>
          <w:szCs w:val="16"/>
          <w:color w:val="auto"/>
        </w:rPr>
        <w:t>. Dr. Lenk has served on our Board since April 1, 2020. Since 2016, he has served as President of Lenk Pharmaceuticals, LLC,</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to clients in the pharmaceuticals industry. Dr. Lenk co-founded the Liposome Company, in Princeton, New Jersey in 1981 until it was later acquired by Elan Pharmaceuticals. After the Liposome Company went public, he co-founded Argus Pharmaceuticals, a drug delivery company focused on cancer and infectious diseases, in 1989 as Vice President of Research &amp; Development, until it merged with two other companies to become Aronex Pharmaceuticals. From 1995 to 2003, Dr. Lenk served as President and Chief Executive Officer of Therapeutics 2000, Inc. which was later sold to Coller Capital. Dr. Lenk joined Luna Innovations in 2004 where he served as President of its Nanoworks Division until 2010. In 2010, Dr. Lenk joined MediVector, Inc. as Chief Science Officer until 2016 when he started Lenk Pharmaceuticals, LLC, a pharmaceutical development consulting company where he currently works. He also currently serves on the board of PoP Biotechnology, a private company that develops vaccines and cancer therapies based on proprietary porphyrin liposome nanoparticle technology. Dr. Lenk received both his PhD and BSc. from the Massachusetts Institute of Technology. We believe Dr. Lenk’s qualifications to serve on our Board include his broad experience in translating research candidates into products, especially in the fields of nanotechnology and liposomal drug products.</w:t>
      </w:r>
    </w:p>
    <w:p>
      <w:pPr>
        <w:spacing w:after="0" w:line="17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 xml:space="preserve">Greg Petersen. </w:t>
      </w:r>
      <w:r>
        <w:rPr>
          <w:rFonts w:ascii="Arial" w:cs="Arial" w:eastAsia="Arial" w:hAnsi="Arial"/>
          <w:sz w:val="17"/>
          <w:szCs w:val="17"/>
          <w:color w:val="auto"/>
        </w:rPr>
        <w:t>Mr. Petersen has served on our Board since February 14, 2020. Mr. Petersen is an accomplished executive and board member with</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25 years of strategy, operations, finance and compliance leadership experience. His 10 years of board of directors experience includes his current roles as compensation committee chair and audit committee member of PROS Holdings, Inc. (NYSE: PRO), a software company, and as audit committee chair of Mohawk Group Holdings (NASDAQ: MWK), a consumer product manufacturing company. Mr. Petersen previously served on the boards of publicly traded companies Diligent Corporation (NZX: DIL), a software as a service company, from 2013 to 2016, and Piksel, Inc. (OTC US: PIKL), a video management software and services company, from 2012 to 2017. During his career, Mr. Petersen has served as Executive Vice Chairman of Diligent Corporation and as Chief Financial Officer of Lombardi Software (now part of IBM) and Activant Solutions (now part of Epicor). He has also held executive positions at American Airlines and other corporations. Mr. Petersen has a BA from Boston College and an MBA from Duke University’s Fuqua School of Business. We believe Mr. Petersen’s qualifications to serve on our Board include his extensive experience as an executive and a director, including as a director on other public company boards, as well as his strategic, operations, finance, and compliance leadership experience.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demographic makeup of our Board, as disclosed by the Board members themselves, is as follows as of March 3, 2023:</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7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Gender:</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Female</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Male</w:t>
            </w:r>
          </w:p>
        </w:tc>
        <w:tc>
          <w:tcPr>
            <w:tcW w:w="0" w:type="dxa"/>
            <w:vAlign w:val="bottom"/>
          </w:tcPr>
          <w:p>
            <w:pPr>
              <w:spacing w:after="0"/>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Directors</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i w:val="1"/>
                <w:iCs w:val="1"/>
                <w:color w:val="auto"/>
              </w:rPr>
              <w:t>Number of Directors who identify in Any of the Categories Below:</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7020" w:type="dxa"/>
            <w:vAlign w:val="bottom"/>
          </w:tcPr>
          <w:p>
            <w:pPr>
              <w:ind w:left="410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information about our executive officers and their ages as of March 3,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5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2780" w:type="dxa"/>
            <w:vAlign w:val="bottom"/>
          </w:tcPr>
          <w:p>
            <w:pPr>
              <w:spacing w:after="0"/>
              <w:rPr>
                <w:sz w:val="14"/>
                <w:szCs w:val="14"/>
                <w:color w:val="auto"/>
              </w:rPr>
            </w:pPr>
          </w:p>
        </w:tc>
      </w:tr>
      <w:tr>
        <w:trPr>
          <w:trHeight w:val="195"/>
        </w:trPr>
        <w:tc>
          <w:tcPr>
            <w:tcW w:w="5440" w:type="dxa"/>
            <w:vAlign w:val="bottom"/>
            <w:gridSpan w:val="2"/>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Marc H. Hedrick, M.D.</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344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Andrew Sims</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50</w:t>
            </w:r>
          </w:p>
        </w:tc>
        <w:tc>
          <w:tcPr>
            <w:tcW w:w="3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Norman LaFrance, M.D.</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75</w:t>
            </w:r>
          </w:p>
        </w:tc>
        <w:tc>
          <w:tcPr>
            <w:tcW w:w="3440" w:type="dxa"/>
            <w:vAlign w:val="bottom"/>
            <w:gridSpan w:val="2"/>
          </w:tcPr>
          <w:p>
            <w:pPr>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following presents biographical information for each of our executive officers listed in the table above, other than Dr. Hedrick whose information is presented above under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Andrew Sims</w:t>
      </w:r>
      <w:r>
        <w:rPr>
          <w:rFonts w:ascii="Arial" w:cs="Arial" w:eastAsia="Arial" w:hAnsi="Arial"/>
          <w:sz w:val="16"/>
          <w:szCs w:val="16"/>
          <w:color w:val="auto"/>
        </w:rPr>
        <w:t>. Mr. Sims joined us as Chief Financial Officer in February 2020. Prior to his appointment as our Chief Financial Officer, Mr. Sims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held roles at several private equity-backed companies. Between 2012 and 2017, Mr. Sims was Chief Financial Officer of Amplify LLC, an advisory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consulting services firm. Following his time at Amplify, Mr. Sims served as Chief Financial Officer of Verbatim Support Services LLC,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litigation support company, from 2017 to 2019. His focus has been on mergers and acquisitions, integrations, corporate capitalization, and building 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managing teams to support global growth. Previously, Mr. Sims was Partner at Mazars, a global accounting, advisory, audit, tax and consulting 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Working from both the Oxford, England and New York offices, Mr. Sims audited and advised global public clients, including a variety of healthcare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companies, with average annual revenues in excess of $1 billion. Further, he was the lead partner on over 50 acquisitions ranging from $5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billion in purchase price. He is a Certified Public Accountant in the U.S. and a Chartered Accountant in England and Wales. Mr. Sims is a graduate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Buckingham University in the United Kingdom.</w:t>
      </w:r>
    </w:p>
    <w:p>
      <w:pPr>
        <w:spacing w:after="0" w:line="211"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i w:val="1"/>
          <w:iCs w:val="1"/>
          <w:color w:val="auto"/>
        </w:rPr>
        <w:t xml:space="preserve">Norman LaFrance, M.D. </w:t>
      </w:r>
      <w:r>
        <w:rPr>
          <w:rFonts w:ascii="Arial" w:cs="Arial" w:eastAsia="Arial" w:hAnsi="Arial"/>
          <w:sz w:val="18"/>
          <w:szCs w:val="18"/>
          <w:color w:val="auto"/>
        </w:rPr>
        <w:t>Dr. LaFrance joined us as Chief Medical Officer in November 2021. Prior to joining the Company, Dr. LaFrance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Chief Medical Officer and Senior Vice President at Jubilant Pharma Ltd. from 2012 to 2022 where he was responsible for all Pharma Medical &amp; Regulatory Affairs activities. Dr. LaFrance has spent more than four decades in the pharmaceutical and healthcare industry, academia and medical practice. His background includes strategic planning and management of pharmaceutical development for approval by the FDA as well as clinical and academic experience. In addition, Dr. LaFrance practiced medicine for 10 years and held academic faculty appointments at Johns Hopkins University School of Medicine in the Departments of Medicine and Radiology and the Department of Radiological Sciences in the Johns Hopkins School of Hygiene and Public Health. He is double board certified in internal medicine and nuclear medicine. He is a graduate of the medical school at the University of Arizona and received his Bachelor of Science and Master of Engineering degrees in Nuclear Engineering and Science from Rensselaer Polytechnic Institute.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w:t>
      </w:r>
    </w:p>
    <w:p>
      <w:pPr>
        <w:spacing w:after="0" w:line="131" w:lineRule="exact"/>
        <w:rPr>
          <w:sz w:val="20"/>
          <w:szCs w:val="20"/>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held 5 meetings;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audit committee held 4 meetings;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compensation committee held 2 meetings;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governance and nominating committee held 2 meetings.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7" w:name="page18"/>
    <w:bookmarkEnd w:id="17"/>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member of the Board attended at least seventy-five percent (75%) or more of the aggregate of (i) the total number of Board meetings held during the period of such member’s service and (ii) the total number of meetings of committees of the Board on which such member served, during the period of such member’s service.</w:t>
      </w:r>
    </w:p>
    <w:p>
      <w:pPr>
        <w:spacing w:after="0" w:line="184"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All Board members are encouraged to attend our annual meetings of stockholders in person virtually. In 2022, all of our directors virtually attended our 2022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Board has unanimously determined that Mr. Clowes, Dr. van Es-Johansson, Mr. Hawkins, Dr. Lenk and Mr. Petersen are “independent” under the applicable standards of The Nasdaq Stock Market LLC (“Nasdaq”) and the SEC. Dr. Hedrick does not qualify as independent because he serves as our President and Chief Executive Officer. Each of the audit committee, the compensation committee and the governance and nominating committee is comprised entirely of independent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Our bylaws and governance principles provide the Board with the flexibility to combine or separate the positions of Chairman and Chief Executive Officer. Historically, these positions have been separate. Mr. Hawkins currently serves as the Chairman of our Board. Our Board believes that the separation of these positions strengthens the independence of our Board and allows us to have a Chairman focused on the leadership of the Board while allowing our Chief Executive Officer to focus more of his time and energy on managing our operations. The Board currently believes this structure works well to meet the leadership needs of the Board and of the Company. Dr. Hedrick, our President and Chief Executive Officer, has comprehensive industry expertise and is able to devote substantial time to the Company, and Mr. Hawkins, our Chairman, is able to focus on longer term and strategic matters, and to provide related leadership to the Board. As a result, we do not currently intend to combine these positions; however a change in this leadership structure could be made if the Board determines it is in the best interests of our company, including based upon a departure of either our Chief Executive Officer or Chairman. For example, if the two roles were to be combined, we believe that the independence of the majority of our directors, and the three fully independent Board committees, would provide effective oversight of our management and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The Board’s role in risk oversight includes assessing and monitoring risks and risk management. The Board reviews and oversees strategic, financial and operating plans and holds management responsible for identifying and moderating risk in accordance with those plans. The Board fulfills its risk oversight function by reviewing and assessing reports from members of management on a regular basis regarding material risks faced by us and applicable mitigation strategy and activity. The reports cover the critical areas of operations, sales and marketing, development, regulatory and quality affairs, intellectual property, clinical development, legal and financial affairs. The Board and its committees (described below) consider these reports, discuss matters with management and identify and evaluate any potential strategic or operational risks, and appropriate activity to address those risks.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Committees</w:t>
      </w:r>
    </w:p>
    <w:p>
      <w:pPr>
        <w:spacing w:after="0" w:line="12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The Board has standing audit, compensation, and governance and nominating committees. Each standing committee has a written Charter and all their members are independent directors under the applicable SEC and Nasdaq rules. While each committee has designated responsibilities, the committees act on behalf of the entire Board and regularly report on their activities to the entire Board. Details concerning the role and structure of the Board and each Board committee are contained in the Corporate Governance Guidelines and the committee charters, available on the “For Investors – Governance” section of our website at </w:t>
      </w:r>
      <w:r>
        <w:rPr>
          <w:rFonts w:ascii="Arial" w:cs="Arial" w:eastAsia="Arial" w:hAnsi="Arial"/>
          <w:sz w:val="18"/>
          <w:szCs w:val="18"/>
          <w:u w:val="single" w:color="auto"/>
          <w:color w:val="auto"/>
        </w:rPr>
        <w:t>www.plustherapeutics.com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The compensation committee currently consists of Mr. Petersen and the compensation committee chair, Mr. Clowes. The Board has determined that all members of the compensation committee are independent for purposes of service on the compensation committee as provided in SEC and Nasdaq rules, as applicable. The compensation committee chair is responsible for setting the compensation committee’s calendar and meeting agenda. The charter of the compensation committee has been established and approved by the Board.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131" w:lineRule="exact"/>
        <w:rPr>
          <w:sz w:val="20"/>
          <w:szCs w:val="20"/>
          <w:color w:val="auto"/>
        </w:rPr>
      </w:pPr>
    </w:p>
    <w:p>
      <w:pPr>
        <w:ind w:left="1420" w:hanging="331"/>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implementing compensation programs for our executive officers and other employees, subject to the discretion of the full Board;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base salary rates, benefits and other compensation matters for each of our executive officers;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1420" w:right="360" w:hanging="331"/>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the relationship between our performance and our compensation policies and assessing any risks associated with such policies;</w:t>
      </w:r>
    </w:p>
    <w:p>
      <w:pPr>
        <w:spacing w:after="0" w:line="75" w:lineRule="exact"/>
        <w:rPr>
          <w:rFonts w:ascii="Arial" w:cs="Arial" w:eastAsia="Arial" w:hAnsi="Arial"/>
          <w:sz w:val="18"/>
          <w:szCs w:val="18"/>
          <w:color w:val="auto"/>
        </w:rPr>
      </w:pPr>
    </w:p>
    <w:p>
      <w:pPr>
        <w:ind w:left="1420" w:right="160" w:hanging="331"/>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advising the Board on director compensation matters and on regional and industry-wide compensation practices and trends in order to assess the adequacy of our executive compensation programs; and</w:t>
      </w:r>
    </w:p>
    <w:p>
      <w:pPr>
        <w:spacing w:after="0" w:line="75" w:lineRule="exact"/>
        <w:rPr>
          <w:rFonts w:ascii="Arial" w:cs="Arial" w:eastAsia="Arial" w:hAnsi="Arial"/>
          <w:sz w:val="18"/>
          <w:szCs w:val="18"/>
          <w:color w:val="auto"/>
        </w:rPr>
      </w:pPr>
    </w:p>
    <w:p>
      <w:pPr>
        <w:ind w:left="1420" w:right="80" w:hanging="331"/>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compensation related disclosures with management and making a recommendation to the Board regarding the inclusion of such disclosures in our annual proxy statement or Form 10-K, as applicable.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the “Director Compensation” and the “Executive Compensation” sections.</w:t>
      </w:r>
    </w:p>
    <w:p>
      <w:pPr>
        <w:spacing w:after="0" w:line="170"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Our Chief Executive Officer attends some of the meetings of the compensation committee upon invitation, but does not participate in the executive sessions of the compensation committee or in any discussions regarding Chief Executive Officer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Our audit committee currently consists of Mr. Clowes, Dr. van Es-Johansson and the audit committee chair, Mr. Petersen. The Board has determined that all members of the audit committee are independent for purposes of service on the audit committee as provided in SEC and Nasdaq rules, as applicable. The Board has determined that Mr. Petersen is an “audit committee financial expert” within the meaning of Item 407(d)(5) of SEC Regulation S-K.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functions of the audit committee include, among other things:</w:t>
      </w:r>
    </w:p>
    <w:p>
      <w:pPr>
        <w:spacing w:after="0" w:line="131" w:lineRule="exact"/>
        <w:rPr>
          <w:sz w:val="20"/>
          <w:szCs w:val="20"/>
          <w:color w:val="auto"/>
        </w:rPr>
      </w:pPr>
    </w:p>
    <w:p>
      <w:pPr>
        <w:ind w:left="1420" w:hanging="331"/>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management’s and our independent auditor’s report on their assessment of the effectiveness of internal control over financial reporting as of the end of each fiscal year;</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our auditors and reviewing the scope of the annual audit;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resolving any disagreements between management and the auditor regarding financial reporting;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the audit fees and non-audit fees to be paid to our auditors;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our financial accounting controls with the staff and the auditors;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monitoring management’s enterprise risk management assessment;</w:t>
      </w:r>
    </w:p>
    <w:p>
      <w:pPr>
        <w:spacing w:after="0" w:line="130" w:lineRule="exact"/>
        <w:rPr>
          <w:rFonts w:ascii="Arial" w:cs="Arial" w:eastAsia="Arial" w:hAnsi="Arial"/>
          <w:sz w:val="18"/>
          <w:szCs w:val="18"/>
          <w:color w:val="auto"/>
        </w:rPr>
      </w:pPr>
    </w:p>
    <w:p>
      <w:pPr>
        <w:ind w:left="1420" w:right="540" w:hanging="331"/>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auditor, our audited financial statements including our disclosures under “Management’s Discussion and Analysis of Financial Condition and Results of Operations”;</w:t>
      </w:r>
    </w:p>
    <w:p>
      <w:pPr>
        <w:spacing w:after="0" w:line="75" w:lineRule="exact"/>
        <w:rPr>
          <w:rFonts w:ascii="Arial" w:cs="Arial" w:eastAsia="Arial" w:hAnsi="Arial"/>
          <w:sz w:val="18"/>
          <w:szCs w:val="18"/>
          <w:color w:val="auto"/>
        </w:rPr>
      </w:pPr>
    </w:p>
    <w:p>
      <w:pPr>
        <w:ind w:left="1420" w:right="580" w:hanging="331"/>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our earnings press releases as well as financial information and earnings guidance provided to analysts and rating agencies;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our annual budget;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all related person transactions which are required to be reported under applicable SEC regulations.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17"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Our governance and nominating committee currently consists of Mr. Clowes, Dr. Lenk and the governance and nominating committee chair, Dr. van Es-Johansson. The governance and nominating committee is comprised solely of independent directors, as defined by Nasdaq.</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functions of the governance and nominating committee include, among other things:</w:t>
      </w:r>
    </w:p>
    <w:p>
      <w:pPr>
        <w:spacing w:after="0" w:line="131" w:lineRule="exact"/>
        <w:rPr>
          <w:sz w:val="20"/>
          <w:szCs w:val="20"/>
          <w:color w:val="auto"/>
        </w:rPr>
      </w:pPr>
    </w:p>
    <w:p>
      <w:pPr>
        <w:ind w:left="1420" w:right="40" w:hanging="331"/>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analyzing the expertise and experience of the Board and ensuring the membership of the Board consists of persons with sufficiently diverse and independent backgrounds;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identifying, recruiting, evaluating and recommending to the Board individuals qualified to become members of the Board;</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the Board committee structure and recommending to the Board changes to such structure;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reviewing and reassessing the adequacy of our Corporate Governance Guidelines and recommending any proposed changes;</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the annual self-evaluations of the Board and Board committees;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reviewing and discussing with management disclosures in our annual proxy statement regarding director independence; and</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succession planning and processes for our Chief Executive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Board Membership</w:t>
      </w:r>
    </w:p>
    <w:p>
      <w:pPr>
        <w:spacing w:after="0" w:line="121"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The governance and nominating committee is responsible for annually reviewing the applicable skills and characteristics required of Board nominees with the Board in the context of the current Board composition and our circumstances. In making its recommendations to the Board, the governance and nominating committee considers, among other things, the qualifications of individual director candidates in light of the Board’s membership criteria as set forth in our Corporate Governance Guidelines. The governance and nominating committee may utilize a variety of sources, including stockholder recommendations, Board member recommendations, executive search firms, management recommendations or other reasonable means to identify director candidates.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governance and nominating committee considers candidates recommended by our Board and management, as well as candidates submitted by our stockholders (as discussed below). Members of the Board or management who wish to recommend that a person be considered for Board membership are required to provide relevant qualifications and other information regarding the prospective candidate to the governance and nominating committee along with their recommendations and reasons why they believe such person should be considered. The governance and nominating committee then reviews each of the proposed candidates and determines whether or not to add such person to the proposed candidates list. In the event the Board determines to add an additional Board member, the governance and nominating committee shall select candidates from this list in addition to candidates drawn from any search firm that the committee deems necessary to retain for this purpose.</w:t>
      </w:r>
    </w:p>
    <w:p>
      <w:pPr>
        <w:spacing w:after="0" w:line="177"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The criteria used in selecting Board candidates include the candidate’s integrity, business acumen, commitment, reputation among our various constituencies and communities, ability to make independent analytical inquiries, understanding of our business environment, and willingness to devote adequate time to Board duties. The Board has also determined that gender and ethnic diversity of the Board will be an important factor in its evaluation of candidates for director nominations. There are no other pre-established qualifications, qualities or skills at this time that any particular director nominee must possess and nominees are not discriminated against on the basis of race, religion, national origin, sexual orientation, disability or any other basis proscribed by law. The governance and nominating committee does not assign specific weights to any particular criteria, nor has it adopted specific requirements. Rather, the Board believes that the backgrounds and qualifications of the directors, considered as a group, should provide a composite mix of experience, knowledge and abilities that will allow the Board to fulfill its responsibilities. The goal of the governance and nominating committee is to assemble a Board that brings a variety of skills derived from high quality businesses and professional experience. The governance and nominating committee seeks to ensure that at least a majority of the directors are independent under Nasdaq rules, that members of the Company’s audit committee meet the financial literacy and sophistication requirements under the Nasdaq rules, and at least one of them qualifies as an “audit committee financial expert” under the rules of the SEC, and that members of the compensation and governance and nominating committee meet applicable independence and other requirements under the Nasdaq rules and rules of the SEC.</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Recommendations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governance and nominating committee is responsible for the consideration of any written stockholder recommendations for candidates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which recommendations should be delivered or mailed, postage prepaid, to: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Governance and Nominating Committee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Therapeutics,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4200 Marathon Blvd. 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Austin, TX 78756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 Chief Financial Officer</w:t>
      </w:r>
    </w:p>
    <w:p>
      <w:pPr>
        <w:spacing w:after="0" w:line="21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Stockholder recommendations must include the following information to be considered by our governance and nominating committee: (a) all information relating to such recommended candidate as would be required to be disclosed for a director nominee pursuant to Regulation 14A under the Securities Exchange Act of 1934, as amended (the “Exchange Act”) (including such person’s written consent to being named in the proxy statement as a nominee and to serving as a director if elected) and as required for stockholder nominations of director candidates pursuant to the Company’s Amended and Restated Bylaws (“Bylaws”); (b) the names and addresses of the stockholders making the recommendation and the number of shares of the Company’s common stock which are owned beneficially and of record by such stockholders; and (c) other appropriate biographical information and a statement as to the qualification of the nominee. There are no pre-established qualifications, qualities or skills at this time that any particular director nominee must possess and nominees are not discriminated against on the basis of race, religion, national origin, sexual orientation, disability or any other basis proscribed by law.</w:t>
      </w:r>
    </w:p>
    <w:p>
      <w:pPr>
        <w:spacing w:after="0" w:line="18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Any recommendations received from our security holders will be evaluated in the same manner that potential nominees suggested by Board members, management or other parties are evaluated.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12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Stockholders may contact an individual director, the Board as a group, or a specified Board committee or group, including the independent directors as a group, by the following means:</w:t>
      </w:r>
    </w:p>
    <w:p>
      <w:pPr>
        <w:sectPr>
          <w:pgSz w:w="11900" w:h="16838" w:orient="portrait"/>
          <w:cols w:equalWidth="0" w:num="1">
            <w:col w:w="10980"/>
          </w:cols>
          <w:pgMar w:left="440" w:top="270" w:right="47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Plus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4200 Marathon Blvd.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Austin, TX 78756</w:t>
      </w:r>
    </w:p>
    <w:p>
      <w:pPr>
        <w:spacing w:after="0" w:line="9" w:lineRule="exact"/>
        <w:rPr>
          <w:sz w:val="20"/>
          <w:szCs w:val="20"/>
          <w:color w:val="auto"/>
        </w:rPr>
      </w:pPr>
    </w:p>
    <w:p>
      <w:pPr>
        <w:sectPr>
          <w:pgSz w:w="11900" w:h="16838" w:orient="portrait"/>
          <w:cols w:equalWidth="0" w:num="2">
            <w:col w:w="840" w:space="660"/>
            <w:col w:w="9480"/>
          </w:cols>
          <w:pgMar w:left="440" w:top="270" w:right="479" w:bottom="1440" w:gutter="0" w:footer="0" w:header="0"/>
          <w:type w:val="continuous"/>
        </w:sectPr>
      </w:pPr>
    </w:p>
    <w:p>
      <w:pPr>
        <w:ind w:left="1760" w:hanging="252"/>
        <w:spacing w:after="0"/>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Chairman@plustherapeutics.com</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communication should specify the applicable addressee or addressees to be contacted as well as the general topic of the communication. The Chairman of the Board will initially receive and process communications before forwarding them to the addressee. Communications also may be referred to other departments within the Company. The Chairman of the Board generally will not forward to the directors a communication that he determines to be primarily commercial in nature or related to an improper or irrelevant topic, or that requests general information about us. Concerns about questionable accounting or auditing matters or possible violations of the Plus Code of Business Conduct and Ethics should be reported pursuant to the procedures outlined in the Code of Business Conduct and Ethics, which is available on the Company’s website in the Investor Relations section under “Corporate Governance Materials.”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Business Conduct and Ethics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This Code of Business Conduct and Ethics has been posted on our website at </w:t>
      </w:r>
      <w:r>
        <w:rPr>
          <w:rFonts w:ascii="Arial" w:cs="Arial" w:eastAsia="Arial" w:hAnsi="Arial"/>
          <w:sz w:val="18"/>
          <w:szCs w:val="18"/>
          <w:u w:val="single" w:color="auto"/>
          <w:color w:val="auto"/>
        </w:rPr>
        <w:t>www.plustherapeutics.com</w:t>
      </w:r>
      <w:r>
        <w:rPr>
          <w:rFonts w:ascii="Arial" w:cs="Arial" w:eastAsia="Arial" w:hAnsi="Arial"/>
          <w:sz w:val="18"/>
          <w:szCs w:val="18"/>
          <w:color w:val="auto"/>
        </w:rPr>
        <w:t xml:space="preserve">. We intend to post amendments to this code, or any waivers of its requirements, on our website at </w:t>
      </w:r>
      <w:r>
        <w:rPr>
          <w:rFonts w:ascii="Arial" w:cs="Arial" w:eastAsia="Arial" w:hAnsi="Arial"/>
          <w:sz w:val="18"/>
          <w:szCs w:val="18"/>
          <w:u w:val="single" w:color="auto"/>
          <w:color w:val="auto"/>
        </w:rPr>
        <w:t>www.plustherapeutics.com</w:t>
      </w:r>
      <w:r>
        <w:rPr>
          <w:rFonts w:ascii="Arial" w:cs="Arial" w:eastAsia="Arial" w:hAnsi="Arial"/>
          <w:sz w:val="18"/>
          <w:szCs w:val="18"/>
          <w:color w:val="auto"/>
        </w:rPr>
        <w:t xml:space="preserve"> under “For Investors– Governance,” as permitted under SEC rules and regulations. To date, there have been no waivers under our Code of Business Conduct and Ethics.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Under our Insider Trading and Communications Policy, our directors, officers, employees, consultants and contractors (and each such individual’s family members, other members of a person’s household and entities controlled by a person covered by this policy, as described in the policy) are prohibited from engaging in the following transactions at any time: (i) engaging in short sales of our securities; (ii) trading in put options, call options or other derivative securities involving our securities on an exchange or in any other organized market; (iii) engaging in hedging or monetization transactions involving our securities, including through the use of financial instruments such as prepaid variable forwards, equity swaps, collars and exchange funds; and (iv) holding our securities in a margin account or otherwise pledging our securities as collateral for loan.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Generally, our Board believes that the level of director compensation should be based on time spent carrying out Board and committee responsibilities and be competitive with comparable companies. In addition, 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Our Board, following the compensation committee’s recommendation, has approved the compensation of our non-employee directors, as described below</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For 2022, an increase of $7,500 in the compensation of our Chairman of the Board was recommended by our compensation committee and approved by our Board and an increase of $2,500 in the compensation of the members of our audit committee was recommended by our compensation committee and approved by our Board. The compensation of our other non-employee directors remained the same as in 2021. The compensation committee believes that our non-employee director compensation remains aligned with director compensation practices at our peer companies while considering the ongoing cash constraints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cash component of our non-employee director compensation for 2022 is as follows:</w:t>
      </w:r>
    </w:p>
    <w:p>
      <w:pPr>
        <w:spacing w:after="0" w:line="131" w:lineRule="exact"/>
        <w:rPr>
          <w:sz w:val="20"/>
          <w:szCs w:val="20"/>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$40,000 annual cash retainer for Board members;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$37,500 annual cash retainer for the Chairman of the Board;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$27,500 annual cash retainer for the Chairman of the audit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$15,000 annual cash retainer for the Chairman of our compensation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$10,000 annual cash retainer for the Chairman of our governance and nominating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$5,000 annual cash retainer for each non-Chairman committee member;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$2,500 annual retainer for each non-Chairman audit committee member.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23" w:name="page24"/>
    <w:bookmarkEnd w:id="23"/>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new director is also eligible for an initial option grant, upon commencement of services, to purchase 40,000 shares of our common stock, vesting over two years in equal, annual installments as measured from the grant date. However, the grant of options for 40,000 shares to Mr. Clowes and</w:t>
      </w:r>
    </w:p>
    <w:p>
      <w:pPr>
        <w:ind w:left="4"/>
        <w:spacing w:after="0" w:line="268" w:lineRule="auto"/>
        <w:rPr>
          <w:sz w:val="20"/>
          <w:szCs w:val="20"/>
          <w:color w:val="auto"/>
        </w:rPr>
      </w:pPr>
      <w:r>
        <w:rPr>
          <w:rFonts w:ascii="Arial" w:cs="Arial" w:eastAsia="Arial" w:hAnsi="Arial"/>
          <w:sz w:val="17"/>
          <w:szCs w:val="17"/>
          <w:color w:val="auto"/>
        </w:rPr>
        <w:t>Dr. Lenk, and a portion of the options granted to Dr. Es-Johansson with respect to 34,000 shares were granted in June 2020 after the stockholders approved our 2020 Stock Incentive Plan because there were not enough shares available under our 2014 Stock Incentive Plan prior to approval of the 2020 Stock Incentive Plan. Mr. Hawkins received an option grant to purchase 40,000 shares on June 25, 2020 so that his outstanding equity incentives would be consistent with the awards granted to the new directors. In addition, the options to purchase 40,000 shares granted to Messrs. Hawkins and Clowes and Dr. Lenk vest in equal monthly installments over the two-year period following grant, and the option to purchase 34,000 shares granted to Dr. Es-Johansson vests in 19 equal monthly installments following grant. For 2021, each director was granted options to purchase 6,336 shares on May 25, 2021 (except Mr. Hawkins whose options were issued on June 11, 2021). The options vest in monthly equal installments over 12 months, provided that the options vest in full on the date of the Company’s next regularly scheduled annual meeting of stockholders. Mr. Hawkins, as the Chairman of our Board, was granted an option to purchase an additional 40,000 shares on June 11, 2021. This second issuance to Mr. Hawkins vests in monthly equal installments over 36 months.</w:t>
      </w:r>
    </w:p>
    <w:p>
      <w:pPr>
        <w:spacing w:after="0" w:line="179" w:lineRule="exact"/>
        <w:rPr>
          <w:sz w:val="20"/>
          <w:szCs w:val="20"/>
          <w:color w:val="auto"/>
        </w:rPr>
      </w:pPr>
    </w:p>
    <w:p>
      <w:pPr>
        <w:ind w:left="4" w:right="880"/>
        <w:spacing w:after="0" w:line="277" w:lineRule="auto"/>
        <w:rPr>
          <w:sz w:val="20"/>
          <w:szCs w:val="20"/>
          <w:color w:val="auto"/>
        </w:rPr>
      </w:pPr>
      <w:r>
        <w:rPr>
          <w:rFonts w:ascii="Arial" w:cs="Arial" w:eastAsia="Arial" w:hAnsi="Arial"/>
          <w:sz w:val="18"/>
          <w:szCs w:val="18"/>
          <w:color w:val="auto"/>
        </w:rPr>
        <w:t>For 2023, the cash compensation of the non-employee director compensation will remain the same as in 2022. On February 15, 2023, each non-employee director was awarded a grant of options for 20,182 shares as equity compensation.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2022 Director Compensation</w:t>
      </w:r>
    </w:p>
    <w:p>
      <w:pPr>
        <w:spacing w:after="0" w:line="11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following table summarizes director compensation awarded to, earned by or paid to our non-employee directors who served on our Board during fiscal year 2022:</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r>
              <w:rPr>
                <w:rFonts w:ascii="Arial" w:cs="Arial" w:eastAsia="Arial" w:hAnsi="Arial"/>
                <w:sz w:val="10"/>
                <w:szCs w:val="10"/>
                <w:b w:val="1"/>
                <w:bCs w:val="1"/>
                <w:color w:val="auto"/>
                <w:w w:val="94"/>
              </w:rPr>
              <w:t>(1)</w:t>
            </w:r>
          </w:p>
        </w:tc>
        <w:tc>
          <w:tcPr>
            <w:tcW w:w="5240" w:type="dxa"/>
            <w:vAlign w:val="bottom"/>
            <w:vMerge w:val="restart"/>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J. Hawkins, Chairman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$95,000.00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$95,000.00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Howard Clowes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67,500.00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67,500.00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van Es-Johansson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57,500.00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Robert Lenk</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45,000.00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Petersen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20" w:hanging="424"/>
        <w:spacing w:after="0" w:line="263"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Dr. Hedrick is not included in this table as he is our chief executive officer and receives no extra compensation for his service as a director. The compensation received by Dr. Hedrick in his capacity as our chief executive officer is set forth in the 2022 Summary Compensation Table and further described in the “Narrative Disclosures to Summary Compensation Table.”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Our named executive officers, or NEOs, for fiscal year 2022 are:</w:t>
      </w:r>
    </w:p>
    <w:p>
      <w:pPr>
        <w:spacing w:after="0" w:line="131" w:lineRule="exact"/>
        <w:rPr>
          <w:sz w:val="20"/>
          <w:szCs w:val="20"/>
          <w:color w:val="auto"/>
        </w:rPr>
      </w:pPr>
    </w:p>
    <w:p>
      <w:pPr>
        <w:ind w:left="1424" w:hanging="331"/>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Marc H. Hedrick, M.D., our President and Chief Executive Officer;</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Andrew Sims, our Chief Financial Officer; and</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Norman LaFrance, M.D., our Chief Medical Officer.</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4"/>
          </w:cols>
          <w:pgMar w:left="436" w:top="274" w:right="599" w:bottom="1440" w:gutter="0" w:footer="0" w:header="0"/>
        </w:sectPr>
      </w:pPr>
    </w:p>
    <w:bookmarkStart w:id="24" w:name="page25"/>
    <w:bookmarkEnd w:id="24"/>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are encouraged to read the compensation discussion below in conjunction with the compensation tables and related notes, which include more detailed information about the compensation of our NEOs for 2021 and 2020.</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2022 Summary Compensation Table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sets forth information concerning compensation earned during 2022 and 2021 for services rendered to us by our NEOs.</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0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Salary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0"/>
                <w:szCs w:val="10"/>
                <w:b w:val="1"/>
                <w:bCs w:val="1"/>
                <w:color w:val="auto"/>
                <w:w w:val="92"/>
              </w:rPr>
              <w:t>(1)</w:t>
            </w:r>
          </w:p>
        </w:tc>
        <w:tc>
          <w:tcPr>
            <w:tcW w:w="120" w:type="dxa"/>
            <w:vAlign w:val="bottom"/>
          </w:tcPr>
          <w:p>
            <w:pPr>
              <w:spacing w:after="0"/>
              <w:rPr>
                <w:sz w:val="15"/>
                <w:szCs w:val="15"/>
                <w:color w:val="auto"/>
              </w:rPr>
            </w:pPr>
          </w:p>
        </w:tc>
        <w:tc>
          <w:tcPr>
            <w:tcW w:w="13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0"/>
                <w:szCs w:val="10"/>
                <w:b w:val="1"/>
                <w:bCs w:val="1"/>
                <w:color w:val="auto"/>
              </w:rPr>
              <w:t>(2)</w:t>
            </w: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0"/>
                <w:szCs w:val="10"/>
                <w:b w:val="1"/>
                <w:bCs w:val="1"/>
                <w:color w:val="auto"/>
              </w:rPr>
              <w:t>(3)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Marc H. Hedrick, M.D.</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535,000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361,928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954,651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773,198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364,650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1,667,279</w:t>
            </w: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Andrew Sims</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305,000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125,164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446,176</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260,000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467,958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108,063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845,091</w:t>
            </w:r>
          </w:p>
        </w:tc>
        <w:tc>
          <w:tcPr>
            <w:tcW w:w="0" w:type="dxa"/>
            <w:vAlign w:val="bottom"/>
          </w:tcPr>
          <w:p>
            <w:pPr>
              <w:spacing w:after="0"/>
              <w:rPr>
                <w:sz w:val="1"/>
                <w:szCs w:val="1"/>
                <w:color w:val="auto"/>
              </w:rPr>
            </w:pP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6"/>
                <w:szCs w:val="16"/>
                <w:color w:val="auto"/>
              </w:rPr>
              <w:t>Norman LaFrance, M.D.</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440,000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152,460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637,811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205,200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40" w:hanging="424"/>
        <w:spacing w:after="0" w:line="25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stock options granted in the applicable year. Pursuant to SEC rules, the amounts shown exclude the impact of estimated forfeitures related to service-based vesting conditions computed in accordance with Topic 718. Assumptions used in the calculation of these amounts are included in Note 13 to our consolidated financial statements included in our annual report on Form 10-K for the year ended December 31, 2022.</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for 2022 and 2021.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column includes life insurance premiums paid by the Company for each of the NEOs as well as other personal benefits and perquisites.</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LaFrance became our Chief Medical Officer on November 11, 2021.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 w:right="260" w:firstLine="440"/>
        <w:spacing w:after="0" w:line="257" w:lineRule="auto"/>
        <w:rPr>
          <w:sz w:val="20"/>
          <w:szCs w:val="20"/>
          <w:color w:val="auto"/>
        </w:rPr>
      </w:pPr>
      <w:r>
        <w:rPr>
          <w:rFonts w:ascii="Arial" w:cs="Arial" w:eastAsia="Arial" w:hAnsi="Arial"/>
          <w:sz w:val="18"/>
          <w:szCs w:val="18"/>
          <w:color w:val="auto"/>
        </w:rPr>
        <w:t>On May 13, 2020 we entered into Amended and Restated Executive Employment Agreements with each of Dr. Hedrick (the “Hedrick Employment Agreement”) and Mr. Sims (the “Sims Employment Agreement”). On September 7, 2021, we entered into an Executive Employment Agreement with Dr. LaFrance, which was amended on November 8, 2021 (the “LaFrance Employment Agreement” and, together with the Hedrick Employment Agreement and the Sims Employment Agreement, the “Executive Employment Agreements”). The Executive Employment Agreements generally provide for a minimum</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5" w:name="page26"/>
    <w:bookmarkEnd w:id="2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 salary, a discretionary annual cash bonus based on the achievement of Company performance goals and the ability to participate in, subject to applicable eligibility requirements, all of our benefit plans and fringe benefits and programs that may be provided to our executives from time to time. Dr. Hedrick is also eligible for certain severance payments as described further below under “Additional Narrative Disclosure: Termination Based-Compensation”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In the process of determining compensation for our NEOs, the compensation committee considers the current financial position of the Company, the strategic goals of the Company, and the performance of each of our NEOs. The compensation committee retained Larry Setren &amp; Associates in December 2022, to perform an independent compensation review and to provide compensation research, analysis and recommendations. In addition, from time to time, the compensation committee considers the various components (described below) of our compensation program for executives in relation to compensation paid by other public companies, compensation data from Radford Global Life Sciences Survey, their historical review of all executive officer compensation, and recommendations from our Chief Executive Officer (other than for his own compensation). The compensation committee has the sole authority to select, compensate and terminate its external advisors.</w:t>
      </w:r>
    </w:p>
    <w:p>
      <w:pPr>
        <w:spacing w:after="0" w:line="177"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52" w:lineRule="exact"/>
        <w:rPr>
          <w:sz w:val="20"/>
          <w:szCs w:val="20"/>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bonuses;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long-term equity compensation;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Personal benefits and perquisites;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Acceleration and severance agreements tied to changes in control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For the Company’s 2022 fiscal year, the annual base salaries for Dr. Hedrick, Mr. Sims and Dr. LaFrance were $535,000, $305,000 and $440,000,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Bonuses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Target bonuses are reviewed annually and established as a percentage of the executives’ base salaries, generally based upon seniority of the officer and targeted at or near the median of the peer group (with reference to our corporate compensation philosophy) and relevant survey data (including the Radford Global Life Sciences Survey). Each year, the compensation committee establishes corporate objectives related to the Company’s clinical, financial and operational goals and sets each executive’s respective bonus target percentages, taking into account recommendations from our Chief Executive Officer as it relates to individual objectives for executive positions other than the Chief Executive Officer. Our Chief Executive Officer’s target bonus is set by the compensation committee to align entirely with our overall corporate objectives. Our other NEOs have additional individual goals the attainment of which comprises a specified percentage of their total bonus compensation. After each fiscal year-end, our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challenging yet attainable, and stretch goals that are highly challenging.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6" w:name="page27"/>
    <w:bookmarkEnd w:id="26"/>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 Hedrick’s target bonus for the Company’s 2022 and 2021 fiscal years as a percentage of base salary was 55%. Mr. Sims’ and Dr. LaFrance’s target bonus for the Company’s 2022 and 2021 fiscal years as a percentage of base salary was 35%.</w:t>
      </w:r>
    </w:p>
    <w:p>
      <w:pPr>
        <w:spacing w:after="0" w:line="170"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For the Company’s 2022 fiscal year, the corporate goals approved by the Board (upon recommendation of the compensation committee for purposes of executive compensation) were determined by the compensation committee to have been achieved at a level of 123%. As our Chief Executive Officer’s bonus is based exclusively on attainment of our corporate goals, Dr. Hedrick received $361,928 or 123% of his target cash bonus. Based upon the attainment of 123% of the corporate goals, and (i) upon an attainment of 100% of his individual goals, our Chief Financial Officer, Mr. Sims, received $125,164, or 117% of his target cash bonus; and (ii) upon an attainment of 75% of his individual goals, our Chief Medical Officer, Dr. LaFrance, received $152,460, or 99% of his target cash bonus.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Compensation</w:t>
      </w:r>
    </w:p>
    <w:p>
      <w:pPr>
        <w:spacing w:after="0" w:line="11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We designed our long-term equity grant program to further align the interests of our executives with those of our stockholders and to reward the executives’ longer-term performance. Historically, the compensation committee has granted stock options, although from time-to-time, to further increase the emphasis on compensation tied to performance, the compensation committee may grant other equity awards as allowed by the 2020 Stock Incentive Plan based on its judgment as to whether the complete compensation packages to our executives, including prior equity awards, are appropriate and sufficient to retain and incentivize the executives and whether the grants balance long-term versus short-term compensation. The compensation committee also considers our overall performance as well as the individual performance of each of our NEOs, the potential dilutive effect of restricted stock awards, the dilutive and overhang effect of the equity awards, and recommendations from the Chief Executive Officer (other than with respect to his own equity awards).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options are granted with an exercise price equal to the fair market value of our common stock on the date of grant.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There were no new stock options awarded to our NEOs in 2022. For the year ended December 31, 2021, our Chief Executive Officer was awarded stock options covering a total of 289,085 shares, our Chief Financial Officer was awarded stock options covering a total of 166,822 shares and our Chief Medical Officer was issued a stock option covering 120,000 shares. You can find more information on the stock options granted to our Named Executive Officers below under “Outstanding Equity Awards at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 and Perquisites</w:t>
      </w:r>
    </w:p>
    <w:p>
      <w:pPr>
        <w:spacing w:after="0" w:line="11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All of our executives are eligible to participate in our employee benefit plans, including medical, dental, vision, life insurance, short-term and long-term disability insurance, flexible spending accounts and 401(k). These plans are available to all full-time employees. In keeping with our philosophy to provide total compensation that is competitive within our industry, we offer limited personal benefits and perquisites to executive officers. You can find more information on the amounts paid for these perquisites to or on behalf of our NEOs in our 2022 Summary Compensation Table.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Equity Awards at December 31, 2022</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information regarding outstanding equity awards held by our NEOs as of December 31, 2022.</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Securities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 Un-</w:t>
            </w: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4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gridSpan w:val="3"/>
          </w:tcPr>
          <w:p>
            <w:pPr>
              <w:jc w:val="center"/>
              <w:ind w:left="132"/>
              <w:spacing w:after="0" w:line="155"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Exercisable</w:t>
            </w:r>
          </w:p>
        </w:tc>
        <w:tc>
          <w:tcPr>
            <w:tcW w:w="8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5"/>
        </w:trPr>
        <w:tc>
          <w:tcPr>
            <w:tcW w:w="360" w:type="dxa"/>
            <w:vAlign w:val="bottom"/>
            <w:tcBorders>
              <w:bottom w:val="single" w:sz="8" w:color="auto"/>
            </w:tcBorders>
            <w:vMerge w:val="continue"/>
          </w:tcPr>
          <w:p>
            <w:pPr>
              <w:spacing w:after="0"/>
              <w:rPr>
                <w:sz w:val="13"/>
                <w:szCs w:val="13"/>
                <w:color w:val="auto"/>
              </w:rPr>
            </w:pPr>
          </w:p>
        </w:tc>
        <w:tc>
          <w:tcPr>
            <w:tcW w:w="5400" w:type="dxa"/>
            <w:vAlign w:val="bottom"/>
            <w:vMerge w:val="continue"/>
          </w:tcPr>
          <w:p>
            <w:pPr>
              <w:spacing w:after="0"/>
              <w:rPr>
                <w:sz w:val="13"/>
                <w:szCs w:val="13"/>
                <w:color w:val="auto"/>
              </w:rPr>
            </w:pPr>
          </w:p>
        </w:tc>
        <w:tc>
          <w:tcPr>
            <w:tcW w:w="1060" w:type="dxa"/>
            <w:vAlign w:val="bottom"/>
            <w:gridSpan w:val="3"/>
          </w:tcPr>
          <w:p>
            <w:pPr>
              <w:jc w:val="center"/>
              <w:ind w:left="137"/>
              <w:spacing w:after="0"/>
              <w:rPr>
                <w:sz w:val="20"/>
                <w:szCs w:val="20"/>
                <w:color w:val="auto"/>
              </w:rPr>
            </w:pPr>
            <w:r>
              <w:rPr>
                <w:rFonts w:ascii="Arial" w:cs="Arial" w:eastAsia="Arial" w:hAnsi="Arial"/>
                <w:sz w:val="11"/>
                <w:szCs w:val="11"/>
                <w:b w:val="1"/>
                <w:bCs w:val="1"/>
                <w:color w:val="auto"/>
                <w:w w:val="88"/>
              </w:rPr>
              <w:t>(1)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Exercisable</w:t>
            </w:r>
            <w:r>
              <w:rPr>
                <w:rFonts w:ascii="Arial" w:cs="Arial" w:eastAsia="Arial" w:hAnsi="Arial"/>
                <w:sz w:val="10"/>
                <w:szCs w:val="10"/>
                <w:b w:val="1"/>
                <w:bCs w:val="1"/>
                <w:color w:val="auto"/>
                <w:w w:val="93"/>
              </w:rPr>
              <w:t>(3)</w:t>
            </w:r>
          </w:p>
        </w:tc>
        <w:tc>
          <w:tcPr>
            <w:tcW w:w="980" w:type="dxa"/>
            <w:vAlign w:val="bottom"/>
            <w:gridSpan w:val="2"/>
          </w:tcPr>
          <w:p>
            <w:pPr>
              <w:jc w:val="center"/>
              <w:ind w:left="135"/>
              <w:spacing w:after="0"/>
              <w:rPr>
                <w:sz w:val="20"/>
                <w:szCs w:val="20"/>
                <w:color w:val="auto"/>
              </w:rPr>
            </w:pPr>
            <w:r>
              <w:rPr>
                <w:rFonts w:ascii="Arial" w:cs="Arial" w:eastAsia="Arial" w:hAnsi="Arial"/>
                <w:sz w:val="11"/>
                <w:szCs w:val="11"/>
                <w:b w:val="1"/>
                <w:bCs w:val="1"/>
                <w:color w:val="auto"/>
                <w:w w:val="89"/>
              </w:rPr>
              <w:t>(2)(3)</w:t>
            </w:r>
          </w:p>
        </w:tc>
        <w:tc>
          <w:tcPr>
            <w:tcW w:w="260" w:type="dxa"/>
            <w:vAlign w:val="bottom"/>
          </w:tcPr>
          <w:p>
            <w:pPr>
              <w:spacing w:after="0"/>
              <w:rPr>
                <w:sz w:val="13"/>
                <w:szCs w:val="13"/>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8"/>
                <w:szCs w:val="8"/>
                <w:b w:val="1"/>
                <w:bCs w:val="1"/>
                <w:color w:val="auto"/>
              </w:rPr>
              <w:t>(3)</w:t>
            </w:r>
          </w:p>
        </w:tc>
        <w:tc>
          <w:tcPr>
            <w:tcW w:w="280" w:type="dxa"/>
            <w:vAlign w:val="bottom"/>
          </w:tcPr>
          <w:p>
            <w:pPr>
              <w:spacing w:after="0"/>
              <w:rPr>
                <w:sz w:val="13"/>
                <w:szCs w:val="13"/>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 H. Hedrick, M.D.,</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1/31/2013</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$20,550</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1/31/2023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President and Chief</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w:t>
            </w: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1/31/2013</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1/31/2023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Officer</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4/11/2014</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4/11/2024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8/21/2014</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8/21/2024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1/30/2015</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1/04/2016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3/08/2017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6/25/2020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52,500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2/16/2021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47,837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5/25/2021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79,472</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121,299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5/25/2031</w:t>
            </w:r>
          </w:p>
        </w:tc>
        <w:tc>
          <w:tcPr>
            <w:tcW w:w="0" w:type="dxa"/>
            <w:vAlign w:val="bottom"/>
          </w:tcPr>
          <w:p>
            <w:pPr>
              <w:spacing w:after="0"/>
              <w:rPr>
                <w:sz w:val="1"/>
                <w:szCs w:val="1"/>
                <w:color w:val="auto"/>
              </w:rPr>
            </w:pP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Andrew Sims,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120" w:type="dxa"/>
            <w:vAlign w:val="bottom"/>
            <w:gridSpan w:val="4"/>
          </w:tcPr>
          <w:p>
            <w:pPr>
              <w:ind w:left="340"/>
              <w:spacing w:after="0"/>
              <w:rPr>
                <w:sz w:val="20"/>
                <w:szCs w:val="20"/>
                <w:color w:val="auto"/>
              </w:rPr>
            </w:pPr>
            <w:r>
              <w:rPr>
                <w:rFonts w:ascii="Arial" w:cs="Arial" w:eastAsia="Arial" w:hAnsi="Arial"/>
                <w:sz w:val="18"/>
                <w:szCs w:val="18"/>
                <w:color w:val="auto"/>
                <w:w w:val="94"/>
              </w:rPr>
              <w:t>2/06/2020</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23,750</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16,250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2/06/2030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gridSpan w:val="4"/>
          </w:tcPr>
          <w:p>
            <w:pPr>
              <w:ind w:left="340"/>
              <w:spacing w:after="0"/>
              <w:rPr>
                <w:sz w:val="20"/>
                <w:szCs w:val="20"/>
                <w:color w:val="auto"/>
              </w:rPr>
            </w:pPr>
            <w:r>
              <w:rPr>
                <w:rFonts w:ascii="Arial" w:cs="Arial" w:eastAsia="Arial" w:hAnsi="Arial"/>
                <w:sz w:val="18"/>
                <w:szCs w:val="18"/>
                <w:color w:val="auto"/>
                <w:w w:val="94"/>
              </w:rPr>
              <w:t>2/16/2021</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30,536</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36,089</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2/16/2031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20" w:type="dxa"/>
            <w:vAlign w:val="bottom"/>
            <w:gridSpan w:val="4"/>
          </w:tcPr>
          <w:p>
            <w:pPr>
              <w:ind w:left="340"/>
              <w:spacing w:after="0"/>
              <w:rPr>
                <w:sz w:val="20"/>
                <w:szCs w:val="20"/>
                <w:color w:val="auto"/>
              </w:rPr>
            </w:pPr>
            <w:r>
              <w:rPr>
                <w:rFonts w:ascii="Arial" w:cs="Arial" w:eastAsia="Arial" w:hAnsi="Arial"/>
                <w:sz w:val="18"/>
                <w:szCs w:val="18"/>
                <w:color w:val="auto"/>
                <w:w w:val="94"/>
              </w:rPr>
              <w:t>5/25/2021</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39,661</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60,536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5/25/2031</w:t>
            </w:r>
          </w:p>
        </w:tc>
        <w:tc>
          <w:tcPr>
            <w:tcW w:w="0" w:type="dxa"/>
            <w:vAlign w:val="bottom"/>
          </w:tcPr>
          <w:p>
            <w:pPr>
              <w:spacing w:after="0"/>
              <w:rPr>
                <w:sz w:val="1"/>
                <w:szCs w:val="1"/>
                <w:color w:val="auto"/>
              </w:rPr>
            </w:pP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Norman LaFrance, M.D.</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11/11/2021</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32,500</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87,500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11/11/2031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 better understanding of this table, we have included an additional column showing the grant date of the stock options.</w:t>
      </w:r>
    </w:p>
    <w:p>
      <w:pPr>
        <w:spacing w:after="0" w:line="23" w:lineRule="exact"/>
        <w:rPr>
          <w:rFonts w:ascii="Arial" w:cs="Arial" w:eastAsia="Arial" w:hAnsi="Arial"/>
          <w:sz w:val="18"/>
          <w:szCs w:val="18"/>
          <w:color w:val="auto"/>
        </w:rPr>
      </w:pPr>
    </w:p>
    <w:p>
      <w:pPr>
        <w:ind w:left="424" w:right="200" w:hanging="424"/>
        <w:spacing w:after="0" w:line="290" w:lineRule="auto"/>
        <w:tabs>
          <w:tab w:leader="none" w:pos="4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Unless otherwise provided, unvested stock options are subject to four-year vesting (from the grant date), and all stock options have a contractual term of 10 years from the date of grant. Awards presented in this table contain one of the following two vesting provisions:</w:t>
      </w:r>
    </w:p>
    <w:p>
      <w:pPr>
        <w:spacing w:after="0" w:line="66" w:lineRule="exact"/>
        <w:rPr>
          <w:rFonts w:ascii="Arial" w:cs="Arial" w:eastAsia="Arial" w:hAnsi="Arial"/>
          <w:sz w:val="17"/>
          <w:szCs w:val="17"/>
          <w:color w:val="auto"/>
        </w:rPr>
      </w:pPr>
    </w:p>
    <w:p>
      <w:pPr>
        <w:ind w:left="964" w:right="80" w:hanging="424"/>
        <w:spacing w:after="0" w:line="222"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With respect to an initial stock option grant to an employee, 1/4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subject to the award vest on the one-year anniversary of the vesting start date, while an additional 1/36th of the remaining option shares vest at the end of each month thereafter for 36 consecutive months, or</w:t>
      </w:r>
    </w:p>
    <w:p>
      <w:pPr>
        <w:spacing w:after="0" w:line="110"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With respect to stock option grants made to an employee after one full year of employment, 1/48th of the shares subject to the award vest at the end of each month over a four-year period, as measured from the vesting start date.</w:t>
      </w:r>
    </w:p>
    <w:p>
      <w:pPr>
        <w:spacing w:after="0" w:line="75" w:lineRule="exact"/>
        <w:rPr>
          <w:rFonts w:ascii="Arial" w:cs="Arial" w:eastAsia="Arial" w:hAnsi="Arial"/>
          <w:sz w:val="18"/>
          <w:szCs w:val="18"/>
          <w:color w:val="auto"/>
        </w:rPr>
      </w:pPr>
    </w:p>
    <w:p>
      <w:pPr>
        <w:ind w:left="424" w:right="520"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consummated a 1-for-15 reverse stock split in May 2016, a 1-for-10 reverse stock split in May 2018 and a 1-for-50 reverse stock split in August 2019. The amounts set forth in this column reflect these three reverse stock splits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0"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Narrative Disclosure: Termination-Based Compensation</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Pursuant to the terms of the Executive Employment Agreements, if one of our NEOs is terminated without “cause” or resigns for “good reason,” (a “Severance Termination”), then such NEO will be eligible to receive: (i) an amount equal to twelve months of his base salary; (ii) an amount equal to his target bonus for the year in which such Severance Termination occurs; (iii) the annual bonus earned for the prior calendar year if not yet paid as of the date of such Severance Termination; (iv) an amount equal to twelve months of the premiums such NEO is required to pay under the Consolidated Omnibus Budget Reconciliation Act of 1985, as amended (“COBRA”) to continue coverage for him and his eligible dependents under our group health plans; and (v) the accelerated vesting of such NEO’s unvested equity incentive awards that would have vested during the period beginning on the date of such Severance Termination and ending on (1) in case of a Severance Termination of Dr. Hedrick and LaFrance, twelve months thereafter, or (ii) in the case of a Severance Termination of Mr. Sims, nine months thereafter. In order to be eligible for the benefits set forth above, such NEO must sign (and not revoke) a general release of claims in favor of the Company as of the date of the Severance Termination, as applicable (a “Release”).</w:t>
      </w:r>
    </w:p>
    <w:p>
      <w:pPr>
        <w:spacing w:after="0" w:line="16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a Severance Termination occurs within the period beginning on the date the Company and an acquiror formally or informally agree on the terms of a transaction which, if consummated, would constitute a “change in control” and ending on the closing date of the change in control, or within twelve months following a change in control, upon signing a Release (a “CoC Termination”), such NEO will be eligible to receive: (i) those items listed in the above paragraph under subclauses (ii) and (iii); (ii) an amount equal to (1) in the case of a CoC Termination of Dr. Hedrick or Dr. LaFrance, 18 months of the greater of his base salary in effect immediately prior to the date of such CoC Termination and his base salary in effect on the date the terms of a transaction that results in a change in control are agreed to, or (2) in the case of a CoC Termination of Mr. Sims, 12 months of the greater of his base salary in effect immediately prior to the CoC Termination and his base salary in effect on the date the terms of a transaction that results in a change in control; (iii) the amounts listed in the above paragraph under subclause (iv) except that, if the CoC Termination is for Dr. Hedrick or Dr. LaFrance, the amount of the COBRA payment will be increased to 18 months; (iv) the acceleration of such NEO’s remaining unvested equity incentive awards effective on the later of the CoC Termination and the date of the change in control; and (v) the right to exercise the equity incentive awards granted to him on or after the date of his Executive Employment Agreement until the later of (1) three months after the CoC Termination, (2) three months following the change in control with respect to any equity incentive awards that become exercisable upon a change in control due to this acceleration in connection with the change in control, and (3) any period specified in such NEO’s award agreements (but not beyond the original expiration date of any equity incentive award). Further, even if a CoC Termination does not occur, if any of our NEOs remain employed by the Company as of the closing of such change in control, all of such NEO’s outstanding unvested incentive stock awards shall automatically accelerate on the date of such change of control.</w:t>
      </w:r>
    </w:p>
    <w:p>
      <w:pPr>
        <w:spacing w:after="0" w:line="18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Under the Executive Employment Agreements, the term “cause” generally refers to the occurrence of certain events including (i) the employee’s extended disability, (ii) employee’s repudiation of his employment or his Executive Employment Agreement, (iii) the employee’s conviction of a felony or certain misdemeanors, (iv) employee’s demonstrable and documented fraud, (v) intentional, reckless or grossly negligent action which causes material harm to the Company, (vi) intentional failure to substantially perform material employment duties or directives, and (vii) chronic absence from work for reasons other than illness, permitted vacation or resignation for good reason.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29" w:name="page30"/>
    <w:bookmarkEnd w:id="29"/>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Executive Employment Agreements, the term “good reason” generally refers to: (i) the Company’s material breach of its obligation to pay employee the compensation earned for any past service (at the rate which had been stated to be in effect for such period of service); (ii) a change in employee’s position with the Company which materially reduces the employee’s duties or stature in the business conducted by the Company; and (iii) a reduction in the employee’s level of compensation, provided, however, that a Company-wide reduction of compensation of not more than fifteen percent (15%) that is also applicable to all of the senior management team of the Company and which continues for less than three (3) months, shall not constitute Good Reason.</w:t>
      </w:r>
    </w:p>
    <w:p>
      <w:pPr>
        <w:spacing w:after="0" w:line="19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Under the Executive Employment Agreements, the term “change of control” generally refers to (i) a change in the composition of the Board, as a result of which fewer than one-half of the incumbent directors are directors who either: (A) had been directors of the Company; or (B)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(ii) any “person”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(iii)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 (iv) the sale, transfer or other disposition of all or substantially all of the Company’s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and certain financial performance of our Company. The disclosure included in this section is prescribed by SEC rules and does not necessarily align with how the Company or the compensation committee view the link between the Company’s performance and its NEOs pay.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Table</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table below presents information on the compensation of our chief executive officer and our other NEOs in comparison to certain performance metrics for 2022 and 2021. The metrics are not those that the compensation committee uses when setting executive compensation. The use of the term “compensation actually paid”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0" w:name="page31"/>
    <w:bookmarkEnd w:id="30"/>
    <w:tbl>
      <w:tblPr>
        <w:tblLayout w:type="fixed"/>
        <w:tblInd w:w="4"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initial fixed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$100</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Summary</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Summary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based on</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total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Table Total for</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Actually Paid</w:t>
            </w: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Net Loss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980" w:type="dxa"/>
            <w:vAlign w:val="bottom"/>
            <w:vMerge w:val="restart"/>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Table Total for</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Actually Paid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Non-CEO</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to Non-CEO</w:t>
            </w: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return</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CEO (1) (2)</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to CEO (1) (3)</w:t>
            </w:r>
          </w:p>
        </w:tc>
        <w:tc>
          <w:tcPr>
            <w:tcW w:w="104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7"/>
              </w:rPr>
              <w:t>NEOs (1) (2)</w:t>
            </w:r>
          </w:p>
        </w:tc>
        <w:tc>
          <w:tcPr>
            <w:tcW w:w="120" w:type="dxa"/>
            <w:vAlign w:val="bottom"/>
          </w:tcPr>
          <w:p>
            <w:pPr>
              <w:spacing w:after="0"/>
              <w:rPr>
                <w:sz w:val="15"/>
                <w:szCs w:val="15"/>
                <w:color w:val="auto"/>
              </w:rPr>
            </w:pPr>
          </w:p>
        </w:tc>
        <w:tc>
          <w:tcPr>
            <w:tcW w:w="11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NEOs (1) (3)</w:t>
            </w:r>
          </w:p>
        </w:tc>
        <w:tc>
          <w:tcPr>
            <w:tcW w:w="80" w:type="dxa"/>
            <w:vAlign w:val="bottom"/>
          </w:tcPr>
          <w:p>
            <w:pPr>
              <w:spacing w:after="0"/>
              <w:rPr>
                <w:sz w:val="15"/>
                <w:szCs w:val="15"/>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(TSR):</w:t>
            </w:r>
          </w:p>
        </w:tc>
        <w:tc>
          <w:tcPr>
            <w:tcW w:w="10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954,651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$ 1,640,473</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541,994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805,429</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$(20,275,000)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1,667,279</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$ 1,728,722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568,898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530,436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$(13,399,000)</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each year shown, the CEO was Marc H. Hendrick, M.D. and the other NEOs were Andrew Sims and Norman LaFrance.</w:t>
      </w:r>
    </w:p>
    <w:p>
      <w:pPr>
        <w:spacing w:after="0" w:line="23"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this column represent the “Total” column set forth in the Summary Compensation Table (“SCT”) on page 25. See the footnotes to the SCT for further detail regarding the amounts in these columns.</w:t>
      </w:r>
    </w:p>
    <w:p>
      <w:pPr>
        <w:ind w:left="424" w:right="20" w:hanging="424"/>
        <w:spacing w:after="0" w:line="253"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p>
      <w:pPr>
        <w:spacing w:after="0" w:line="211"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2022</w:t>
            </w:r>
          </w:p>
        </w:tc>
        <w:tc>
          <w:tcPr>
            <w:tcW w:w="582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CEO</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Non-CEO NEOs</w:t>
            </w: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SCT Total Compensation</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954,651</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1,083,987</w:t>
            </w:r>
          </w:p>
        </w:tc>
        <w:tc>
          <w:tcPr>
            <w:tcW w:w="40" w:type="dxa"/>
            <w:vAlign w:val="bottom"/>
            <w:tcBorders>
              <w:top w:val="single" w:sz="8" w:color="CCEEFF"/>
            </w:tcBorders>
            <w:shd w:val="clear" w:color="auto" w:fill="CCEEFF"/>
          </w:tcPr>
          <w:p>
            <w:pPr>
              <w:spacing w:after="0"/>
              <w:rPr>
                <w:sz w:val="17"/>
                <w:szCs w:val="17"/>
                <w:color w:val="auto"/>
              </w:rPr>
            </w:pP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Add Change in Fair Value of Awards Granted in Prior Years Unvested as of</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12/31/22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449,783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359,663</w:t>
            </w:r>
          </w:p>
        </w:tc>
      </w:tr>
      <w:tr>
        <w:trPr>
          <w:trHeight w:val="202"/>
        </w:trPr>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Add Change in Fair Value of Awards Granted in Prior Years that Vested during</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2022 as of the Vesting Date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236,039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167,207</w:t>
            </w: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Compensation Actually Paid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1,640,473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1,610,857</w:t>
            </w:r>
          </w:p>
        </w:tc>
      </w:tr>
      <w:tr>
        <w:trPr>
          <w:trHeight w:val="39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2021</w:t>
            </w:r>
          </w:p>
        </w:tc>
        <w:tc>
          <w:tcPr>
            <w:tcW w:w="58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CEO</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Non-CEO NEOs</w:t>
            </w: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SCT Total Compensation</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1,667,279</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1,137,795</w:t>
            </w:r>
          </w:p>
        </w:tc>
        <w:tc>
          <w:tcPr>
            <w:tcW w:w="40" w:type="dxa"/>
            <w:vAlign w:val="bottom"/>
            <w:tcBorders>
              <w:top w:val="single" w:sz="8" w:color="CCEEFF"/>
            </w:tcBorders>
            <w:shd w:val="clear" w:color="auto" w:fill="CCEEFF"/>
          </w:tcPr>
          <w:p>
            <w:pPr>
              <w:spacing w:after="0"/>
              <w:rPr>
                <w:sz w:val="17"/>
                <w:szCs w:val="17"/>
                <w:color w:val="auto"/>
              </w:rPr>
            </w:pP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Deduct amounts reported under the “Stock Awards” and “Option Awards”</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column of the SCT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773,198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673,158</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Fair Value of Awards Granted in 2021 Unvested as of 12/31/21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498,145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40,504</w:t>
            </w: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Add Change in Fair Value of Awards Granted in Prior Years Unvested as of</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12/31/21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147,189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450,146</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Add Fair Value of Awards Granted and Vested in 2021 as of the Vesting Date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117,589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73,852</w:t>
            </w: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w w:val="97"/>
              </w:rPr>
              <w:t>Add Change in Fair Value of Awards Granted in Prior Years that Vested during</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2021 as of the Vesting Date</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71,718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31,733</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Compensation Actually Paid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1,728,722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1,060,872</w:t>
            </w: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Pay Versus Performance Narrative Disclosure</w:t>
      </w:r>
    </w:p>
    <w:p>
      <w:pPr>
        <w:spacing w:after="0" w:line="12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In accordance with Item 402(v) of Regulation S-K, we are providing the following descriptions of the relationships between information presented in the Pay Versus Performance table on CAP and each of total shareholder return (“TSR”) and net loss.</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We do not utilize TSR and net loss in our executive compensation program. However, we do utilize several other performance measures to align executive compensation with our performance. As described in more detail above in the section “Employment Agreements – Executive Compensation – Annual Bonuses,” part of the compensation our NEOs are eligible to receive consists of annual performance-based cash bonuses that are designed to provide appropriate incentives to our executives to achieve defined annual corporate goals and to reward our executives for individual achievement towards these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53" w:right="439" w:bottom="1440" w:gutter="0" w:footer="0" w:header="0"/>
        </w:sectPr>
      </w:pPr>
    </w:p>
    <w:bookmarkStart w:id="31" w:name="page32"/>
    <w:bookmarkEnd w:id="31"/>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goals, subject to certain employment criteria. Additionally, we view stock options, which are an integral part of our executive compensation program, as related to company performance although not directly tied to TSR, because they provide value only if the market price of our common stock increases, and if the executive officer continues in our employment over the vesting period. These stock option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With respect to net income, specifically, because we are not a commercial-stage company, we did not have any revenue during the periods presented, other than revenue associated with grants. Consequently, our company does not consider net loss as a performance measure for our executive compensation program. In 2022, our net loss increased from 2021, which was primarily due to increases in research and development expenses and costs associated with the settlement of litigation.</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graphs illustrates the relationship during 2021-2022 of the CAP for our CEO and other NEOs as calculated pursuant to SEC rules to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134620</wp:posOffset>
            </wp:positionV>
            <wp:extent cx="5288915" cy="290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891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2" w:name="page33"/>
    <w:bookmarkEnd w:id="32"/>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graph illustrates the relationship during 2021-2022 of the CAP for our CEO and other NEOs as calculated pursuant to SEC rules to our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134620</wp:posOffset>
            </wp:positionV>
            <wp:extent cx="5288915" cy="2846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891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The following table gives information as of December 31, 2022 about shares of our common stock that may be issued upon the exercise of outstanding options, and shares remaining available for issuance under all of our equity compensation plans:</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tcPr>
          <w:p>
            <w:pPr>
              <w:spacing w:after="0"/>
              <w:rPr>
                <w:sz w:val="14"/>
                <w:szCs w:val="14"/>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80" w:type="dxa"/>
            <w:vAlign w:val="bottom"/>
            <w:gridSpan w:val="2"/>
            <w:vMerge w:val="restart"/>
          </w:tcPr>
          <w:p>
            <w:pPr>
              <w:jc w:val="center"/>
              <w:ind w:left="236"/>
              <w:spacing w:after="0"/>
              <w:rPr>
                <w:sz w:val="20"/>
                <w:szCs w:val="20"/>
                <w:color w:val="auto"/>
              </w:rPr>
            </w:pPr>
            <w:r>
              <w:rPr>
                <w:rFonts w:ascii="Arial" w:cs="Arial" w:eastAsia="Arial" w:hAnsi="Arial"/>
                <w:sz w:val="14"/>
                <w:szCs w:val="14"/>
                <w:b w:val="1"/>
                <w:bCs w:val="1"/>
                <w:color w:val="auto"/>
                <w:w w:val="89"/>
              </w:rPr>
              <w:t>Number of securities to be issued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average exercise price</w:t>
            </w:r>
          </w:p>
        </w:tc>
        <w:tc>
          <w:tcPr>
            <w:tcW w:w="700" w:type="dxa"/>
            <w:vAlign w:val="bottom"/>
          </w:tcPr>
          <w:p>
            <w:pPr>
              <w:spacing w:after="0"/>
              <w:rPr>
                <w:sz w:val="12"/>
                <w:szCs w:val="12"/>
                <w:color w:val="auto"/>
              </w:rPr>
            </w:pPr>
          </w:p>
        </w:tc>
        <w:tc>
          <w:tcPr>
            <w:tcW w:w="2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 exercise of outstanding</w:t>
            </w:r>
          </w:p>
        </w:tc>
        <w:tc>
          <w:tcPr>
            <w:tcW w:w="204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940" w:type="dxa"/>
            <w:vAlign w:val="bottom"/>
            <w:gridSpan w:val="3"/>
          </w:tcPr>
          <w:p>
            <w:pPr>
              <w:jc w:val="center"/>
              <w:ind w:left="535"/>
              <w:spacing w:after="0" w:line="149" w:lineRule="exact"/>
              <w:rPr>
                <w:sz w:val="20"/>
                <w:szCs w:val="20"/>
                <w:color w:val="auto"/>
              </w:rPr>
            </w:pPr>
            <w:r>
              <w:rPr>
                <w:rFonts w:ascii="Arial" w:cs="Arial" w:eastAsia="Arial" w:hAnsi="Arial"/>
                <w:sz w:val="14"/>
                <w:szCs w:val="14"/>
                <w:b w:val="1"/>
                <w:bCs w:val="1"/>
                <w:color w:val="auto"/>
                <w:w w:val="90"/>
              </w:rPr>
              <w:t>plans (excluding securities reflected</w:t>
            </w:r>
          </w:p>
        </w:tc>
        <w:tc>
          <w:tcPr>
            <w:tcW w:w="0" w:type="dxa"/>
            <w:vAlign w:val="bottom"/>
          </w:tcPr>
          <w:p>
            <w:pPr>
              <w:spacing w:after="0"/>
              <w:rPr>
                <w:sz w:val="1"/>
                <w:szCs w:val="1"/>
                <w:color w:val="auto"/>
              </w:rPr>
            </w:pPr>
          </w:p>
        </w:tc>
      </w:tr>
      <w:tr>
        <w:trPr>
          <w:trHeight w:val="165"/>
        </w:trPr>
        <w:tc>
          <w:tcPr>
            <w:tcW w:w="19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options and rights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9"/>
              <w:spacing w:after="0" w:line="158" w:lineRule="exact"/>
              <w:rPr>
                <w:sz w:val="20"/>
                <w:szCs w:val="20"/>
                <w:color w:val="auto"/>
              </w:rPr>
            </w:pPr>
            <w:r>
              <w:rPr>
                <w:rFonts w:ascii="Arial" w:cs="Arial" w:eastAsia="Arial" w:hAnsi="Arial"/>
                <w:sz w:val="14"/>
                <w:szCs w:val="14"/>
                <w:b w:val="1"/>
                <w:bCs w:val="1"/>
                <w:color w:val="auto"/>
                <w:w w:val="91"/>
              </w:rPr>
              <w:t>and rights</w:t>
            </w:r>
          </w:p>
        </w:tc>
        <w:tc>
          <w:tcPr>
            <w:tcW w:w="700" w:type="dxa"/>
            <w:vAlign w:val="bottom"/>
          </w:tcPr>
          <w:p>
            <w:pPr>
              <w:spacing w:after="0"/>
              <w:rPr>
                <w:sz w:val="14"/>
                <w:szCs w:val="14"/>
                <w:color w:val="auto"/>
              </w:rPr>
            </w:pPr>
          </w:p>
        </w:tc>
        <w:tc>
          <w:tcPr>
            <w:tcW w:w="22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in column(a))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59"/>
              <w:spacing w:after="0" w:line="149" w:lineRule="exact"/>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2"/>
                <w:szCs w:val="12"/>
                <w:color w:val="auto"/>
              </w:rPr>
            </w:pPr>
          </w:p>
        </w:tc>
        <w:tc>
          <w:tcPr>
            <w:tcW w:w="21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w:t>
            </w:r>
          </w:p>
        </w:tc>
        <w:tc>
          <w:tcPr>
            <w:tcW w:w="3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plans not approved</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security</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 (1)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160,095</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plans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approved by security</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00" w:type="dxa"/>
            <w:vAlign w:val="bottom"/>
            <w:gridSpan w:val="3"/>
          </w:tcPr>
          <w:p>
            <w:pPr>
              <w:spacing w:after="0"/>
              <w:rPr>
                <w:sz w:val="20"/>
                <w:szCs w:val="20"/>
                <w:color w:val="auto"/>
              </w:rPr>
            </w:pPr>
            <w:r>
              <w:rPr>
                <w:rFonts w:ascii="Arial" w:cs="Arial" w:eastAsia="Arial" w:hAnsi="Arial"/>
                <w:sz w:val="18"/>
                <w:szCs w:val="18"/>
                <w:color w:val="auto"/>
              </w:rPr>
              <w:t>holders (2)</w:t>
            </w:r>
          </w:p>
        </w:tc>
        <w:tc>
          <w:tcPr>
            <w:tcW w:w="340" w:type="dxa"/>
            <w:vAlign w:val="bottom"/>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1,014,921</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2,635,717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1,175,016</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2,726,106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80" w:hanging="424"/>
        <w:spacing w:after="0" w:line="287" w:lineRule="auto"/>
        <w:tabs>
          <w:tab w:leader="none" w:pos="4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(i) options outstanding that were issued under the 2004 Stock Option and Stock Purchase Plan which expired in August 2004 and (ii) the 2015 New Employee Incentive Plan. For more information, see “Material Features of the Amended and Restated 2015 New Employee Incentive Plan and the 2020 Stock Incentive Plan” provided in our annual report on Form 10-K filed on February 23, 2023.</w:t>
      </w:r>
    </w:p>
    <w:p>
      <w:pPr>
        <w:spacing w:after="0" w:line="2" w:lineRule="exact"/>
        <w:rPr>
          <w:rFonts w:ascii="Arial" w:cs="Arial" w:eastAsia="Arial" w:hAnsi="Arial"/>
          <w:sz w:val="16"/>
          <w:szCs w:val="16"/>
          <w:color w:val="auto"/>
        </w:rPr>
      </w:pPr>
    </w:p>
    <w:p>
      <w:pPr>
        <w:ind w:left="424" w:right="20" w:hanging="424"/>
        <w:spacing w:after="0" w:line="260" w:lineRule="auto"/>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Notes to the Consolidated Financial Statements included with our annual report on Form 10-K filed on February 23, 2023 for a description of the 2020 Stock Incentive Plan.</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4"/>
          </w:cols>
          <w:pgMar w:left="436" w:top="274" w:right="519" w:bottom="1440" w:gutter="0" w:footer="0" w:header="0"/>
        </w:sectPr>
      </w:pPr>
    </w:p>
    <w:bookmarkStart w:id="33" w:name="page34"/>
    <w:bookmarkEnd w:id="3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following table sets forth information regarding ownership of our common stock as of February 23, 2023 (or earlier date for information based on filings with the SEC) by (a) each person known to us to own more than 5% of the outstanding shares of our common stock, (b) each director, (c) our named executive officers and (e) all current directors and executive officers as a group.</w:t>
      </w:r>
    </w:p>
    <w:p>
      <w:pPr>
        <w:spacing w:after="0" w:line="184" w:lineRule="exact"/>
        <w:rPr>
          <w:sz w:val="20"/>
          <w:szCs w:val="20"/>
          <w:color w:val="auto"/>
        </w:rPr>
      </w:pPr>
    </w:p>
    <w:p>
      <w:pPr>
        <w:jc w:val="both"/>
        <w:ind w:left="4" w:right="120" w:firstLine="440"/>
        <w:spacing w:after="0" w:line="286" w:lineRule="auto"/>
        <w:rPr>
          <w:sz w:val="20"/>
          <w:szCs w:val="20"/>
          <w:color w:val="auto"/>
        </w:rPr>
      </w:pPr>
      <w:r>
        <w:rPr>
          <w:rFonts w:ascii="Arial" w:cs="Arial" w:eastAsia="Arial" w:hAnsi="Arial"/>
          <w:sz w:val="17"/>
          <w:szCs w:val="17"/>
          <w:color w:val="auto"/>
        </w:rPr>
        <w:t>We believe, based on information provided to us or based on filings with the SEC, that each of the stockholders listed below has sole voting and investment power with respect to the shares beneficially owned by the stockholder unless noted otherwise, subject to community property laws where applicable. A total of 35,414,158 shares of our common stock were issued and outstanding as of February 23, 2023.</w:t>
      </w:r>
    </w:p>
    <w:p>
      <w:pPr>
        <w:spacing w:after="0" w:line="17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Total Number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3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Awards/Warrants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Shares of</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Shares of</w:t>
            </w: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Within</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Common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Common</w:t>
            </w: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60 Days of</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Name and Address of Beneficial Owner </w:t>
            </w:r>
            <w:r>
              <w:rPr>
                <w:rFonts w:ascii="Arial" w:cs="Arial" w:eastAsia="Arial" w:hAnsi="Arial"/>
                <w:sz w:val="10"/>
                <w:szCs w:val="10"/>
                <w:b w:val="1"/>
                <w:bCs w:val="1"/>
                <w:color w:val="auto"/>
                <w:w w:val="92"/>
              </w:rPr>
              <w:t>(1)</w:t>
            </w:r>
          </w:p>
        </w:tc>
        <w:tc>
          <w:tcPr>
            <w:tcW w:w="2460" w:type="dxa"/>
            <w:vAlign w:val="bottom"/>
            <w:vMerge w:val="restart"/>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Stock</w:t>
            </w: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February 23,</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0"/>
                <w:szCs w:val="10"/>
                <w:b w:val="1"/>
                <w:bCs w:val="1"/>
                <w:color w:val="auto"/>
                <w:w w:val="94"/>
              </w:rPr>
              <w:t>(2)</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2023</w:t>
            </w:r>
            <w:r>
              <w:rPr>
                <w:rFonts w:ascii="Arial" w:cs="Arial" w:eastAsia="Arial" w:hAnsi="Arial"/>
                <w:sz w:val="10"/>
                <w:szCs w:val="10"/>
                <w:b w:val="1"/>
                <w:bCs w:val="1"/>
                <w:color w:val="auto"/>
                <w:w w:val="96"/>
              </w:rPr>
              <w:t>(3)</w:t>
            </w:r>
          </w:p>
        </w:tc>
        <w:tc>
          <w:tcPr>
            <w:tcW w:w="520" w:type="dxa"/>
            <w:vAlign w:val="bottom"/>
          </w:tcPr>
          <w:p>
            <w:pPr>
              <w:spacing w:after="0"/>
              <w:rPr>
                <w:sz w:val="15"/>
                <w:szCs w:val="15"/>
                <w:color w:val="auto"/>
              </w:rPr>
            </w:pPr>
          </w:p>
        </w:tc>
        <w:tc>
          <w:tcPr>
            <w:tcW w:w="1380" w:type="dxa"/>
            <w:vAlign w:val="bottom"/>
            <w:gridSpan w:val="2"/>
          </w:tcPr>
          <w:p>
            <w:pPr>
              <w:jc w:val="center"/>
              <w:ind w:right="520"/>
              <w:spacing w:after="0" w:line="157" w:lineRule="exact"/>
              <w:rPr>
                <w:sz w:val="20"/>
                <w:szCs w:val="20"/>
                <w:color w:val="auto"/>
              </w:rPr>
            </w:pPr>
            <w:r>
              <w:rPr>
                <w:rFonts w:ascii="Arial" w:cs="Arial" w:eastAsia="Arial" w:hAnsi="Arial"/>
                <w:sz w:val="18"/>
                <w:szCs w:val="18"/>
                <w:b w:val="1"/>
                <w:bCs w:val="1"/>
                <w:color w:val="auto"/>
                <w:vertAlign w:val="subscript"/>
              </w:rPr>
              <w:t>Owned</w:t>
            </w:r>
            <w:r>
              <w:rPr>
                <w:rFonts w:ascii="Arial" w:cs="Arial" w:eastAsia="Arial" w:hAnsi="Arial"/>
                <w:sz w:val="9"/>
                <w:szCs w:val="9"/>
                <w:b w:val="1"/>
                <w:bCs w:val="1"/>
                <w:color w:val="auto"/>
              </w:rPr>
              <w:t>(4)(5)</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89"/>
        </w:trPr>
        <w:tc>
          <w:tcPr>
            <w:tcW w:w="5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Marc H. Hedrick, M.D.</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33,580</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256,654</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290,234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Andrew Sims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12,230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112,613</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124,843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Norman LaFrance, M.D.</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45,624</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45,624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Howard Clowes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18,000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49,700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67,700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An van Es-Johansson</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49,7000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49,700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J. Hawkins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74,206</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74,223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Greg Petersen</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62,500</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49,700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112,200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P. Lenk</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8,500</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49,700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58,200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current executive officers and directors as a group (8</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persons)</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134827</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687,897</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822,724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as of February 23, 2023.</w:t>
      </w:r>
    </w:p>
    <w:p>
      <w:pPr>
        <w:spacing w:after="0" w:line="23" w:lineRule="exact"/>
        <w:rPr>
          <w:sz w:val="20"/>
          <w:szCs w:val="20"/>
          <w:color w:val="auto"/>
        </w:rPr>
      </w:pPr>
    </w:p>
    <w:p>
      <w:pPr>
        <w:ind w:left="424" w:right="420" w:hanging="424"/>
        <w:spacing w:after="0" w:line="250"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individuals is c/o Plus Therapeutics, Inc., 4200 Marathon Blvd. Suite 200, Austin, TX 78756.</w:t>
      </w: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indicated, represents shares of outstanding common stock owned by the named parties as of February 23, 2023.</w:t>
      </w:r>
    </w:p>
    <w:p>
      <w:pPr>
        <w:spacing w:after="0" w:line="9" w:lineRule="exact"/>
        <w:rPr>
          <w:rFonts w:ascii="Arial" w:cs="Arial" w:eastAsia="Arial" w:hAnsi="Arial"/>
          <w:sz w:val="18"/>
          <w:szCs w:val="18"/>
          <w:color w:val="auto"/>
        </w:rPr>
      </w:pPr>
    </w:p>
    <w:p>
      <w:pPr>
        <w:ind w:left="424" w:hanging="424"/>
        <w:spacing w:after="0" w:line="302"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common stock subject to stock options or warrants currently exercisable or exercisable within 60 days of February 23, 2023 are deemed to be outstanding for computing the percentage ownership of the person holding such options or warrants and the percentage ownership of any group of which the holder is a member, but are not deemed outstanding for computing the percentage of any other person or group.</w:t>
      </w:r>
    </w:p>
    <w:p>
      <w:pPr>
        <w:spacing w:after="0" w:line="8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4"/>
          </w:cols>
          <w:pgMar w:left="436" w:top="270" w:right="519" w:bottom="1440" w:gutter="0" w:footer="0" w:header="0"/>
        </w:sectPr>
      </w:pPr>
    </w:p>
    <w:bookmarkStart w:id="34" w:name="page35"/>
    <w:bookmarkEnd w:id="34"/>
    <w:p>
      <w:pPr>
        <w:ind w:left="424" w:hanging="424"/>
        <w:spacing w:after="0" w:line="25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for which that person has a right to acquire beneficial ownership within 60 days.</w:t>
      </w:r>
    </w:p>
    <w:p>
      <w:pPr>
        <w:spacing w:after="0" w:line="3"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Richard J. Hawkins, the Chairman of our Board, purchased one (1) share of Series F Preferred Stock on March 3, 2023. The holder of the Series F Preferred Stock is only permitted to vote with the holders of our common stock on proposals related to the reverse stock split and will automatically, without any action of the holder, vote the share of Series F Preferred Stock in a manner that “mirrors” the proportions of “For” and “Against” votes cast by the holders of the our common stock are voted on the reverse stock split proposal (excluding, for the avoidance of doubt, any shares of common stock that are not voted).</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We have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7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87"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but not limited to:</w:t>
      </w:r>
    </w:p>
    <w:p>
      <w:pPr>
        <w:spacing w:after="0" w:line="67" w:lineRule="exact"/>
        <w:rPr>
          <w:sz w:val="20"/>
          <w:szCs w:val="20"/>
          <w:color w:val="auto"/>
        </w:rPr>
      </w:pPr>
    </w:p>
    <w:p>
      <w:pPr>
        <w:ind w:left="964" w:hanging="424"/>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964" w:right="240" w:hanging="424"/>
        <w:spacing w:after="0" w:line="277" w:lineRule="auto"/>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4" w:right="49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audit committee will approve only those transactions that it determines are fair to us and in our best interests.</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following includes a summary of any related party transactions since January 1, 2021 to which we have been a party. We also describe below certain other transactions with our directors, executive officers and 5% stockholders.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Our amended and restated certificate of incorporation, as amended, and our amended and restated bylaws, as amended, provide that we will indemnify each of our directors and officers to the fullest extent permitted by the Delaware General Corporation Law.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to Executive Officers and Directors</w:t>
      </w:r>
    </w:p>
    <w:p>
      <w:pPr>
        <w:spacing w:after="0" w:line="11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entered into employment agreements with our executive officers pursuant to which we pay our executive officers annual salaries and bonuses as more fully described above under “Executive Compensation.” Further, we have granted stock options to our executive officers and non-employee directors as more fully described above under “Director Compensation.”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under the heading “Board Independence” in this Proxy Statement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or incorporated by reference into any other filing by Plus Therapeutics, Inc. under the Securities Act of 1933, as amended, or the Exchange Act, whether made before or after the date hereof and irrespective of any general incorporation language in any such filing.</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The audit committee is a committee of the Board comprised solely of independent directors as required by the listing standards of Nasdaq and rules and regulations of the SEC. The audit committee provides assistance to the Board in fulfilling its legal and fiduciary obligations in matters involving the Company’s accounting, auditing, financial reporting, internal control and legal compliance functions by approving the services performed by the Company’s independent registered public accountants and reviewing their reports regarding the Company’s accounting practices and systems of internal accounting controls as set forth in a written charter adopted by the Board, which is available on the Company’s website at </w:t>
      </w:r>
      <w:r>
        <w:rPr>
          <w:rFonts w:ascii="Arial" w:cs="Arial" w:eastAsia="Arial" w:hAnsi="Arial"/>
          <w:sz w:val="18"/>
          <w:szCs w:val="18"/>
          <w:i w:val="1"/>
          <w:iCs w:val="1"/>
          <w:color w:val="auto"/>
        </w:rPr>
        <w:t>www.plustherapeutics.com</w:t>
      </w:r>
      <w:r>
        <w:rPr>
          <w:rFonts w:ascii="Arial" w:cs="Arial" w:eastAsia="Arial" w:hAnsi="Arial"/>
          <w:sz w:val="18"/>
          <w:szCs w:val="18"/>
          <w:color w:val="auto"/>
        </w:rPr>
        <w:t>. The composition and responsibilities of the audit committee, as reflected in its charter, are intended to be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The audit committee reviews and assesses the adequacy of its charter and the audit committee’s performance on an annual basis.</w:t>
      </w:r>
    </w:p>
    <w:p>
      <w:pPr>
        <w:spacing w:after="0" w:line="19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Company’s management is responsible for preparing the Company’s financial statements and the independent registered public accountants are responsible for auditing those financial statements. The audit committee is responsible for overseeing the conduct of these activities by the Company’s management and the independent registered public accountants. In this context, the audit committee has met and held discussions with management and the independent registered public accountants.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36" w:name="page37"/>
    <w:bookmarkEnd w:id="36"/>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represented to the audit committee that the Company’s consolidated financial statements were prepared in accordance with U.S. generally accepted accounting principles, and the audit committee has reviewed and discussed the consolidated financial statements with management and the independent registered public accountants.</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audit committee has discussed with the independent registered public accountants matters required to be discussed by Auditing Standard No. 1301, as adopted by the Public Company Accounting Oversight Board (“PCAOB”) and approved by the SEC. In addition, the independent registered public accountants provided to the audit committee the written disclosures and letter from such accountants as required by applicable requirements of the PCAOB regarding such accountants’ communications with the audit committee concerning independence and the audit committee has discussed with such accountants such accountants’ independence from the Company and its management. The audit committee has discussed with management and the independent registered public accounts the procedures for selection of consultants, fully considered whether those services provided by the independent registered public accountants are compatible with maintaining such accountants’ independence and has determined that the non-audit services performed by such accountants are compatible with maintaining their independence.</w:t>
      </w:r>
    </w:p>
    <w:p>
      <w:pPr>
        <w:spacing w:after="0" w:line="165"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The audit committee has discussed with the Company’s management and its independent registered public accountants, with and without management present, their evaluations of the Company’s internal accounting controls and the overall quality of the Company’s financial reporting. In reliance on the reviews and discussions with management and the independent registered public accountants referred to above, the audit committee recommended to the Board, and the Board has approved, the inclusion of the audited financial statements in the Company’s Annual Report on Form 10-K for the fiscal year ended December 31, 2022, for filing with the SEC.</w:t>
      </w:r>
    </w:p>
    <w:p>
      <w:pPr>
        <w:spacing w:after="0" w:line="17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In addition, the audit committee has selected BDO USA, LLP as independent registered public accountants to audit the books, records and accounts of the Company and its subsidiaries for the fiscal year ending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Greg Petersen,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Clowes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van Es-Johansson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Board currently consists of six (6) persons. The Board, upon the recommendation of our governance and nominating committee, has nominated the following persons for election as directors: Howard Clowes, An van Es-Johansson, M.D., Richard J. Hawkins, Marc H. Hedrick, M.D., Robert Lenk, PhD, and Greg Petersen. All of the nominees are currently serving as members of our Board. All directors are elected annually and serve one-year terms until the next Annual Meeting, or until they resign, are removed, or their respective successors are duly elected and qualified. If any nominee should decline or be unable to accept such nomination or to serve as a director, or for good cause will not serve as a director, an event which our Board does not currently anticipate, our Board reserves the right to nominate another person or to vote to reduce the size of our Board. The designated proxy holders will have the express discretionary authority to vote for a replacement nominee and proxies will be voted for any nominee designated by our Board to fill the vacancy. If another person is nominated, the proxy holders intend to vote the shares to which the proxy relates for the election of the persons nominated by our Board.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Biographical information and the attributes, skills and experience of each nominee that led our governance and nominating committee and Board to determine that such nominee should serve as a director are discussed in the “Directors and Executive Officers” section of this proxy statement and is incorporated into this section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nominees will be elected by a plurality vote, which means that the six nominees receiving the most affirmative votes will be elected. Only votes “FOR” or “WITHHELD” will affect the outcome. Broker non-votes will have no effect.</w:t>
      </w:r>
    </w:p>
    <w:p>
      <w:pPr>
        <w:spacing w:after="0" w:line="166" w:lineRule="exact"/>
        <w:rPr>
          <w:sz w:val="20"/>
          <w:szCs w:val="20"/>
          <w:color w:val="auto"/>
        </w:rPr>
      </w:pPr>
    </w:p>
    <w:p>
      <w:pPr>
        <w:jc w:val="center"/>
        <w:ind w:left="480" w:right="620"/>
        <w:spacing w:after="0" w:line="454" w:lineRule="auto"/>
        <w:rPr>
          <w:sz w:val="20"/>
          <w:szCs w:val="20"/>
          <w:color w:val="auto"/>
        </w:rPr>
      </w:pPr>
      <w:r>
        <w:rPr>
          <w:rFonts w:ascii="Arial" w:cs="Arial" w:eastAsia="Arial" w:hAnsi="Arial"/>
          <w:sz w:val="18"/>
          <w:szCs w:val="18"/>
          <w:b w:val="1"/>
          <w:bCs w:val="1"/>
          <w:color w:val="auto"/>
        </w:rPr>
        <w:t xml:space="preserve">YOUR BOARD UNANIMOUSLY RECOMMENDS A VOTE “FOR” THE NOMINEES TO THE BOARD NAMED ABOVE. </w:t>
      </w:r>
      <w:r>
        <w:rPr>
          <w:rFonts w:ascii="Arial" w:cs="Arial" w:eastAsia="Arial" w:hAnsi="Arial"/>
          <w:sz w:val="18"/>
          <w:szCs w:val="18"/>
          <w:color w:val="auto"/>
        </w:rPr>
        <w:t>38</w:t>
      </w:r>
    </w:p>
    <w:p>
      <w:pPr>
        <w:sectPr>
          <w:pgSz w:w="11900" w:h="16838" w:orient="portrait"/>
          <w:cols w:equalWidth="0" w:num="1">
            <w:col w:w="10960"/>
          </w:cols>
          <w:pgMar w:left="440" w:top="270" w:right="499" w:bottom="1440" w:gutter="0" w:footer="0" w:header="0"/>
        </w:sectPr>
      </w:pPr>
    </w:p>
    <w:bookmarkStart w:id="38" w:name="page39"/>
    <w:bookmarkEnd w:id="38"/>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121"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Our audit committee has selected BDO USA, LLP (“BDO”), as our independent registered public accounting firm for the fiscal year ending December 31, 2023 and has further directed that we submit the selection of the independent registered public accounting firm for ratification by our stockholders at the Annual Meeting.</w:t>
      </w:r>
    </w:p>
    <w:p>
      <w:pPr>
        <w:spacing w:after="0" w:line="184"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BDO has served as our independent registered public accounting firm since July 2016. The selection of the independent registered public accounting firm is not required to be submitted for stockholder approval. However, if the stockholders do not ratify this selection, the audit committee will reconsider its selection of BDO. Even if the selection is ratified, our audit committee may direct the appointment of a different independent accounting firm at any time during the year if the audit committee determines that the change would be in the Company’s best interests.</w:t>
      </w:r>
    </w:p>
    <w:p>
      <w:pPr>
        <w:spacing w:after="0" w:line="157"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Representatives of BDO will be available at the Annual Meeting and will have an opportunity to make a statement if they desire to do so and will be available to respond to appropriate questions from stockholders.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Additional information concerning the audit committee and BDO can be found in the “Audit Matters” section of this Proxy Statement.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decision to engage BDO as our independent registered public accounting firm for the year ended December 31, 2023 was approved by the audit committee.</w:t>
      </w:r>
    </w:p>
    <w:p>
      <w:pPr>
        <w:spacing w:after="0" w:line="170"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Our policies require the audit committee to pre-approve all audit and permitted non-audit services provided by the independent registered public accounting firm, including engagement fees and terms. The audit committee may delegate pre-approval authority to one or more of its members, who will report any pre-approval decisions to the full committee at its next scheduled meeting but may not delegate pre-approval authority to members of management. The audit committee may approve only those non-audit services classified as “all other services” that it believes to be routine and recurring services, to be consistent with SEC rules and to not impair the auditor’s independence with respect to us. The audit committee reviewed and pre-approved all audit services and permitted non-audit services performed during the years ended December 31, 2022 and 2021. The following table shows the aggregate fees paid or accrued by us for the audit and other services provided by BDO for fiscal years ended December 31, 2022 and 2021.</w:t>
      </w:r>
    </w:p>
    <w:p>
      <w:pPr>
        <w:spacing w:after="0" w:line="185"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December 31,</w:t>
      </w:r>
    </w:p>
    <w:tbl>
      <w:tblPr>
        <w:tblLayout w:type="fixed"/>
        <w:tblInd w:w="1324"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680" w:type="dxa"/>
            <w:vAlign w:val="bottom"/>
          </w:tcPr>
          <w:p>
            <w:pPr>
              <w:ind w:left="200"/>
              <w:spacing w:after="0" w:line="156"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840" w:type="dxa"/>
            <w:vAlign w:val="bottom"/>
            <w:gridSpan w:val="2"/>
          </w:tcPr>
          <w:p>
            <w:pPr>
              <w:jc w:val="right"/>
              <w:ind w:right="110"/>
              <w:spacing w:after="0" w:line="156"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210"/>
        </w:trPr>
        <w:tc>
          <w:tcPr>
            <w:tcW w:w="6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4"/>
                <w:szCs w:val="24"/>
                <w:color w:val="auto"/>
                <w:vertAlign w:val="superscript"/>
              </w:rPr>
              <w:t>(1)</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$343,000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7"/>
                <w:szCs w:val="17"/>
                <w:color w:val="auto"/>
              </w:rPr>
              <w:t xml:space="preserve">Audit Related Fees </w:t>
            </w:r>
            <w:r>
              <w:rPr>
                <w:rFonts w:ascii="Arial" w:cs="Arial" w:eastAsia="Arial" w:hAnsi="Arial"/>
                <w:sz w:val="25"/>
                <w:szCs w:val="25"/>
                <w:color w:val="auto"/>
                <w:vertAlign w:val="superscript"/>
              </w:rPr>
              <w:t>(2)</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5"/>
                <w:szCs w:val="25"/>
                <w:color w:val="auto"/>
                <w:vertAlign w:val="superscript"/>
              </w:rPr>
              <w:t>(3)</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39,000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spacing w:after="0"/>
              <w:rPr>
                <w:sz w:val="20"/>
                <w:szCs w:val="20"/>
                <w:color w:val="auto"/>
              </w:rPr>
            </w:pPr>
            <w:r>
              <w:rPr>
                <w:rFonts w:ascii="Arial" w:cs="Arial" w:eastAsia="Arial" w:hAnsi="Arial"/>
                <w:sz w:val="18"/>
                <w:szCs w:val="18"/>
                <w:color w:val="auto"/>
              </w:rPr>
              <w:t>$382,000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line="286" w:lineRule="auto"/>
        <w:tabs>
          <w:tab w:leader="none" w:pos="4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Audit fees consist of fees for professional services performed by BDO for the audit of the financial statements included in our Annual Report on Form 10-K and review of the financial statements included in our quarterly Form 10-Q filings, reviews of registration statements and issuances of consents, and services that are normally provided in connection with statutory and regulatory filings or engagements.</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4"/>
          </w:cols>
          <w:pgMar w:left="436" w:top="270" w:right="519" w:bottom="1440" w:gutter="0" w:footer="0" w:header="0"/>
        </w:sectPr>
      </w:pPr>
    </w:p>
    <w:bookmarkStart w:id="39" w:name="page40"/>
    <w:bookmarkEnd w:id="39"/>
    <w:p>
      <w:pPr>
        <w:ind w:left="424" w:right="20" w:hanging="424"/>
        <w:spacing w:after="0" w:line="258"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related fees consist of fees for assurance and related services, performed by BDO that are reasonably related to the performance of the audit or review of our financial statements.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performed by BDO with respect to tax compliance, tax advice, tax consulting and tax planning.</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proposal to ratify the appointment of BDO requires the affirmative vote of a majority of the common stock having voting power present in person virtually or represented by proxy at the Annual Meeting. Abstentions are considered present and entitled to vote with respect to this proposal and will, therefore, be treated as votes against this proposal. Because brokers have discretionary authority to vote on this proposal, we do not expect any broker non-votes in connection with this proposal.</w:t>
      </w:r>
    </w:p>
    <w:p>
      <w:pPr>
        <w:spacing w:after="0" w:line="183" w:lineRule="exact"/>
        <w:rPr>
          <w:sz w:val="20"/>
          <w:szCs w:val="20"/>
          <w:color w:val="auto"/>
        </w:rPr>
      </w:pPr>
    </w:p>
    <w:p>
      <w:pPr>
        <w:jc w:val="center"/>
        <w:ind w:left="480" w:right="40"/>
        <w:spacing w:after="0" w:line="282" w:lineRule="auto"/>
        <w:rPr>
          <w:sz w:val="20"/>
          <w:szCs w:val="20"/>
          <w:color w:val="auto"/>
        </w:rPr>
      </w:pPr>
      <w:r>
        <w:rPr>
          <w:rFonts w:ascii="Arial" w:cs="Arial" w:eastAsia="Arial" w:hAnsi="Arial"/>
          <w:sz w:val="18"/>
          <w:szCs w:val="18"/>
          <w:b w:val="1"/>
          <w:bCs w:val="1"/>
          <w:color w:val="auto"/>
        </w:rPr>
        <w:t>YOUR BOARD UNANIMOUSLY RECOMMENDS A VOTE “FOR” THE RATIFICATION OF THE APPOINTMENT OF BDO USA, LLP AS OUR INDEPENDENT REGISTERED PUBLIC ACCOUNTING FIRM FOR FISCAL YEAR 2023.</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4"/>
          </w:cols>
          <w:pgMar w:left="436" w:top="274" w:right="4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NON-BINDING ADVISORY VOTE ON EXECUTIVE COMPENSATION</w:t>
      </w:r>
    </w:p>
    <w:p>
      <w:pPr>
        <w:spacing w:after="0" w:line="22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Pursuant to the Dodd-Frank Wall Street Reform and Consumer Protection Act, enacted in July 2010, and related SEC regulations, we are providing our stockholders with the opportunity to cast an advisory vote on the compensation of our named executive officers as disclosed in this Proxy Statement in accordance with the compensation disclosure rules of the SEC. Our stockholders previously expressed a preference that we hold advisory votes on executive compensation on an annual basis, and our board of directors accordingly determined to hold such votes every year.</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Our executive compensation programs are designed to reward our named executive officers for the achievement of short-term and long-term strategic and operational goals, while at the same time avoiding the encouragement of unnecessary or excessive risk taking. Stockholders are encouraged to read the Executive Compensation section of this Proxy Statement for a more detailed discussion of how our compensation programs reflect our objectives.</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Board believes the Company’s executive compensation programs use appropriate structures and sound pay practices that are effective in achieving our core objectives. Accordingly, the Board recommends that you vote in favor of the following resolution:</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described in the Company’s proxy statement for the Annual Meeting of Stockholders pursuant to Item 402 of Regulation S-K and other compensation disclosure rules of the Securities and Exchange Commission.”</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vote on this proposal is advisory and therefore not binding on us or our Board. Although the vote is non-binding, the Board will review the voting results, seek to determine the cause or causes of any significant negative voting, and take them into consideration when making future decisions regarding executive compensation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proposal to approve, on an advisory basis, the compensation of our named executive officers requires the affirmative vote of a majority of the common stock having voting power present in person virtually or represented by proxy at the Annual Meeting. Abstentions are considered present and entitled to vote with respect to this proposal and will, therefore, be treated as votes “against” this proposal.</w:t>
      </w:r>
    </w:p>
    <w:p>
      <w:pPr>
        <w:spacing w:after="0" w:line="180" w:lineRule="exact"/>
        <w:rPr>
          <w:sz w:val="20"/>
          <w:szCs w:val="20"/>
          <w:color w:val="auto"/>
        </w:rPr>
      </w:pPr>
    </w:p>
    <w:p>
      <w:pPr>
        <w:ind w:right="900" w:firstLine="440"/>
        <w:spacing w:after="0" w:line="282" w:lineRule="auto"/>
        <w:rPr>
          <w:sz w:val="20"/>
          <w:szCs w:val="20"/>
          <w:color w:val="auto"/>
        </w:rPr>
      </w:pPr>
      <w:r>
        <w:rPr>
          <w:rFonts w:ascii="Arial" w:cs="Arial" w:eastAsia="Arial" w:hAnsi="Arial"/>
          <w:sz w:val="18"/>
          <w:szCs w:val="18"/>
          <w:b w:val="1"/>
          <w:bCs w:val="1"/>
          <w:color w:val="auto"/>
        </w:rPr>
        <w:t>OUR BOARD UNANIMOUSLY RECOMMENDS THAT THE STOCKHOLDERS VOTE “FOR” THE APPROVAL, ON AN ADVISORY BASIS, OF THE COMPENSATION OF OUR NAMED EXECUTIVE OFFICERS.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#4</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NON-BINDING ADVISORY VOTE REGARDING FREQUENCY OF FUTURE ADVISORY VOTES ON EXECUTIVE COMPENSATION</w:t>
      </w:r>
    </w:p>
    <w:p>
      <w:pPr>
        <w:spacing w:after="0" w:line="22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Pursuant to the Dodd-Frank Wall Street Reform and Consumer Protection Act, enacted in July 2010, and related SEC regulations, we are required to provide our stockholders not less than once every six years with the opportunity to cast an advisory vote on the frequency at which future advisory “say-on-pay” votes on executive compensation will be proposed to our stockholders. We last provided our stockholders with the opportunity to vote on the frequency of future advisory “say on pay” votes on executive compensation at our 2017 annual meeting, at which time our stockholders voted that advisory “say on pay” votes on executive compensation would take place every year.</w:t>
      </w:r>
    </w:p>
    <w:p>
      <w:pPr>
        <w:spacing w:after="0" w:line="17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We are again asking stockholders to vote on whether future non-binding advisory “say-on-pay” votes on executive compensation should occur every year, every two years or every three years. After careful consideration of this proposal, our Board has determined that an advisory vote on executive officer compensation that occurs every year is the most appropriate alternative for us, and therefore our Board recommends that you vote for an advisory vote on executive compensation to occur every year. Even though our executive compensation programs stress long-term value creation and look at long-term performance, we still believe a one-year interval for the advisory vote on executive compensation is most appropriate.</w:t>
      </w:r>
    </w:p>
    <w:p>
      <w:pPr>
        <w:spacing w:after="0" w:line="16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This proposal gives you the opportunity to express your views on the frequency of stockholder advisory votes regarding our executive officer compensation. The advisory vote by the stockholders on frequency is distinct from the advisory vote on the compensation of our executive officers; this proposal deals with the issue of how frequently such a vote on such compensation should be presented to our stockholders.</w:t>
      </w:r>
    </w:p>
    <w:p>
      <w:pPr>
        <w:spacing w:after="0" w:line="16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You may vote for one of these three alternatives or you may abstain from making a choice. The vote on this proposal is advisory and therefore not binding on us or our Board. However, we value your opinions and to the extent there is any significant vote in favor of one frequency over the other options, the Board will take this into account when considering how frequently we should conduct future advisory votes on the compensation of our executive officers. The Board may, however, decide that it is in the best interest of the Company and the stockholders to hold future advisory votes on executive compensation more or less frequently than the option that has been selected by a plurality of the stockholders.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12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option of every year, every two years or every three years that receives the affirmative vote of holders of a plurality of shares present in person virtually or by proxy and entitled to vote on the proposal will be the frequency recommended by stockholders for the advisory vote on the compensation of our executive officers, unless none of the frequency options receives a majority vote, in which case the option that receives the highest number of votes will be considered to be the frequency recommended by stockholders. Abstentions have the same effect as a vote against each of the frequency options. Broker non-votes are not counted for any purpose in determining which frequency option has been recommended by stockholders.</w:t>
      </w:r>
    </w:p>
    <w:p>
      <w:pPr>
        <w:spacing w:after="0" w:line="157"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THE BOARD RECOMMENDS THAT THE STOCKHOLDERS VOTE FOR A FREQUENCY OF “EVERY YEAR” FOR FUTURE NON-BINDING ADVISORY VOTES ON EXECUTIVE COMPENSATION.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0" w:right="4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REVERSE STOCK SPLIT PROPOSAL</w:t>
      </w:r>
    </w:p>
    <w:p>
      <w:pPr>
        <w:spacing w:after="0" w:line="225" w:lineRule="exact"/>
        <w:rPr>
          <w:sz w:val="20"/>
          <w:szCs w:val="20"/>
          <w:color w:val="auto"/>
        </w:rPr>
      </w:pPr>
    </w:p>
    <w:p>
      <w:pPr>
        <w:jc w:val="center"/>
        <w:ind w:left="460" w:right="120"/>
        <w:spacing w:after="0" w:line="261" w:lineRule="auto"/>
        <w:rPr>
          <w:sz w:val="20"/>
          <w:szCs w:val="20"/>
          <w:color w:val="auto"/>
        </w:rPr>
      </w:pPr>
      <w:r>
        <w:rPr>
          <w:rFonts w:ascii="Arial" w:cs="Arial" w:eastAsia="Arial" w:hAnsi="Arial"/>
          <w:sz w:val="18"/>
          <w:szCs w:val="18"/>
          <w:b w:val="1"/>
          <w:bCs w:val="1"/>
          <w:color w:val="auto"/>
        </w:rPr>
        <w:t>APPROVAL OF AN AMENDMENT TO THE COMPANY’S AMENDED AND RESTATED CERTIFICATE OF INCORPORATION TO EFFECT A REVERSE STOCK SPLIT OF THE OUTSTANDING SHARES OF THE COMPANY’S COMMON STOCK, AT A RATIO OF NOT LESS THAN 1-FOR-3 AND NOT GREATER THAN 1-FOR-15, WITH THE EXACT RATIO AND EFFECTIVE TIME OF THE REVERSE STOCK SPLIT TO BE DETERMINED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Our Board has unanimously approved, and recommended that our stockholders approve, an amendment to our Charter (the “Certificate of Amendment”), to effect a reverse stock split at a ratio of not less than 1-for-3 and not greater than 1-for-15 (the “Reverse Stock Split”), with the final decision of whether to proceed with the Reverse Stock Split, the effective time of the Reverse Stock Split, and the exact ratio of the Reverse Stock Split to be determined by the Board, in its sole discretion and without further action by the stockholders.</w:t>
      </w:r>
    </w:p>
    <w:p>
      <w:pPr>
        <w:spacing w:after="0" w:line="17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If the stockholders approve the Reverse Stock Split, and the Board decides to implement it, the Reverse Stock Split will become effective as of a date and time to be determined by the Board that will be specified in the Charter Amendment (the “Effective Time”). If the Board does not decide to implement the Reverse Stock Split within twelve months from the date of the Annual Meeting, the authority granted in this proposal to implement the Reverse Stock Split will terminate.</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Reverse Stock Split will be realized simultaneously for all outstanding shares of common stock. The Reverse Stock Split will affect all holders of shares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 The Reverse Stock Split will also affect outstanding equity awards and warrants, as described in “Principal Effects of Reverse Stock Split on Outstanding Equity Awards, Warrants, and Equity Plans”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Rationale for the Reverse Split</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 xml:space="preserve">Avoid Delisting from the Nasdaq. </w:t>
      </w:r>
      <w:r>
        <w:rPr>
          <w:rFonts w:ascii="Arial" w:cs="Arial" w:eastAsia="Arial" w:hAnsi="Arial"/>
          <w:sz w:val="18"/>
          <w:szCs w:val="18"/>
          <w:color w:val="auto"/>
        </w:rPr>
        <w:t>As we have previously reported, on May 24, 2022, we received written notice (the “Notification Letter”)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Listings Qualifications Department of Nasdaq that because the closing bid price for our common stock had fallen below $1.00 per share for 30 consecutive business days, we no longer complied with the minimum bid price requirement pursuant to Nasdaq Listing Rule 5550(a)(2) (the “Minimum Bid Requirement”). The Notification Letter stated that we had 180 days, or until November 21, 2022, to demonstrate compliance with the Minimum Bid Requirement.</w:t>
      </w:r>
    </w:p>
    <w:p>
      <w:pPr>
        <w:spacing w:after="0" w:line="188"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On November 22, 2022, we received a second later from Nasdaq advising that we had been granted an additional 180 calendar days, or to May 22, 2023, to regain compliance with the Minimum Bid Requirement, in accordance with Nasdaq Listing Rule 5810(c)(3)(A).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43" w:name="page44"/>
    <w:bookmarkEnd w:id="43"/>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regain compliance with the Minimum Bid Requirement, our common stock must maintain a minimum closing bid price of $1.00 for at least ten consecutive business days during the compliance period. We believe that the Reverse Stock Split is our best option to meet the criteria to satisfy the Minimum Bid Requirement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minimum bid price requirement of the Nasdaq Capital Market following the Reverse Stock Split.</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Failure to approve the Reverse Stock Split may potentially have serious, adverse effects on us and our stockholders. Our common stock could be delisted from The Nasdaq Capital Market. Our shares may then trade on the OTC Bulletin Board or other small trading markets, such as the pink sheets. In that event, our common stock could trade thinly as a microcap or penny stock, adversely decrease to nominal levels of trading and may be avoided by retail and institutional investors, resulting in the impaired liquidity of our common stock.</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As of February 23, 2023, our common stock closed at $0.3920 per share on The Nasdaq Capital Market. The Reverse Split, if effected, would likely have the immediate effect of increasing the price of our common stock as reported on The Nasdaq Capital Market, therefore reducing the risk that our common stock could be delisted from The Nasdaq Capital Market.</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Given the volatility and fluctuations in the capital markets, and if our share price does not appreciate prior to these deadlines, we believe that our best option to meet Nasdaq’s $1.00 minimum bid price requirement under the Minimum Bid Price Rule would be to effect the Reverse Stock Split to increase the per-share trading price of our common stock.</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In addition, we believe that the low per share market price of our common stock impairs our marketability to and acceptance by institutional investors and other members of the investing public and creates a negative impression of the Company. We believe that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our common stock.</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Further, we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other service providers.</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business development partners and the investing public, help us attract and retain employees and other service providers, help us raise additional capital through the sale of our common stock in the future if needed, and possibly promote greater liquidity for our stockholders with respect to those shares presently held by them. However, liquidity of our common stock may very well be adversely affected by the reduced number of shares that would be outstanding if the Reverse Stock Split is effected, particularly if the price per share of our common stock begins a declining trend after the Reverse Stock Split is effected.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44" w:name="page45"/>
    <w:bookmarkEnd w:id="44"/>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voting power of stockholders that gives brokers directions to vote at our recent meetings of stockholders raises questions about how difficult it would be to garner the stockholder participation that would be necessary to achieve the voting standard of approval by a majority of the voting power of our outstanding capital stock needed to approve an amendment to our Charter to effect the Reverse Stock Split. In order to attempt to procure the vote necessary to effect the Reverse Stock Split, on March 3, 2023, we issued one (1) share of our Series F Preferred Stock to our Chairman of the Board, Richard J. Hawkins. The terms of the Series F Preferred Stock are set forth in a Certificate of Designation of Series F Preferred Stock, filed with the Secretary of State of the State of Delaware, and effective on March 3, 2023. The Series F Preferred Stock does not have any voting rights except with respect to a reverse stock split proposal, including the Reverse Stock Split proposal presented at the Annual Meeting, or otherwise as required by law. With respect to the Reverse Stock Split proposal, the outstanding share of Series F Preferred Stock is entitled to 50,000,000 votes on such proposal, which is referred to as supermajority voting; however the votes by the holder of Series F Preferred Stock will automatically, without action by the holder, be counted in the same “mirrored” proportion as the aggregate votes cast by the holders of common stock who vote on this proposal. For example, if 50.5% of the shares of common stock voted in person virtually or by proxy at the Annual Meeting are voted FOR the Reverse Stock Split proposal, then we will count 50.5% of the votes cast (or votes) by the holder of the Series F Preferred Stock as votes FOR the Reverse Stock Split proposal. Holders of common stock and Series F Preferred Stock will vote on the Reverse Stock Split proposal as a single class.</w:t>
      </w:r>
    </w:p>
    <w:p>
      <w:pPr>
        <w:spacing w:after="0" w:line="17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Board determined that it was in the best interests of the Company to provide for supermajority voting of the Series F Preferred Stock in order to obtain sufficient votes for the Reverse Stock Split proposal and thereby to attempt to avoid delisting by Nasdaq of our common stock. Due to the required proportional voting structure of the Series F Preferred Stock that mirrors the actual voting by holders of the common stock, the supermajority voting will serve to reflect the voting preference of the holders of shares of our common stock that actually vote on the matter, whether for or against the proposal, and therefore will not override the stated preference of the holders of shares of our common stock.</w:t>
      </w:r>
    </w:p>
    <w:p>
      <w:pPr>
        <w:spacing w:after="0" w:line="17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If the Reverse Stock Split proposal is approved, the outstanding share of Series F Preferred Stock will be automatically redeemed upon the effectiveness of the amendment to the Charter implementing the Reverse Stock Split.</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Board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the Company. In determining a ratio following the receipt of stockholder adoption, the Board (or any authorized committee of the Board) may consider, among other things, factors such as:</w:t>
      </w:r>
    </w:p>
    <w:p>
      <w:pPr>
        <w:spacing w:after="0" w:line="92" w:lineRule="exact"/>
        <w:rPr>
          <w:sz w:val="20"/>
          <w:szCs w:val="20"/>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our common stock;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our common stock outstanding;</w:t>
      </w:r>
    </w:p>
    <w:p>
      <w:pPr>
        <w:spacing w:after="0" w:line="130"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our common stock and the anticipated impact of the Reverse Stock Split on the trading market for our common stock;</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anticipated impact of a particular ratio on our ability to reduce administrative and transactional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continued listing requirements of Nasdaq;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45" w:name="page46"/>
    <w:bookmarkEnd w:id="45"/>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reserves the right to elect to abandon the Reverse Stock Split, notwithstanding stockholder adoption thereof, if it determines, in its sole discretion, that the Reverse Stock Split is no longer needed to regain compliance with Nasdaq’s listing requirements or is no longer in the best interests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 Amendment to the Charter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Reverse Stock Split is approved and implemented, Article IV.A. of the Charter shall be amended and restated in its entirety as follows:</w:t>
      </w:r>
    </w:p>
    <w:p>
      <w:pPr>
        <w:spacing w:after="0" w:line="237" w:lineRule="exact"/>
        <w:rPr>
          <w:sz w:val="20"/>
          <w:szCs w:val="20"/>
          <w:color w:val="auto"/>
        </w:rPr>
      </w:pPr>
    </w:p>
    <w:p>
      <w:pPr>
        <w:ind w:right="20" w:firstLine="436"/>
        <w:spacing w:after="0" w:line="288"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Authorized Shares. The total number of shares of stock which the Corporation shall have authority to issue is 105,000,000 shares, consisting of 100,000,000 shares of Common Stock, par value $0.001 per share (“Common Stock”) and 5,000,000 shares of Preferred Stock, par value $0.001 per share (“Preferred Stock”). Upon the effectiveness of this Certificate of Amendment to the Amended and Restated Certificate of Incorporation of the Corporation, each whole number of shares, as determined by the Board, of Common Stock issued and outstanding at such time shall, automatically and without any further action on the part of the Corporation or the holder thereof, be combined into one (1) validly issued, fully paid and non-assessable share of Common Stock (the “Reverse Stock Split”). The par value of the Common Stock following the Reverse Stock Split shall remain $0.001 per share. No fractional shares shall be issued, and, in lieu thereof, the Corporation shall pay cash equal to such fraction multiplied by the fair market value of a share of Common Stock, as determined by the Board of Directors.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16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Certificate of Amendment attached hereto as Appendix A reflects the changes that will be implemented to our Charter if the Reverse Stock Split is approved.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If the stockholders approve the proposal to authorize the Board to implement the Reverse Stock Split and the Board implements the Reverse Stock Split, we will amend the existing provision of Article IV.A. of our Charter in the manner set forth above.</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By approving this amendment, stockholders will approve the combination of any whole number of shares of common stock between and including 1-for-3 and 1-for-15, with the exact number to be determined by the Board, into one (1) share. The Certificate of Amendment to be filed with the Secretary of State of the State of Delaware will include only that number determined by the Board to be in the best interests of the Company and its stockholders. In accordance with these resolutions, the Board will not implement any amendment providing for a different split ratio.</w:t>
      </w:r>
    </w:p>
    <w:p>
      <w:pPr>
        <w:spacing w:after="0" w:line="15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explained above, the Reverse Stock Split will be effected simultaneously for all issued and outstanding shares of common stock and the reverse stock split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receiving a cash payment in lieu of owning a fractional share, as described in the section titled “Fractional Shares” below. The shares of our common stock will remain fully paid and non-assessable after giving effect to the Reverse Stock Split. The Reverse Stock Split will not affect our continuing obligations under the periodic reporting requirements of the Exchange Act. Following the Reverse Stock Split, our common stock will continue to be listed on The Nasdaq Capital Market, under the symbol “PSTV,” although it would receive a new CUSIP number.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46" w:name="page47"/>
    <w:bookmarkEnd w:id="46"/>
    <w:p>
      <w:pPr>
        <w:jc w:val="both"/>
        <w:ind w:right="1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1-for-3 and 1-for-15, depending on the reverse stock split ratio selected by the Board.</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shares that are authorized but unissued after the Reverse Stock Split will be available for issuance, and, if we issue these shares, the ownership interest of holders of our common stock may be diluted. We may issue such shares to raise capital and/or as consideration in acquiring other businesses or establishing strategic relationships with other companies. Such acquisitions or strategic relationships may be effected using shares of our common stock or other securities convertible into shares of our common stock and/or by using capital that may need to be raised by selling such securities. We do not have any agreement, arrangement or understanding at this time with respect to any specific transaction or acquisition for which the newly unissued authorized shares would be issued.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If the Reverse Stock Split is approved by our stockholders, and if at such time the Board still believes that a reverse stock split is in the best interests of the Company and its stockholders, the Board will determine the ratio of the Reverse Stock Split to be implemented. The Reverse Stock Split will become effective as of the Effective Time. The Board will determine the exact timing of the filing of the Certificate of Amendment based on its evaluation as to when the filing would be the most advantageous to the Company and its stockholders. If the Board does not decide to implement the Reverse Stock Split within twelve months from the date of the Annual Meeting, the authority granted in this proposal to implement the Reverse Stock Split will terminate.</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Except as described below under the section titled “Fractional Shares,” at the Effective Time, each whole number of issued and outstanding pre-Reverse Stock Split shares that the Board has determined will be combined into one (1) post-Reverse Stock Split share, will, automatically and without any further action on the part of our stockholders, be combined into and become one (1) share of common stock, and each certificate which, immediately prior to the Effective Time represented pre-Reverse Stock Split shares, will be deemed for all corporate purposes to evidence ownership of post-Reverse Stock Split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at the Effective Time of the Reverse Stock Split who otherwise would be entitled to receive fractional shares because they hold a number of pre-Reverse Stock Split shares not evenly divisible by the number of pre-Reverse Stock Split shares for which each post-Reverse Stock Split share is to be exchanged, will, in lieu of a fractional share, be entitled, upon surrender to the exchange agent of certificate(s) representing such pre-Reverse Stock Split shares, to a cash payment in lieu thereof. The cash payment will equal the fraction to which the stockholder would otherwise be entitled multiplied by the average of the closing prices (as adjusted to reflect the Reverse Stock Split) of our common stock, as reported by Bloomberg L.P., during the ten consecutive trading days ending on the trading day that is the second day immediately prior to the date on which the Reverse Stock Split becomes effective.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4" w:right="499" w:bottom="1440" w:gutter="0" w:footer="0" w:header="0"/>
        </w:sectPr>
      </w:pPr>
    </w:p>
    <w:bookmarkStart w:id="47" w:name="page48"/>
    <w:bookmarkEnd w:id="47"/>
    <w:p>
      <w:pPr>
        <w:ind w:right="1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should be aware that, under the escheat laws of the various jurisdictions where stockholders reside, sums due for fractional interests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Reverse Stock Split</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Additionally,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89" w:lineRule="exact"/>
        <w:rPr>
          <w:sz w:val="20"/>
          <w:szCs w:val="20"/>
          <w:color w:val="auto"/>
        </w:rPr>
      </w:pPr>
    </w:p>
    <w:p>
      <w:pPr>
        <w:ind w:left="960" w:right="200" w:hanging="424"/>
        <w:spacing w:after="0" w:line="286"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market price per share of our shares of common stock post-Reverse Stock Split may not remain in excess of the $1.00 minimum bid price per share as required by Nasdaq, or we may fail to meet the other requirements for continued listing on Nasdaq, including the minimum value of listed securities, as described above, resulting in the delisting of our common stock.</w:t>
      </w:r>
    </w:p>
    <w:p>
      <w:pPr>
        <w:spacing w:after="0" w:line="70" w:lineRule="exact"/>
        <w:rPr>
          <w:rFonts w:ascii="Arial" w:cs="Arial" w:eastAsia="Arial" w:hAnsi="Arial"/>
          <w:sz w:val="17"/>
          <w:szCs w:val="17"/>
          <w:color w:val="auto"/>
        </w:rPr>
      </w:pPr>
    </w:p>
    <w:p>
      <w:pPr>
        <w:ind w:left="960" w:hanging="424"/>
        <w:spacing w:after="0" w:line="293"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Although the Board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development programs,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69" w:lineRule="exact"/>
        <w:rPr>
          <w:rFonts w:ascii="Arial" w:cs="Arial" w:eastAsia="Arial" w:hAnsi="Arial"/>
          <w:sz w:val="16"/>
          <w:szCs w:val="16"/>
          <w:color w:val="auto"/>
        </w:rPr>
      </w:pPr>
    </w:p>
    <w:p>
      <w:pPr>
        <w:ind w:left="960" w:right="100" w:hanging="424"/>
        <w:spacing w:after="0" w:line="272"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82" w:lineRule="exact"/>
        <w:rPr>
          <w:rFonts w:ascii="Arial" w:cs="Arial" w:eastAsia="Arial" w:hAnsi="Arial"/>
          <w:sz w:val="17"/>
          <w:szCs w:val="17"/>
          <w:color w:val="auto"/>
        </w:rPr>
      </w:pPr>
    </w:p>
    <w:p>
      <w:pPr>
        <w:ind w:left="960" w:right="100" w:hanging="424"/>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Shares</w:t>
      </w:r>
    </w:p>
    <w:p>
      <w:pPr>
        <w:spacing w:after="0" w:line="12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Certificated Shares</w:t>
      </w:r>
    </w:p>
    <w:p>
      <w:pPr>
        <w:spacing w:after="0" w:line="121"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pre-Reverse Stock Split shares will be asked to surrender to the exchange agent certificates representing pre-Reverse Stock Split shares in exchange for the appropriate number of shares representing post-Reverse Stock Split shares electronically in book-entry form and provide the stockholder with a statement reflecting the number of shares registered in the stockholder’s account. Until surrendered, we will deem such stockholder’s outstanding certificate(s) held by stockholders to be cancelled and only to represent the number of shares of post-Reverse Stock Split shares to which these stockholders are entitled. Any pre-Reverse Stock Split shares submitted for transfer, whether pursuant to a sale or other disposition, or otherwise, will automatically be exchanged for post-Reverse Stock Split shares. STOCKHOLDERS SHOULD NOT DESTROY ANY STOCK CERTIFICATE(S) AND SHOULD NOT SUBMIT ANY CERTIFICATE(S) UNTIL REQUESTED TO DO SO.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Reverse Stock Split on Outstanding Equity Awards, Warrants, and Equity Plans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23, 2023, there were:</w:t>
      </w:r>
    </w:p>
    <w:p>
      <w:pPr>
        <w:spacing w:after="0" w:line="131" w:lineRule="exact"/>
        <w:rPr>
          <w:sz w:val="20"/>
          <w:szCs w:val="20"/>
          <w:color w:val="auto"/>
        </w:rPr>
      </w:pPr>
    </w:p>
    <w:p>
      <w:pPr>
        <w:ind w:left="960" w:right="300" w:hanging="424"/>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outstanding stock options to purchase an aggregate of 2,014,246 shares of our common stock with a weighted average exercise price of $2.33 per share;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outstanding restricted stock units to receive an aggregate of 684,201 shares of our common stock;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warrants to purchase an aggregate of 2,141,000 shares of our common stock with a weighted average exercise price of $2.73 per share.</w:t>
      </w:r>
    </w:p>
    <w:p>
      <w:pPr>
        <w:spacing w:after="0" w:line="248"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When the Reverse Stock Split becomes effective, the number of shares of common stock covered by such rights will be reduced to between and including 1-for-3 and 1-for-15 the number currently covered, and the exercise price per share will be increased to between and including 1-for-3 and</w:t>
      </w:r>
    </w:p>
    <w:p>
      <w:pPr>
        <w:jc w:val="both"/>
        <w:ind w:right="160"/>
        <w:spacing w:after="0" w:line="260" w:lineRule="auto"/>
        <w:rPr>
          <w:sz w:val="20"/>
          <w:szCs w:val="20"/>
          <w:color w:val="auto"/>
        </w:rPr>
      </w:pPr>
      <w:r>
        <w:rPr>
          <w:rFonts w:ascii="Arial" w:cs="Arial" w:eastAsia="Arial" w:hAnsi="Arial"/>
          <w:sz w:val="18"/>
          <w:szCs w:val="18"/>
          <w:color w:val="auto"/>
        </w:rPr>
        <w:t>1-for-15 times the current exercise price, resulting in the same aggregate price being required to be paid therefor upon exercise thereof as was required immediately preceding the Reverse Stock Split.</w:t>
      </w:r>
    </w:p>
    <w:p>
      <w:pPr>
        <w:spacing w:after="0" w:line="185"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In addition, the number of shares of common stock and number of shares of common stock subject to stock options or similar rights authorized under our equity incentive plan and employee stock purchase plan will automatically be proportionately adjusted for the reverse stock split ratio, such that fewer shares will be subject to such plans. Further, the per share exercise price under such plans will automatically be proportionately adjusted for the Reverse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on Par Value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proposed amendment to our Charter will not affect the par value of our common stock, which will remain at $0.001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does not intend for this transaction to be the first step in a “going private transaction” within the meaning of Rule 13e-3 of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and stockholders. Other than the Reverse Stock Split proposal, the Board does not currently contemplate recommending the adoption of any other actions that could be construed to affect the ability of third parties to take over or change control of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Appraisal Rights</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dissenters’ appraisal rights with respect to the Reverse Stock Split, and we will not independently provide stockholders with any such right.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12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following is a summary of certain United States federal income tax consequences of the Reverse Stock Split generally applicable to beneficial holders of shares of our common stock.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subject to special rules, such as financial institutions, tax-exempt organizations,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0"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Pursuant to Reverse Stock Split</w:t>
      </w:r>
    </w:p>
    <w:p>
      <w:pPr>
        <w:spacing w:after="0" w:line="22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No gain or loss will be recognized by a stockholder upon such stockholder’s exchange of pre-Reverse Stock Split shares for post-Reverse Stock Split shares pursuant to the Reverse Stock Split, except to the extent of cash, if any, received in lieu of fractional shares, further described in “Cash in Lieu of Fractional Shares” below. The aggregate tax basis of the post-Reverse Stock Split shares received in the Reverse Stock Split, including any fractional share deemed to have been received, will be equal to the aggregate tax basis of the pre-Reverse Stock Split shares exchanged therefor, and the holding period of the post-Reverse Stock Split shares will include the holding period of the pre-Reverse Stock Split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 Lieu of Fractional Shares</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 holder of pre-Reverse Stock Split shares that receives cash in lieu of a fractional share of post-Reverse Stock Split shares should generally be treated as having received such fractional share pursuant to the Reverse Stock Split and then as having exchanged such fractional share for cash in a redemption by us. The amount of any gain or loss should be equal to the difference between the ratable portion of the tax basis of the pre-Reverse Stock Split shares exchanged in the Reverse Stock Split that is allocated to such fractional share and the cash received in lieu thereof. In general, any such gain or loss will constitute a long-term capital gain or loss if the holder’s holding period for such pre-Reverse Stock Split shares exceeds one year at the time of the Reverse Stock Split. Deductibility of capital losses by holders is subject to limitations.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 and Series F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the Reverse Stock Split, you are expressly also authorizing the Board to delay, not proceed with, and abandon, the Reverse Stock Split and the Certificate of Amendment if it should so decide, in its sole discretion, that such actions are in the best interests of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recommends a vote “FOR” the approval of the Certificate of Amendment so as to effect the Reverse Stock Split.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affirmative vote, in person virtually or by proxy, by the holders on the Record Date of a majority of the voting power of the outstanding shares of our common stock and Series F Preferred Stock, voting together as a single class, is required to approve the Certificate of Amendment to our Charter to effect the Reverse Stock Split of our common stock. Abstentions and broker non-votes, if any, will thus count as votes AGAINST the Reverse Stock Split.</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card or, if no direction is made, then FOR the Reverse Stock Split.</w:t>
      </w:r>
    </w:p>
    <w:p>
      <w:pPr>
        <w:spacing w:after="0" w:line="382" w:lineRule="exact"/>
        <w:rPr>
          <w:sz w:val="20"/>
          <w:szCs w:val="20"/>
          <w:color w:val="auto"/>
        </w:rPr>
      </w:pPr>
    </w:p>
    <w:p>
      <w:pPr>
        <w:jc w:val="center"/>
        <w:ind w:left="460" w:right="240"/>
        <w:spacing w:after="0" w:line="282" w:lineRule="auto"/>
        <w:rPr>
          <w:sz w:val="20"/>
          <w:szCs w:val="20"/>
          <w:color w:val="auto"/>
        </w:rPr>
      </w:pPr>
      <w:r>
        <w:rPr>
          <w:rFonts w:ascii="Arial" w:cs="Arial" w:eastAsia="Arial" w:hAnsi="Arial"/>
          <w:sz w:val="18"/>
          <w:szCs w:val="18"/>
          <w:b w:val="1"/>
          <w:bCs w:val="1"/>
          <w:color w:val="auto"/>
        </w:rPr>
        <w:t>OUR BOARD RECOMMENDS A VOTE “FOR” APPROVAL OF AN AMENDMENT TO OUR CHARTER TO EFFECT A REVERSE STOCK SPLIT.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 THIRD AMENDMENT AND RESTATEMENT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2020 STOCK INCENTIVE PLAN</w:t>
      </w:r>
    </w:p>
    <w:p>
      <w:pPr>
        <w:spacing w:after="0" w:line="103"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On February 24, 2023, our Board approved the third amendment and restatement of our 2020 Stock Incentive Plan (the “Third Amended Plan”), subject to the approval of our stockholders at the Annual Meeting. The 2020 Stock Incentive Plan that was approved by our stockholders at our 2020 annual meeting of stockholders, the amended and restated 2020 Stock Incentive Plan that was approved by our stockholders at our 2021 annual meeting of stockholders and the second amended and restated 2020 Stock Incentive Plan that was approved by our stockholders at our 2022 annual meeting of stockholders are collectively referred to as the “Plan” in this proposal. The Board is requesting stockholder approval of the Third Amended Plan. Unless provided otherwise, all numerical share numbers referenced in this proposal are measured on a current, pre-Reverse Stock Split basis. If the Reverse Stock Split contemplated herein is implemented, all of the amounts set forth in the preceding sentence would be adjusted proportionately.</w:t>
      </w:r>
    </w:p>
    <w:p>
      <w:pPr>
        <w:spacing w:after="0" w:line="166"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Board believes that equity awards are a key element underlying its ability to retain, recruit and motivate key personnel who are critical to our ability to execute successfully and implement our growth plans. After reviewing the Plan, the Board has determined that the share reserve available for awards under the Plan post-Reverse Stock Split will be insufficient and limits the Board’s ability to provide equity incentives that align the interests of our directors, executives and employees with those of our stockholders and limits our ability to attract and retain talented personnel. Approval of the Third Amended Plan by our stockholders will allow us to grant stock options, restricted stock unit awards and other awards at levels determined appropriate by our Board or compensation committee. The Third Amended Plan contains the following material changes from the Plan:</w:t>
      </w:r>
    </w:p>
    <w:p>
      <w:pPr>
        <w:spacing w:after="0" w:line="70" w:lineRule="exact"/>
        <w:rPr>
          <w:sz w:val="20"/>
          <w:szCs w:val="20"/>
          <w:color w:val="auto"/>
        </w:rPr>
      </w:pPr>
    </w:p>
    <w:p>
      <w:pPr>
        <w:ind w:left="960" w:hanging="4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adjustment for certain changes in our capitalization, the maximum aggregate number of shares of our common stock that may be issued under the Third Amended Plan is increased by 1,000,000 shares.</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adjustment for certain changes in our capitalization, the number of shares of our common stock issuable under the Third Amended Plan as incentive stock options (“ISOs”) has been increased to 4,550,000 shares.</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Third Amended Plan extends the period during which ISOs can be granted through 10 years following the date the Third Amended Plan was approved by the Board.</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following summary of the principal features of the Third Amended Plan is qualified by reference to the terms of the Third Amended Plan, a copy of which is attached to this Proxy Statement as Appendix 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Governance Best Practices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Third Amended Plan approved by our Board and submitted for stockholder approval includes an increase in the number of shares available for issuance of equity incentive awards by the Company by 1,000,000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Third Amended Plan contains the following important compensation and governance best practices:</w:t>
      </w:r>
    </w:p>
    <w:p>
      <w:pPr>
        <w:spacing w:after="0" w:line="131" w:lineRule="exact"/>
        <w:rPr>
          <w:sz w:val="20"/>
          <w:szCs w:val="20"/>
          <w:color w:val="auto"/>
        </w:rPr>
      </w:pPr>
    </w:p>
    <w:p>
      <w:pPr>
        <w:ind w:left="520" w:right="140" w:hanging="424"/>
        <w:spacing w:after="0" w:line="27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single trigger accelerated vesting upon change in control</w:t>
      </w:r>
      <w:r>
        <w:rPr>
          <w:rFonts w:ascii="Arial" w:cs="Arial" w:eastAsia="Arial" w:hAnsi="Arial"/>
          <w:sz w:val="18"/>
          <w:szCs w:val="18"/>
          <w:color w:val="auto"/>
        </w:rPr>
        <w:t>. The Third Amended Plan does not provide for automatic vesting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in control.</w:t>
      </w:r>
    </w:p>
    <w:p>
      <w:pPr>
        <w:spacing w:after="0" w:line="75" w:lineRule="exact"/>
        <w:rPr>
          <w:rFonts w:ascii="Arial" w:cs="Arial" w:eastAsia="Arial" w:hAnsi="Arial"/>
          <w:sz w:val="18"/>
          <w:szCs w:val="18"/>
          <w:color w:val="auto"/>
        </w:rPr>
      </w:pPr>
    </w:p>
    <w:p>
      <w:pPr>
        <w:ind w:left="520" w:right="80" w:hanging="424"/>
        <w:spacing w:after="0" w:line="342"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No liberal change in control definition</w:t>
      </w:r>
      <w:r>
        <w:rPr>
          <w:rFonts w:ascii="Arial" w:cs="Arial" w:eastAsia="Arial" w:hAnsi="Arial"/>
          <w:sz w:val="16"/>
          <w:szCs w:val="16"/>
          <w:color w:val="auto"/>
        </w:rPr>
        <w:t>. The change in control definition in the Third Amended Plan is not a “liberal” definition.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transaction must actually occur in order for the change in control provisions in the Third Amended Plan to be triggered.</w:t>
      </w:r>
    </w:p>
    <w:p>
      <w:pPr>
        <w:spacing w:after="0" w:line="29" w:lineRule="exact"/>
        <w:rPr>
          <w:rFonts w:ascii="Arial" w:cs="Arial" w:eastAsia="Arial" w:hAnsi="Arial"/>
          <w:sz w:val="16"/>
          <w:szCs w:val="16"/>
          <w:color w:val="auto"/>
        </w:rPr>
      </w:pPr>
    </w:p>
    <w:p>
      <w:pPr>
        <w:ind w:left="520" w:right="20" w:hanging="424"/>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stock appreciation rights</w:t>
      </w:r>
      <w:r>
        <w:rPr>
          <w:rFonts w:ascii="Arial" w:cs="Arial" w:eastAsia="Arial" w:hAnsi="Arial"/>
          <w:sz w:val="18"/>
          <w:szCs w:val="18"/>
          <w:color w:val="auto"/>
        </w:rPr>
        <w:t>. All stock options and stock appreciation rights granted under the Third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must have an exercise or strike price equal to or greater than the fair market value of a share of our common stock on the date the stock option or stock appreciation right is granted.</w:t>
      </w:r>
    </w:p>
    <w:p>
      <w:pPr>
        <w:spacing w:after="0" w:line="89" w:lineRule="exact"/>
        <w:rPr>
          <w:rFonts w:ascii="Arial" w:cs="Arial" w:eastAsia="Arial" w:hAnsi="Arial"/>
          <w:sz w:val="18"/>
          <w:szCs w:val="18"/>
          <w:color w:val="auto"/>
        </w:rPr>
      </w:pPr>
    </w:p>
    <w:p>
      <w:pPr>
        <w:ind w:left="520" w:right="20" w:hanging="424"/>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Administration by independent committee</w:t>
      </w:r>
      <w:r>
        <w:rPr>
          <w:rFonts w:ascii="Arial" w:cs="Arial" w:eastAsia="Arial" w:hAnsi="Arial"/>
          <w:sz w:val="18"/>
          <w:szCs w:val="18"/>
          <w:color w:val="auto"/>
        </w:rPr>
        <w:t>. The Third Amended Plan will be administered by the members of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whom are “non-employee directors” within the meaning of Rule 16b-3 under the Exchange Act and “independent” within the meaning of the Nasdaq listing standards.</w:t>
      </w:r>
    </w:p>
    <w:p>
      <w:pPr>
        <w:spacing w:after="0" w:line="89" w:lineRule="exact"/>
        <w:rPr>
          <w:rFonts w:ascii="Arial" w:cs="Arial" w:eastAsia="Arial" w:hAnsi="Arial"/>
          <w:sz w:val="18"/>
          <w:szCs w:val="18"/>
          <w:color w:val="auto"/>
        </w:rPr>
      </w:pPr>
    </w:p>
    <w:p>
      <w:pPr>
        <w:ind w:left="520" w:right="200" w:hanging="424"/>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Material amendments require stockholder approval</w:t>
      </w:r>
      <w:r>
        <w:rPr>
          <w:rFonts w:ascii="Arial" w:cs="Arial" w:eastAsia="Arial" w:hAnsi="Arial"/>
          <w:sz w:val="18"/>
          <w:szCs w:val="18"/>
          <w:color w:val="auto"/>
        </w:rPr>
        <w:t>. Consistent with Nasdaq rules and regulations, the Third Amended Plan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of any material revisions to the Third Amended Plan. In addition, certain other amendments to the Third Amended Plan require stockholder approval.</w:t>
      </w:r>
    </w:p>
    <w:p>
      <w:pPr>
        <w:spacing w:after="0" w:line="89" w:lineRule="exact"/>
        <w:rPr>
          <w:rFonts w:ascii="Arial" w:cs="Arial" w:eastAsia="Arial" w:hAnsi="Arial"/>
          <w:sz w:val="18"/>
          <w:szCs w:val="18"/>
          <w:color w:val="auto"/>
        </w:rPr>
      </w:pPr>
    </w:p>
    <w:p>
      <w:pPr>
        <w:ind w:left="520" w:right="60" w:hanging="424"/>
        <w:spacing w:after="0" w:line="311"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Repricing not permitted</w:t>
      </w:r>
      <w:r>
        <w:rPr>
          <w:rFonts w:ascii="Arial" w:cs="Arial" w:eastAsia="Arial" w:hAnsi="Arial"/>
          <w:sz w:val="16"/>
          <w:szCs w:val="16"/>
          <w:color w:val="auto"/>
        </w:rPr>
        <w:t>. Repricing of stock options or stock appreciation rights and the cancellation of stock options or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with an exercise price greater than the current fair market value of a share in return for cash or the grant of new stock options or stock appreciation rights with a lower exercise price or the grant of other awards is prohibited without stockholder approval.</w:t>
      </w:r>
    </w:p>
    <w:p>
      <w:pPr>
        <w:spacing w:after="0" w:line="54" w:lineRule="exact"/>
        <w:rPr>
          <w:rFonts w:ascii="Arial" w:cs="Arial" w:eastAsia="Arial" w:hAnsi="Arial"/>
          <w:sz w:val="16"/>
          <w:szCs w:val="16"/>
          <w:color w:val="auto"/>
        </w:rPr>
      </w:pPr>
    </w:p>
    <w:p>
      <w:pPr>
        <w:ind w:left="520" w:hanging="424"/>
        <w:spacing w:after="0" w:line="308"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 liberal share recycling</w:t>
      </w:r>
      <w:r>
        <w:rPr>
          <w:rFonts w:ascii="Arial" w:cs="Arial" w:eastAsia="Arial" w:hAnsi="Arial"/>
          <w:sz w:val="17"/>
          <w:szCs w:val="17"/>
          <w:color w:val="auto"/>
        </w:rPr>
        <w:t>. Liberal share recycling is not allowed. Shares withheld to pay the grant price or exercise price or to satisfy a tax</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obligation related to an award will not again become available for awards under the Third Amended Plan.</w:t>
      </w:r>
    </w:p>
    <w:p>
      <w:pPr>
        <w:spacing w:after="0" w:line="51" w:lineRule="exact"/>
        <w:rPr>
          <w:rFonts w:ascii="Arial" w:cs="Arial" w:eastAsia="Arial" w:hAnsi="Arial"/>
          <w:sz w:val="17"/>
          <w:szCs w:val="17"/>
          <w:color w:val="auto"/>
        </w:rPr>
      </w:pPr>
    </w:p>
    <w:p>
      <w:pPr>
        <w:ind w:left="520" w:right="360" w:hanging="424"/>
        <w:spacing w:after="0" w:line="27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Limitations on dividends and dividend equivalents</w:t>
      </w:r>
      <w:r>
        <w:rPr>
          <w:rFonts w:ascii="Arial" w:cs="Arial" w:eastAsia="Arial" w:hAnsi="Arial"/>
          <w:sz w:val="18"/>
          <w:szCs w:val="18"/>
          <w:color w:val="auto"/>
        </w:rPr>
        <w:t>. Dividends and dividend equivalents on shares and awards that have not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dividends are not paid under the Third Amended Plan until the underlying shares vest.</w:t>
      </w:r>
    </w:p>
    <w:p>
      <w:pPr>
        <w:spacing w:after="0" w:line="75" w:lineRule="exact"/>
        <w:rPr>
          <w:rFonts w:ascii="Arial" w:cs="Arial" w:eastAsia="Arial" w:hAnsi="Arial"/>
          <w:sz w:val="18"/>
          <w:szCs w:val="18"/>
          <w:color w:val="auto"/>
        </w:rPr>
      </w:pPr>
    </w:p>
    <w:p>
      <w:pPr>
        <w:ind w:left="520" w:hanging="424"/>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Awards subject to claw back</w:t>
      </w:r>
      <w:r>
        <w:rPr>
          <w:rFonts w:ascii="Arial" w:cs="Arial" w:eastAsia="Arial" w:hAnsi="Arial"/>
          <w:sz w:val="18"/>
          <w:szCs w:val="18"/>
          <w:color w:val="auto"/>
        </w:rPr>
        <w:t>. There is a robust claw back provision under the Third Amended Plan.</w:t>
      </w:r>
    </w:p>
    <w:p>
      <w:pPr>
        <w:spacing w:after="0" w:line="130" w:lineRule="exact"/>
        <w:rPr>
          <w:rFonts w:ascii="Arial" w:cs="Arial" w:eastAsia="Arial" w:hAnsi="Arial"/>
          <w:sz w:val="18"/>
          <w:szCs w:val="18"/>
          <w:color w:val="auto"/>
        </w:rPr>
      </w:pPr>
    </w:p>
    <w:p>
      <w:pPr>
        <w:ind w:left="520" w:right="120" w:hanging="424"/>
        <w:spacing w:after="0" w:line="259"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 on non-employee director awards and other awards</w:t>
      </w:r>
      <w:r>
        <w:rPr>
          <w:rFonts w:ascii="Arial" w:cs="Arial" w:eastAsia="Arial" w:hAnsi="Arial"/>
          <w:sz w:val="18"/>
          <w:szCs w:val="18"/>
          <w:color w:val="auto"/>
        </w:rPr>
        <w:t>. The sum of any cash compensation and the value of awards (calculating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any such stock awards based on the grant date fair value of such stock awards for financial reporting purposes) granted to any of our non-employee directors as compensation for services during any calendar year may not exceed $500,000, or $700,000 in the calendar year of the non-employee director’s initial service as a director).</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40"/>
          </w:cols>
          <w:pgMar w:left="880" w:top="274"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Why We Are Asking Our Stockholders to Approve the Third Amended Plan</w:t>
      </w:r>
    </w:p>
    <w:p>
      <w:pPr>
        <w:spacing w:after="0" w:line="135" w:lineRule="exact"/>
        <w:rPr>
          <w:sz w:val="20"/>
          <w:szCs w:val="20"/>
          <w:color w:val="auto"/>
        </w:rPr>
      </w:pPr>
    </w:p>
    <w:p>
      <w:pPr>
        <w:ind w:left="960" w:hanging="424"/>
        <w:spacing w:after="0" w:line="25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incentives are key to retaining key talent to drive our business forward. </w:t>
      </w:r>
      <w:r>
        <w:rPr>
          <w:rFonts w:ascii="Arial" w:cs="Arial" w:eastAsia="Arial" w:hAnsi="Arial"/>
          <w:sz w:val="18"/>
          <w:szCs w:val="18"/>
          <w:color w:val="auto"/>
        </w:rPr>
        <w:t>The Board believes that equity awards are a key element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our ability to retain, recruit and motivate key personnel who are critical to our ability to execute successfully through this time of transition for our Company and implement our business plan to develop our pipeline of therapeutics. Equity awards align the interests of our key personnel with those of our stockholders and are a substantial contributing factor to our success and the future growth of our business.</w:t>
      </w:r>
    </w:p>
    <w:p>
      <w:pPr>
        <w:spacing w:after="0" w:line="93" w:lineRule="exact"/>
        <w:rPr>
          <w:rFonts w:ascii="Arial" w:cs="Arial" w:eastAsia="Arial" w:hAnsi="Arial"/>
          <w:sz w:val="18"/>
          <w:szCs w:val="18"/>
          <w:color w:val="auto"/>
        </w:rPr>
      </w:pPr>
    </w:p>
    <w:p>
      <w:pPr>
        <w:ind w:left="960" w:right="440" w:hanging="424"/>
        <w:spacing w:after="0" w:line="26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Current shares available for awards are inadequate. </w:t>
      </w:r>
      <w:r>
        <w:rPr>
          <w:rFonts w:ascii="Arial" w:cs="Arial" w:eastAsia="Arial" w:hAnsi="Arial"/>
          <w:sz w:val="18"/>
          <w:szCs w:val="18"/>
          <w:color w:val="auto"/>
        </w:rPr>
        <w:t>We believe that the shares currently available for grant under the Plan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insufficient to meet our anticipated retention and recruiting needs. As of February 23, 2023, there were 1,886,839 shares available for future grant under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Equity Incentive Program, Dilution and Overhang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regarding our equity incentive program:</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180" w:type="dxa"/>
            <w:vAlign w:val="bottom"/>
          </w:tcPr>
          <w:p>
            <w:pPr>
              <w:spacing w:after="0"/>
              <w:rPr>
                <w:sz w:val="12"/>
                <w:szCs w:val="12"/>
                <w:color w:val="auto"/>
              </w:rPr>
            </w:pPr>
          </w:p>
        </w:tc>
        <w:tc>
          <w:tcPr>
            <w:tcW w:w="1300" w:type="dxa"/>
            <w:vAlign w:val="bottom"/>
            <w:gridSpan w:val="2"/>
          </w:tcPr>
          <w:p>
            <w:pPr>
              <w:jc w:val="center"/>
              <w:ind w:left="176"/>
              <w:spacing w:after="0" w:line="149" w:lineRule="exact"/>
              <w:rPr>
                <w:sz w:val="20"/>
                <w:szCs w:val="20"/>
                <w:color w:val="auto"/>
              </w:rPr>
            </w:pPr>
            <w:r>
              <w:rPr>
                <w:rFonts w:ascii="Arial" w:cs="Arial" w:eastAsia="Arial" w:hAnsi="Arial"/>
                <w:sz w:val="14"/>
                <w:szCs w:val="14"/>
                <w:b w:val="1"/>
                <w:bCs w:val="1"/>
                <w:color w:val="auto"/>
                <w:w w:val="96"/>
              </w:rPr>
              <w:t>February 23,</w:t>
            </w:r>
          </w:p>
        </w:tc>
      </w:tr>
      <w:tr>
        <w:trPr>
          <w:trHeight w:val="185"/>
        </w:trPr>
        <w:tc>
          <w:tcPr>
            <w:tcW w:w="6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number of shares of common stock subject to outstanding stock options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2,014,246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Weighted-average exercise price of outstanding stock options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term of outstanding stock options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8.762 years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w w:val="95"/>
              </w:rPr>
              <w:t>Total number of shares of common stock subject to outstanding full value awards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number of shares of common stock available for grant under the 2020 Plan</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1,796,450</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w w:val="96"/>
              </w:rPr>
              <w:t>Total number of shares of common stock available for grant under the 2015 New</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Employee Incentive Plan</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90,389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of common stock outstanding</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35,414,158</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Per-share closing price of common stock as reported on the Nasdaq Capital</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Market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0.3920</w:t>
            </w:r>
          </w:p>
        </w:tc>
      </w:tr>
    </w:tbl>
    <w:p>
      <w:pPr>
        <w:spacing w:after="0" w:line="20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To provide the Company the flexibility to responsibly address our future equity compensation needs, we are requesting that stockholders approve the Third Amended Plan to make an additional 1,000,000 shares available for grant. Grant levels for the preceding three fiscal years have averaged 510,831 shares per year.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key dilution metrics over the last three years: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Key Equity Metrics</w:t>
            </w:r>
          </w:p>
        </w:tc>
        <w:tc>
          <w:tcPr>
            <w:tcW w:w="314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Year</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vMerge w:val="continue"/>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Equity Burn Rate</w:t>
            </w:r>
            <w:r>
              <w:rPr>
                <w:rFonts w:ascii="Arial" w:cs="Arial" w:eastAsia="Arial" w:hAnsi="Arial"/>
                <w:sz w:val="24"/>
                <w:szCs w:val="24"/>
                <w:color w:val="auto"/>
                <w:vertAlign w:val="superscript"/>
              </w:rPr>
              <w:t>(1)</w:t>
            </w:r>
          </w:p>
        </w:tc>
        <w:tc>
          <w:tcPr>
            <w:tcW w:w="3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11.96%</w:t>
            </w:r>
          </w:p>
        </w:tc>
        <w:tc>
          <w:tcPr>
            <w:tcW w:w="0" w:type="dxa"/>
            <w:vAlign w:val="bottom"/>
          </w:tcPr>
          <w:p>
            <w:pPr>
              <w:spacing w:after="0"/>
              <w:rPr>
                <w:sz w:val="1"/>
                <w:szCs w:val="1"/>
                <w:color w:val="auto"/>
              </w:rPr>
            </w:pPr>
          </w:p>
        </w:tc>
      </w:tr>
      <w:tr>
        <w:trPr>
          <w:trHeight w:val="216"/>
        </w:trPr>
        <w:tc>
          <w:tcPr>
            <w:tcW w:w="3340" w:type="dxa"/>
            <w:vAlign w:val="bottom"/>
          </w:tcPr>
          <w:p>
            <w:pPr>
              <w:spacing w:after="0" w:line="216" w:lineRule="exact"/>
              <w:rPr>
                <w:sz w:val="20"/>
                <w:szCs w:val="20"/>
                <w:color w:val="auto"/>
              </w:rPr>
            </w:pPr>
            <w:r>
              <w:rPr>
                <w:rFonts w:ascii="Arial" w:cs="Arial" w:eastAsia="Arial" w:hAnsi="Arial"/>
                <w:sz w:val="17"/>
                <w:szCs w:val="17"/>
                <w:color w:val="auto"/>
              </w:rPr>
              <w:t>Dilution</w:t>
            </w:r>
            <w:r>
              <w:rPr>
                <w:rFonts w:ascii="Arial" w:cs="Arial" w:eastAsia="Arial" w:hAnsi="Arial"/>
                <w:sz w:val="25"/>
                <w:szCs w:val="25"/>
                <w:color w:val="auto"/>
                <w:vertAlign w:val="superscript"/>
              </w:rPr>
              <w:t>(2)</w:t>
            </w:r>
          </w:p>
        </w:tc>
        <w:tc>
          <w:tcPr>
            <w:tcW w:w="4280" w:type="dxa"/>
            <w:vAlign w:val="bottom"/>
            <w:gridSpan w:val="3"/>
          </w:tcPr>
          <w:p>
            <w:pPr>
              <w:jc w:val="right"/>
              <w:ind w:right="300"/>
              <w:spacing w:after="0"/>
              <w:rPr>
                <w:sz w:val="20"/>
                <w:szCs w:val="20"/>
                <w:color w:val="auto"/>
              </w:rPr>
            </w:pPr>
            <w:r>
              <w:rPr>
                <w:rFonts w:ascii="Arial" w:cs="Arial" w:eastAsia="Arial" w:hAnsi="Arial"/>
                <w:sz w:val="18"/>
                <w:szCs w:val="18"/>
                <w:color w:val="auto"/>
              </w:rPr>
              <w:t>6.31%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7.55%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Overhang</w:t>
            </w:r>
            <w:r>
              <w:rPr>
                <w:rFonts w:ascii="Arial" w:cs="Arial" w:eastAsia="Arial" w:hAnsi="Arial"/>
                <w:sz w:val="25"/>
                <w:szCs w:val="25"/>
                <w:color w:val="auto"/>
                <w:vertAlign w:val="superscript"/>
              </w:rPr>
              <w:t>(3)</w:t>
            </w:r>
          </w:p>
        </w:tc>
        <w:tc>
          <w:tcPr>
            <w:tcW w:w="4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10.40%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10.92%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11.79%</w:t>
            </w: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3140" w:type="dxa"/>
            <w:vAlign w:val="bottom"/>
          </w:tcPr>
          <w:p>
            <w:pPr>
              <w:jc w:val="right"/>
              <w:ind w:right="123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54" w:name="page55"/>
    <w:bookmarkEnd w:id="54"/>
    <w:p>
      <w:pPr>
        <w:ind w:left="960" w:right="40" w:hanging="532"/>
        <w:spacing w:after="0" w:line="29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Equity Burn Rate is calculated by dividing the number of shares subject to equity awards granted during the year, minus shares subject to awards that were cancelled or forfeited during the year, by the weighted average number of shares outstanding during the year.</w:t>
      </w:r>
    </w:p>
    <w:p>
      <w:pPr>
        <w:ind w:left="960" w:right="60" w:hanging="532"/>
        <w:spacing w:after="0" w:line="250"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year by the number of shares outstanding at the end of the year.</w:t>
      </w:r>
    </w:p>
    <w:p>
      <w:pPr>
        <w:ind w:left="960" w:right="20" w:hanging="532"/>
        <w:spacing w:after="0" w:line="302"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Overhang is calculated by dividing (a) the sum of (i) the number of shares subject to equity awards outstanding at the end of the year and (ii) the number of shares available for future grants by (b) the sum of (i) the number of shares outstanding at the end of the year and (ii) the number of shares subject to equity awards outstanding at the end of the year and (iii) the number of shares available for future grants.</w:t>
      </w:r>
    </w:p>
    <w:p>
      <w:pPr>
        <w:spacing w:after="0" w:line="15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When considering the number of shares authorized for issuance under the Third Amended Plan, the compensation committee reviewed, among other things, the potential dilution to the Company’s current stockholders as measured by burn rate, dilution and overhang, projected future share usage and projected future forfeitures. The projected future usage of shares for long-term incentive awards under the Third Amended Plan was reviewed under scenarios based on a variety of assumptions. The compensation committee is committed to effectively managing the number of shares reserved for issuance under the Third Amended Plan while minimizing stockholder dilution.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2020 Stock Incentive Plan, as amended and restated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purpose of the Third Amended Plan is to assist management in the recruitment, retention and motivation of employees, outside directors and consultants who are in a position to make material contributions to our long-term success and the creation of stockholder value. The Third Amended Plan offers a significant incentive to encourage our employees, outside directors and consultants by enabling those individuals to acquire shares of our common stock, thereby increasing their proprietary interest in the growth and success of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Third Amended Plan provides for the direct award or sale of shares of common stock (including restricted stock), the award of stock units and stock appreciation rights, and the grant of both incentive stock options to purchase common stock intended to qualify for preferential tax treatment under Section 422 of the Code and nonstatutory stock options to purchase common stock that do not qualify for such treatment under the Code.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All employees (including officers) and directors of the Company or any subsidiary and any consultant who performs services for the Company or a subsidiary are eligible to purchase shares of common stock and to receive awards of shares or grants of nonstatutory stock options, stock units and stock appreciation rights. Only employees are eligible to receive grants of incentive stock options.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55" w:name="page56"/>
    <w:bookmarkEnd w:id="55"/>
    <w:p>
      <w:pPr>
        <w:ind w:left="4"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February 23, 2023, we (including our affiliates) had approximately 17 employees and 5 non-employee directors, all of whom are eligible to receive awards under the Third Amended Plan. We also engage consultants from time to time who are eligible to receive awards under the Third Amended Plan.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The Third Amended Plan is administered by the compensation committee of our Board. Subject to the limitations set forth in the Third Amended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w:t>
      </w:r>
    </w:p>
    <w:p>
      <w:pPr>
        <w:spacing w:after="0" w:line="18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The compensation committee, our Board and any of their designees do not have the authority to: (i) amend the terms of an outstanding option or stock appreciation right to reduce its exercise price, or (ii) cancel outstanding options or stock appreciation rights with an exercise price above the then-current fair market value per share in exchange for another option, stock appreciation right with a lower exercise price or for other award or for cash, unless the stockholders of the Company have previously approved such an action or the action relates to a capitalization adjustment under the terms of the Third Amended Plan.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17"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Subject to adjustment for certain changes in our capitalization, the aggregate number of shares of our common stock that may be issued under the Third Amended Plan will not exceed 4,659,286 shares, which is the sum of (i) 550,000 shares approved at the Company’s 2020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1,000,000 shares approved at the Company’s 2021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2,000,000 shares approved at the Company’s 2022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1,000,000 shares approved at the Company’s 2023 annual meeting of stockholders, </w:t>
      </w:r>
      <w:r>
        <w:rPr>
          <w:rFonts w:ascii="Arial" w:cs="Arial" w:eastAsia="Arial" w:hAnsi="Arial"/>
          <w:sz w:val="16"/>
          <w:szCs w:val="16"/>
          <w:i w:val="1"/>
          <w:iCs w:val="1"/>
          <w:color w:val="auto"/>
        </w:rPr>
        <w:t>plus</w:t>
      </w:r>
    </w:p>
    <w:p>
      <w:pPr>
        <w:spacing w:after="0" w:line="1" w:lineRule="exact"/>
        <w:rPr>
          <w:sz w:val="20"/>
          <w:szCs w:val="20"/>
          <w:color w:val="auto"/>
        </w:rPr>
      </w:pPr>
    </w:p>
    <w:p>
      <w:pPr>
        <w:ind w:left="4" w:right="20" w:hanging="4"/>
        <w:spacing w:after="0" w:line="255" w:lineRule="auto"/>
        <w:tabs>
          <w:tab w:leader="none" w:pos="2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unallocated shares remaining available for grant under the Plus Therapeutics, Inc. 2014 Equity Incentive Plan, as amended (the “2014 Plan”) as of the effective date of the Plan, plus (vi) the Predecessor Plan’s Returning Shares (as defined below), as such shares become available from time to time.</w:t>
      </w:r>
    </w:p>
    <w:p>
      <w:pPr>
        <w:spacing w:after="0" w:line="190"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term “Predecessor Plan’s Returning Shares” refers to the following shares of our common stock subject to any outstanding stock award granted under the 2014 Plan: (i) any shares subject to such stock award that are not issued because such stock award expires or otherwise terminates without all of the shares covered by such stock award having been issued, and (ii) any shares issued pursuant to such stock award that are forfeited back to us because of a failure to vest.</w:t>
      </w:r>
    </w:p>
    <w:p>
      <w:pPr>
        <w:spacing w:after="0" w:line="187"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The number of shares that may be delivered in the aggregate pursuant to the exercise of incentive stock options granted under the Third Amended Plan will not exceed 4,550,000 shares plus, to the extent allowable under Section 422 of the Code, any shares that become available for issuance under the Third Amended Plan discussed below as a result of forfeiture or termination of awards. These limitations, and the terms of outstanding awards, shall be adjusted as appropriate and equitable in the event of a stock dividend, stock split, reclassification of stock or similar events.</w:t>
      </w:r>
    </w:p>
    <w:p>
      <w:pPr>
        <w:spacing w:after="0" w:line="15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If stock units, options, or stock appreciation rights are forfeited or terminate for any other reason before being settled or exercised, or if restricted shares are forfeited, then the corresponding shares will again become available for awards under the Third Amended Plan. If stock units are settled or stock appreciation rights are exercised, then only the number of shares settled or exercised shall reduce the number of shares available under the Third Amended Plan. Shares withheld to satisfy the grant price or exercise price or tax withholding obligation pursuant to an award will not again become available for awards under the Third Amended Plan.</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4"/>
          </w:cols>
          <w:pgMar w:left="436" w:top="274"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Non-employee Director Compensation Limit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Under the Third Amended Plan, the sum of any cash compensation, or other compensation, and the value (determined as of the grant date in accordance with Financial Accounting Standards Board Accounting Standards Codification of Topic 718, or any successor thereto) of awards granted to any of our non-employee directors as compensation for services as a non-employee director during any calendar year may not exceed $500,000 (increased to $700,000 in the calendar year of his or her initial service).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terms of any grants of stock options under the Third Amended Plan will be set forth in a stock option agreement to be entered into between the Company and the recipient. The compensation committee will determine the terms and conditions of such option grants, which need not be identical. The compensation committee may modify, extend or renew outstanding options but the compensation committee may not modify outstanding options to lower the exercise price or cancel options in exchange for cash or for options or stock appreciation rights with a lower exercise price or for another award, other than in connection with a corporate transaction, without stockholder approval.</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exercise price of each option will be set by the compensation committee, subject to the following limits. The exercise price of an incentive stock option cannot be less than 100% of the fair market value of a share of common stock on the date the option is granted, and in the event an option recipient is deemed to be a 10% owner of our Company or one of our subsidiaries, the exercise price of an incentive stock option cannot be less than 110% of the fair market value of a share of common stock on the date the option is granted. The exercise price of a nonstatutory stock option cannot be less than 100% of the fair market value of a share of the Company’s common stock on the date the option is granted. The maximum period in which an option may be exercised will be fixed by the compensation committee and included in each stock option agreement and cannot exceed ten years in the case of an incentive stock option (and in the event an option recipient is deemed to be a 10% owner of our Company or one of our subsidiaries, the maximum period for an incentive stock option granted to that person cannot exceed five years). In addition, no option recipient may be granted incentive stock options that are exercisable for the first time in any calendar year for our common stock having a total fair market value (determined as of the option grant) in excess of $100,000.</w:t>
      </w:r>
    </w:p>
    <w:p>
      <w:pPr>
        <w:spacing w:after="0" w:line="18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exercise price for the exercise of a stock option may be paid in cash or, to the extent that the stock option agreement so provides, by surrendering shares of common stock, by a broker-assisted cashless exercise procedure, by a net exercise arrangement, by delivering a full-recourse promissory note, or in any other form that is consistent with applicable laws, regulations and rules. Options generally will be nontransferable except in the event of the option recipient’s death, but the compensation committee may allow the transfer of nonstatutory stock options through a gift or domestic relations order to the option recipient’s family members.</w:t>
      </w:r>
    </w:p>
    <w:p>
      <w:pPr>
        <w:spacing w:after="0" w:line="18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Stock options granted under the Third Amended Plan generally must be exercised by the optionee before the earlier of the expiration of such option or 90 days after termination of the optionee’s employment, except that the period may be extended on certain events including death and termination of employment due to disability. Each stock option agreement will set forth the extent to which the option recipient will have the right to exercise the option following the termination of the recipient’s service with us, and the right to exercise the option of any executors or administrators of the award recipient’s estate or any person who has acquired such options directly from the award recipient by bequest or inheritance.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Shares</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terms of any awards of restricted shares under the Third Amended Plan will be set forth in a restricted share agreement to be entered into between the Company and the recipient. The compensation committee will determine the terms and conditions of the restricted share agreements, which need not be identical. A restricted share award may be subject to vesting requirements or transfer restrictions or both. Restricted shares may be issued for such consideration as the compensation committee may determine, including cash, cash equivalents, full-recourse promissory notes, past services and future services. Award recipients who are granted restricted shares generally have all of the rights of a stockholder with respect to those shares. Holders of restricted shares must invest any cash dividends received in additional restricted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The terms of any awards of restricted stock units under the Amended Plan (referred to as “stock units” in the Third Amended Plan document) will be set forth in a restricted stock unit agreement to be entered into between the Company and the recipient. The compensation committee will determine the terms and conditions of the restricted stock unit agreements, which need not be identical. Restricted stock units give an award recipient the right to acquire a specified number of shares of common stock or, at the compensation committee’s discretion, cash, or a combination of common stock and cash, at a future date upon the satisfaction of certain vesting conditions based upon a vesting schedule or performance criteria established by the compensation committee. Restricted stock units may be granted in consideration of a reduction in the award recipient’s other compensation, but no cash consideration is typically required of the award recipient. Unlike restricted shares, the stock underlying restricted stock units will not be issued until the stock units have vested, and recipients of restricted stock units generally will have no voting or dividend rights prior to the time of issuance of any common stock upon settlement.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terms of any awards of stock appreciation rights under the Third Amended Plan will be set forth in an agreement to be entered into between the Company and the recipient. The compensation committee will determine the terms, conditions and restrictions of any such agreements, which need not be identical. A stock appreciation right generally entitles the award recipient to receive a payment upon exercise equal to the amount by which the fair market value of a share of common stock on the date of exercise exceeds the value of a share of common stock on the date of grant. The amount payable upon the exercise of a stock appreciation right may be settled in cash or by the issuance of shares of common stock. The compensation committee may not modify outstanding stock appreciation rights to lower the exercise price or cancel stock appreciation rights in exchange for cash or for options or stock appreciation rights with a lower exercise price or for another award, other than in connection with a corporate transaction, without stockholder approval.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An award may be made subject to the attainment of performance goals for a specified period of time relating to performance criteria including, but not limited to one or more of the following performance criteria, either individually, alternatively or in any combination, applied to either us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compensation committee in the award: (a) cash flow, (b) earnings per share, (c) earnings before interest,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58" w:name="page59"/>
    <w:bookmarkEnd w:id="58"/>
    <w:p>
      <w:pPr>
        <w:jc w:val="both"/>
        <w:ind w:left="4" w:right="3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and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(n) return on operating revenue, (o) return on invested capital, (p) market segment shares, (q) costs, (r) expenses,</w:t>
      </w:r>
    </w:p>
    <w:p>
      <w:pPr>
        <w:spacing w:after="0" w:line="2" w:lineRule="exact"/>
        <w:rPr>
          <w:sz w:val="20"/>
          <w:szCs w:val="20"/>
          <w:color w:val="auto"/>
        </w:rPr>
      </w:pPr>
    </w:p>
    <w:p>
      <w:pPr>
        <w:ind w:left="4" w:right="200" w:hanging="4"/>
        <w:spacing w:after="0" w:line="281" w:lineRule="auto"/>
        <w:tabs>
          <w:tab w:leader="none" w:pos="2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achievement of target levels of discovery and/or development of products or services, including but not limited to research or regulatory achievements, (t) third party coverage and/or reimbursement objectives, (u) test volume metrics, (v) objective customer indicators (including, without limitation, customer satisfaction), (w) improvements in productivity, (x) attainment of objective operating goals, (y) objective employee metrics, or</w:t>
      </w:r>
    </w:p>
    <w:p>
      <w:pPr>
        <w:spacing w:after="0" w:line="1" w:lineRule="exact"/>
        <w:rPr>
          <w:rFonts w:ascii="Arial" w:cs="Arial" w:eastAsia="Arial" w:hAnsi="Arial"/>
          <w:sz w:val="16"/>
          <w:szCs w:val="16"/>
          <w:color w:val="auto"/>
        </w:rPr>
      </w:pPr>
    </w:p>
    <w:p>
      <w:pPr>
        <w:ind w:left="4" w:right="100" w:hanging="4"/>
        <w:spacing w:after="0" w:line="281"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other measures of performance selected by the compensation committee. The compensation committee will appropriately adjust any evaluation of performance under a qualifying performance criteria for a performance period: (i) to exclude asset write-downs, (ii) to 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in managements’ discussion and analysis of financial condition and results of operations appearing in our annual report to stockholders for the applicable year, (vi) to exclude the dilutive and/or accretive effects of acquisitions or joint ventures, (vii) to assume that any business divested by the Company achieved performance objectives at targeted levels during the balance of a performance period following the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our common stockholders other than regular cash dividends, (ix) to exclude the effects of stock based compensation,</w:t>
      </w:r>
    </w:p>
    <w:p>
      <w:pPr>
        <w:spacing w:after="0" w:line="5" w:lineRule="exact"/>
        <w:rPr>
          <w:rFonts w:ascii="Arial" w:cs="Arial" w:eastAsia="Arial" w:hAnsi="Arial"/>
          <w:sz w:val="16"/>
          <w:szCs w:val="16"/>
          <w:color w:val="auto"/>
        </w:rPr>
      </w:pPr>
    </w:p>
    <w:p>
      <w:pPr>
        <w:jc w:val="both"/>
        <w:ind w:left="4" w:hanging="4"/>
        <w:spacing w:after="0" w:line="253"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(xi) to make other appropriate adjustments selected by the compensation committee. If applicable, the compensation committee will establish the goals before results are substantially certain and will determine and certify, for each award recipient, the extent to which the qualifying performance criteria have been met.</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The Board may amend or terminate the Third Amended Plan at any time, but an amendment will not become effective without the approval of our stockholders to the extent required by applicable laws, regulations or rules. No amendment or termination of the Third Amended Plan will affect an award recipient’s rights under outstanding awards without the award recipient’s consent. No incentive stock options may be granted under the Third Amended Plan after the tenth anniversary of the date the Third Amended Plan is adopted by the Board.</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Forfeiture Events and Clawback/Recoupment Policy</w:t>
      </w:r>
    </w:p>
    <w:p>
      <w:pPr>
        <w:spacing w:after="0" w:line="117"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The compensation committee may specify in an award agreement that a participant’s rights, payments, and benefits with respect to an award will be subject to reduction, cancellation, forfeiture, or recoupment upon the occurrence of specified events, in addition to any otherwise applicable vesting or performance conditions of an award, including termination of service for cause.</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the event that we are required to prepare restated financial results due to the material noncompliance of the Company, as a result of misconduct, with any financial reporting requirement under the securities laws, at the discretion of the compensation committee any participant who knowingly or through gross negligence engaged in the misconduct, or who knowingly or through gross negligence failed to prevent the misconduct, and any participant who is subject to automatic forfeiture under Section 304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4" w:right="47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Sarbanes-Oxley Act of 2002, will reimburse the Company for (i) the amount of any payment in settlement of an award during the twelve month period following the first public issuance or filing with the SEC of the financial document embodying the financial reporting requirement and (ii) any profits realized by the participation from the sale of securities of the Company during the twelve month period. In addition, to the extent claw-back or similar provisions applicable to awards are required by applicable law, listing standards and/or policies adopted by the Company, awards granted under the Third Amended Plan shall be subject to such provisions.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Certain Corporate Events</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In the event of a subdivision of the outstanding common stock or a combination or consolidation of the outstanding common stock (by reclassification or otherwise) into a lesser number of shares, a recapitalization, a spin-off or a similar occurrence, a declaration of a dividend payable in common stock or a declaration of a dividend payable in a form other than shares in an amount that has a material effect on the price of the shares, the compensation committee will make appropriate adjustments in the number and class of shares covered by outstanding awards and the exercise price of outstanding options and stock appreciation rights, the number and class of shares that may be issued pursuant to the exercise of incentive stock options, and the number and class of shares available under the Third Amended Plan.</w:t>
      </w:r>
    </w:p>
    <w:p>
      <w:pPr>
        <w:spacing w:after="0" w:line="178"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In the event of a merger or other reorganization, subject to any acceleration provisions in the agreement relating to an award, outstanding awards will be treated in the manner provided in the agreement of merger or reorganization. That agreement may provide for the assumption of outstanding awards by the surviving corporation or its parent, for their continuation by the Company (if the Company is the surviving corporation), for the substitution by the surviving corporation or its parent of its own awards, or for the acceleration of the exercisability of awards followed by the cancellation of those awards. The agreement of merger or reorganization may also provide for the full exercisability or vesting and accelerated expiration of outstanding awards, cancellation of outstanding awards to the extent not vested or exercised prior to the effective time of the merger or reorganization in exchange for such cash consideration, if any, as the compensation committee may consider appropriate, or settlement of the intrinsic value of the outstanding awards in cash or cash equivalents or equity, followed by cancellation of the awards. The Company need not take the same action or actions with respect to all awards or portions thereof or with respect to all participants, and the Company may take different actions with respect to the vested and unvested portions of an award.</w:t>
      </w:r>
    </w:p>
    <w:p>
      <w:pPr>
        <w:spacing w:after="0" w:line="18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its discretion, the compensation committee may provide in the award agreement governing an award or at any other time may take any action as it deems appropriate to provide for acceleration of the exercisability, vesting and/or settlement in connection with a change in control of the Company of each or any outstanding award or portion thereof upon such conditions, including termination of the participant’s service prior to, upon or following the change in control. In the absence of such provision in an award agreement or any action taken by the compensation committee, no acceleration will occur.</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For purposes of the Third Amended Plan, a change in control generally means the occurrence of any of the following events: (i) a change in the composition of the Board occurs, as a result of which fewer than one-half of the incumbent directors are directors who either had been directors on the date that is 24 months prior to the date that the change in control could be deemed to occur, or were elected or nominated to the Board with the affirmative votes of at least a majority of the directors who had been directors on the date that was 24 months prior to the date the change in control cold be deemed to occur and are still in office at the time of election or nomination, (ii) any person who, through the acquisition or aggregation of securities, becomes the beneficial owner of securities of the Company representing 50% or more of the combined voting power of the Company’s then outstanding securities ordinarily having the right to vote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60" w:name="page61"/>
    <w:bookmarkEnd w:id="60"/>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elections of directors (subject to certain exceptions set forth in the Third Amended Plan); (iii) the consummation of a merger or consolidation of the Company with or into another entity or any other corporate reorganization, if persons who were not stockholders of the Company immediately prior to the merger, consolidation or other reorganization own immediately after the merger, consolidation or other reorganization 50% or more of the voting power of the outstanding securities of each of the continuing or surviving entity and any direct or indirect parent corporation of such continuing or surviving entity; or (iv) the sale, transfer or other disposition of all or substantially all of the Company’s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Aspects of Awards Under the Third Amended Plan</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is a brief summary of the federal income tax aspects of awards that may be made under the Third Amended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Third Amended Plan depend upon the type of award.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recipient of an incentive stock option generally will not be taxed upon grant of the option. Federal income taxes are generally imposed only when the shares of common stock from exercised incentive stock options are disposed of, by sale or otherwise. The amount by which the fair market value of the common stock on the date of exercise exceeds the exercise price is, however, included in determining the option recipient’s liability for the alternative minimum tax. If the incentive stock option recipient does not sell or dispose of the shares of common stock until more than one year after option exercise and two years after the option was granted, then, upon sale or disposition of the shares, the difference between the exercise price and the market value of the shares of common stock as of the date of exercise will be treated as a capital gain, and not ordinary income. If a recipient fails to hold the shares for the minimum required time the recipient will recognize ordinary income in the year of disposition generally in an amount equal to any excess of the market value of the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1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recipient of stock options not qualifying as incentive stock options generally will not be taxed upon the grant of the option. Federal income taxes are generally due from a recipient of nonstatutory stock options when the stock options are exercised. The excess of the fair market value of the common stock purchased on such date over the exercise price of the option is taxed as ordinary income. Thereafter, the tax basis for the acquired shares is equal to the amount paid for the shares plus the amount of ordinary income recognized by the recipient.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 by reason of the exercise of the option.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Awards</w:t>
      </w:r>
    </w:p>
    <w:p>
      <w:pPr>
        <w:spacing w:after="0" w:line="117"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Recipients of restricted stock unit awards will generally recognize ordinary income when they receive shares upon settlement of the awards, in an amount equal to the fair market value of the shares at that time. Recipients of restricted shares subject to a vesting requirement will generally recognize ordinary income at the time vesting occurs, in an amount equal to the fair market value of the shares at that time minus the amount, if any, paid for the shares. However, a recipient of restricted shares which are not vested may, within 30 days of the date the shares are transferred, elect in accordance with Section 83(b) of the Code to recognize ordinary compensation income at the time of transfer of the shares rather than upon the vesting dates. Recipients of stock appreciation rights will generally recognize ordinary income upon exercise in an amount equal to the excess of the fair market value of the underlying shares of common stock on the exercise date and cash received, if any, over the exercise price. Subject to the requirement of reasonableness, the provisions of Section 162(m) of the Code and the satisfaction of our tax reporting obligation, we will generally be entitled to a tax deduction at the same time and in the same amount as ordinary income is recognized by the recipient.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 new grants have been made under the Third Amended Plan requiring stockholder approval. With respect to future grants under the Third Amended Plan, it is not possible to determine specific amounts and types of awards that may be awarded in the future under the Third Amended Plan, because the grant and actual settlement of awards will be discretionary.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Past Grants Under the Plan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SEC rules, the following table sets forth summary information with respect to the number of shares of common stock subject to stock option awards made under the Plan to the Company’s named executive officers, all current executive officers as a group, directors, associates of such executive officers, directors and nominees, each other person who received or is to receive 5% of such stock options and all employees (other than executive officers) as a group as of February 23, 2023.</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20" w:type="dxa"/>
            <w:vAlign w:val="bottom"/>
          </w:tcPr>
          <w:p>
            <w:pPr>
              <w:jc w:val="center"/>
              <w:ind w:left="333"/>
              <w:spacing w:after="0"/>
              <w:rPr>
                <w:sz w:val="20"/>
                <w:szCs w:val="20"/>
                <w:color w:val="auto"/>
              </w:rPr>
            </w:pPr>
            <w:r>
              <w:rPr>
                <w:rFonts w:ascii="Arial" w:cs="Arial" w:eastAsia="Arial" w:hAnsi="Arial"/>
                <w:sz w:val="14"/>
                <w:szCs w:val="14"/>
                <w:b w:val="1"/>
                <w:bCs w:val="1"/>
                <w:color w:val="auto"/>
                <w:w w:val="92"/>
              </w:rPr>
              <w:t>Number of Shares</w:t>
            </w:r>
          </w:p>
        </w:tc>
      </w:tr>
      <w:tr>
        <w:trPr>
          <w:trHeight w:val="148"/>
        </w:trPr>
        <w:tc>
          <w:tcPr>
            <w:tcW w:w="5660" w:type="dxa"/>
            <w:vAlign w:val="bottom"/>
          </w:tcPr>
          <w:p>
            <w:pPr>
              <w:spacing w:after="0"/>
              <w:rPr>
                <w:sz w:val="12"/>
                <w:szCs w:val="12"/>
                <w:color w:val="auto"/>
              </w:rPr>
            </w:pPr>
          </w:p>
        </w:tc>
        <w:tc>
          <w:tcPr>
            <w:tcW w:w="1820" w:type="dxa"/>
            <w:vAlign w:val="bottom"/>
          </w:tcPr>
          <w:p>
            <w:pPr>
              <w:jc w:val="center"/>
              <w:ind w:left="313"/>
              <w:spacing w:after="0" w:line="149" w:lineRule="exact"/>
              <w:rPr>
                <w:sz w:val="20"/>
                <w:szCs w:val="20"/>
                <w:color w:val="auto"/>
              </w:rPr>
            </w:pPr>
            <w:r>
              <w:rPr>
                <w:rFonts w:ascii="Arial" w:cs="Arial" w:eastAsia="Arial" w:hAnsi="Arial"/>
                <w:sz w:val="14"/>
                <w:szCs w:val="14"/>
                <w:b w:val="1"/>
                <w:bCs w:val="1"/>
                <w:color w:val="auto"/>
                <w:w w:val="95"/>
              </w:rPr>
              <w:t>Underlying</w:t>
            </w:r>
          </w:p>
        </w:tc>
      </w:tr>
      <w:tr>
        <w:trPr>
          <w:trHeight w:val="185"/>
        </w:trPr>
        <w:tc>
          <w:tcPr>
            <w:tcW w:w="5660" w:type="dxa"/>
            <w:vAlign w:val="bottom"/>
          </w:tcPr>
          <w:p>
            <w:pPr>
              <w:spacing w:after="0"/>
              <w:rPr>
                <w:sz w:val="20"/>
                <w:szCs w:val="20"/>
                <w:color w:val="auto"/>
              </w:rPr>
            </w:pPr>
            <w:r>
              <w:rPr>
                <w:rFonts w:ascii="Arial" w:cs="Arial" w:eastAsia="Arial" w:hAnsi="Arial"/>
                <w:sz w:val="14"/>
                <w:szCs w:val="14"/>
                <w:b w:val="1"/>
                <w:bCs w:val="1"/>
                <w:color w:val="auto"/>
              </w:rPr>
              <w:t>Individual or Group</w:t>
            </w:r>
          </w:p>
        </w:tc>
        <w:tc>
          <w:tcPr>
            <w:tcW w:w="1820" w:type="dxa"/>
            <w:vAlign w:val="bottom"/>
          </w:tcPr>
          <w:p>
            <w:pPr>
              <w:jc w:val="center"/>
              <w:ind w:left="313"/>
              <w:spacing w:after="0"/>
              <w:rPr>
                <w:sz w:val="20"/>
                <w:szCs w:val="20"/>
                <w:color w:val="auto"/>
              </w:rPr>
            </w:pPr>
            <w:r>
              <w:rPr>
                <w:rFonts w:ascii="Arial" w:cs="Arial" w:eastAsia="Arial" w:hAnsi="Arial"/>
                <w:sz w:val="14"/>
                <w:szCs w:val="14"/>
                <w:b w:val="1"/>
                <w:bCs w:val="1"/>
                <w:color w:val="auto"/>
                <w:w w:val="91"/>
              </w:rPr>
              <w:t>Stock Option Awards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Marc H. Hedrick, M.D.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913,319</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Andrew Sims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311,226</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Norman LaFrance, M.D.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194,981</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Howard Clowes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66,518</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Director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An van Es-Johansson, M.D.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66,518</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Director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Richard J. Hawkins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106,581</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Chairman of the Board</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Robert Lenk, PhD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66,518</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Director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Greg Petersen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66,518</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i w:val="1"/>
                <w:iCs w:val="1"/>
                <w:color w:val="auto"/>
              </w:rPr>
              <w:t>Director</w:t>
            </w:r>
          </w:p>
        </w:tc>
        <w:tc>
          <w:tcPr>
            <w:tcW w:w="18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1,419,526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820" w:type="dxa"/>
            <w:vAlign w:val="bottom"/>
          </w:tcPr>
          <w:p>
            <w:pPr>
              <w:jc w:val="right"/>
              <w:spacing w:after="0"/>
              <w:rPr>
                <w:sz w:val="20"/>
                <w:szCs w:val="20"/>
                <w:color w:val="auto"/>
              </w:rPr>
            </w:pPr>
            <w:r>
              <w:rPr>
                <w:rFonts w:ascii="Arial" w:cs="Arial" w:eastAsia="Arial" w:hAnsi="Arial"/>
                <w:sz w:val="18"/>
                <w:szCs w:val="18"/>
                <w:color w:val="auto"/>
              </w:rPr>
              <w:t>372,653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 nominees for election as a director</w:t>
            </w:r>
          </w:p>
        </w:tc>
        <w:tc>
          <w:tcPr>
            <w:tcW w:w="1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Each associate of any such director, executive officer or nominees</w:t>
            </w: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Each other person who received or is to receive 5% of such awards</w:t>
            </w:r>
          </w:p>
        </w:tc>
        <w:tc>
          <w:tcPr>
            <w:tcW w:w="1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All employees, including current officers who are not executive officers</w:t>
            </w:r>
          </w:p>
        </w:tc>
        <w:tc>
          <w:tcPr>
            <w:tcW w:w="1820" w:type="dxa"/>
            <w:vAlign w:val="bottom"/>
          </w:tcPr>
          <w:p>
            <w:pPr>
              <w:spacing w:after="0"/>
              <w:rPr>
                <w:sz w:val="17"/>
                <w:szCs w:val="17"/>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as a group</w:t>
            </w:r>
          </w:p>
        </w:tc>
        <w:tc>
          <w:tcPr>
            <w:tcW w:w="1820" w:type="dxa"/>
            <w:vAlign w:val="bottom"/>
          </w:tcPr>
          <w:p>
            <w:pPr>
              <w:jc w:val="right"/>
              <w:spacing w:after="0"/>
              <w:rPr>
                <w:sz w:val="20"/>
                <w:szCs w:val="20"/>
                <w:color w:val="auto"/>
              </w:rPr>
            </w:pPr>
            <w:r>
              <w:rPr>
                <w:rFonts w:ascii="Arial" w:cs="Arial" w:eastAsia="Arial" w:hAnsi="Arial"/>
                <w:sz w:val="18"/>
                <w:szCs w:val="18"/>
                <w:color w:val="auto"/>
              </w:rPr>
              <w:t>222,067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proposal to approve the third amendment and restatement of our 2020 Stock Incentive Plan.</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requires the affirmative vote of a majority of the common stock having voting power present in person or represented by proxy at the Annual Meeting. Abstentions are considered present and entitled to vote with respect to this proposal and will, therefore, be treated as votes against this proposal.</w:t>
      </w:r>
    </w:p>
    <w:p>
      <w:pPr>
        <w:spacing w:after="0" w:line="396" w:lineRule="exact"/>
        <w:rPr>
          <w:sz w:val="20"/>
          <w:szCs w:val="20"/>
          <w:color w:val="auto"/>
        </w:rPr>
      </w:pPr>
    </w:p>
    <w:p>
      <w:pPr>
        <w:jc w:val="center"/>
        <w:ind w:left="520" w:right="500"/>
        <w:spacing w:after="0" w:line="282" w:lineRule="auto"/>
        <w:rPr>
          <w:sz w:val="20"/>
          <w:szCs w:val="20"/>
          <w:color w:val="auto"/>
        </w:rPr>
      </w:pPr>
      <w:r>
        <w:rPr>
          <w:rFonts w:ascii="Arial" w:cs="Arial" w:eastAsia="Arial" w:hAnsi="Arial"/>
          <w:sz w:val="18"/>
          <w:szCs w:val="18"/>
          <w:b w:val="1"/>
          <w:bCs w:val="1"/>
          <w:color w:val="auto"/>
        </w:rPr>
        <w:t>YOUR BOARD UNANIMOUSLY RECOMMENDS A VOTE “FOR” THE APPROVAL OF THE THIRD AMENDMENT AND RESTATEMENT OF OUR 2020 STOCK INCENTIVE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440" w:top="270" w:right="5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121"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As of the time of preparation of this Proxy Statement, neither the Board nor management intends to bring before the meeting any business other than the matters referred to in the Notice of Annual Meeting and this Proxy Statement. If any other business should be properly brought before the meeting, or any adjournment or postponement thereof, the designated proxy holders will vote on such matters according to their best judgment.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Stockholders who hold their shares through a bank, broker or other holder of record (a “street-name stockholder”) and share a single address, may receive only one copy of the Proxy Materials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accompanying Annual Report to Stockholders may request a copy by contacting us by telephone at: (737) 255-7194. Please contact your bank, broker or other holder of record if you wish to start or stop householding of our proxy materials.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2024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Deadlines</w:t>
      </w:r>
    </w:p>
    <w:p>
      <w:pPr>
        <w:spacing w:after="0" w:line="117"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Stockholders interested in submitting a proposal for consideration at our 2024 Annual Meeting must do so by sending such proposal to our Corporate Secretary at Plus Therapeutics, Inc., 4200 Marathon Blvd. Suite 200, Austin, TX 78756, Attention: Corporate Secretary. Under the SEC’s proxy rules, the deadline for submission of proposals to be included in our proxy materials for the 2024 Annual Meeting is November 11, 2023. Accordingly, for a stockholder proposal to be considered for inclusion in our proxy materials for the 2024 Annual Meeting, any such stockholder proposal must be received by our Corporate Secretary on or before November 11, 2023 and comply with the procedures and requirements set forth in Rule 14a-8 under the Securities Exchange Act of 1934.</w:t>
      </w:r>
    </w:p>
    <w:p>
      <w:pPr>
        <w:spacing w:after="0" w:line="19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In addition, our bylaws require advance notice of business to be brought before a stockholders’ meeting (other than proposals presented under Rule 14a-8), including nominations of persons for election as directors. To be timely, notice to our Corporate Secretary must be received at our principal executive offices not less than 120 days prior to the anniversary date of the preceding year’s proxy statement. Any stockholder proposal or nomination received after November 11, 2023 (including nominations of persons for election as directors) will be considered untimely and will not be entertained at the annual meeting. In the event we hold the 2024 Annual Meeting of stockholders more than 30 days before or after the one-year anniversary date of the Annual Meeting, a proposal will be considered timely only if received by us a reasonable time before the proxy solicitation is made.</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To comply with the universal proxy rules, stockholders who intend to solicit proxies in support of director nominees other than the company’s nominees must provide notice that sets forth the information required by Rule 14a-19 under the Exchange Act not earlier than the close of business prior to November 11,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the timing requirements referenced above, for any stockholder proposal to be considered for inclusion in our proxy materials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 Annual Meeting, the notice to our Corporate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64" w:name="page65"/>
    <w:bookmarkEnd w:id="6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Secretary must contain certain information concerning the matters to be brought before such meeting and the stockholder proposing such matters. These requirements are more fully described in our Bylaws. We will not entertain any proposals or nominations at the annual meeting that do not meet the additional requirements set forth in our bylaws.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Further, even if a stockholder’s proposal is included in our proxy materials for the 2024 Annual Meeting, if such stockholder does not also comply with the requirements of Rule 14a-4(c)(2) under the Exchange Act, we may exercise discretionary voting authority under proxies that we solicit to vote in accordance with our best judgement on any such stockholder proposal or nomination.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2185670" cy="5918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56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MARC H. HEDRICK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Amended and Restated 2020 Stock Incentive Plan</w:t>
      </w:r>
    </w:p>
    <w:p>
      <w:pPr>
        <w:sectPr>
          <w:pgSz w:w="11900" w:h="16838" w:orient="portrait"/>
          <w:cols w:equalWidth="0" w:num="1">
            <w:col w:w="9019"/>
          </w:cols>
          <w:pgMar w:left="1440" w:top="270"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INCENTIVE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Adopted by the Board of Directors on April 30, 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Approved by the Stockholders on June 16,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by the Board of Directors on March 22, 2021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Approved by the Stockholders on May 17,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Further Amended and Restated by the Board of Directors on March 28, 2022</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Approved by the Stockholders on May 16,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Further Amended and Restated by the Board of Directors on February 24, 2023</w:t>
      </w:r>
    </w:p>
    <w:p>
      <w:pPr>
        <w:spacing w:after="0" w:line="46"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8"/>
              </w:rPr>
              <w:t>Approved by the Stockholders on [</w:t>
            </w:r>
          </w:p>
        </w:tc>
        <w:tc>
          <w:tcPr>
            <w:tcW w:w="700" w:type="dxa"/>
            <w:vAlign w:val="bottom"/>
          </w:tcPr>
          <w:p>
            <w:pPr>
              <w:jc w:val="right"/>
              <w:spacing w:after="0"/>
              <w:rPr>
                <w:sz w:val="20"/>
                <w:szCs w:val="20"/>
                <w:color w:val="auto"/>
              </w:rPr>
            </w:pPr>
            <w:r>
              <w:rPr>
                <w:rFonts w:ascii="Arial" w:cs="Arial" w:eastAsia="Arial" w:hAnsi="Arial"/>
                <w:sz w:val="18"/>
                <w:szCs w:val="18"/>
                <w:color w:val="auto"/>
              </w:rPr>
              <w:t>], 2023</w:t>
            </w:r>
          </w:p>
        </w:tc>
      </w:tr>
    </w:tbl>
    <w:p>
      <w:pPr>
        <w:sectPr>
          <w:pgSz w:w="11900" w:h="16838" w:orient="portrait"/>
          <w:cols w:equalWidth="0" w:num="1">
            <w:col w:w="9019"/>
          </w:cols>
          <w:pgMar w:left="1440" w:top="270" w:right="1440"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800" w:type="dxa"/>
            <w:vAlign w:val="bottom"/>
          </w:tcPr>
          <w:p>
            <w:pPr>
              <w:jc w:val="center"/>
              <w:ind w:right="4030"/>
              <w:spacing w:after="0"/>
              <w:rPr>
                <w:sz w:val="20"/>
                <w:szCs w:val="20"/>
                <w:color w:val="auto"/>
              </w:rPr>
            </w:pPr>
            <w:r>
              <w:rPr>
                <w:rFonts w:ascii="Arial" w:cs="Arial" w:eastAsia="Arial" w:hAnsi="Arial"/>
                <w:sz w:val="18"/>
                <w:szCs w:val="18"/>
                <w:b w:val="1"/>
                <w:bCs w:val="1"/>
                <w:color w:val="auto"/>
                <w:w w:val="89"/>
              </w:rPr>
              <w:t>Table of Contents</w:t>
            </w:r>
          </w:p>
        </w:tc>
      </w:tr>
      <w:tr>
        <w:trPr>
          <w:trHeight w:val="459"/>
        </w:trPr>
        <w:tc>
          <w:tcPr>
            <w:tcW w:w="1120" w:type="dxa"/>
            <w:vAlign w:val="bottom"/>
          </w:tcPr>
          <w:p>
            <w:pPr>
              <w:spacing w:after="0"/>
              <w:rPr>
                <w:sz w:val="20"/>
                <w:szCs w:val="20"/>
                <w:color w:val="auto"/>
              </w:rPr>
            </w:pPr>
            <w:r>
              <w:rPr>
                <w:rFonts w:ascii="Arial" w:cs="Arial" w:eastAsia="Arial" w:hAnsi="Arial"/>
                <w:sz w:val="18"/>
                <w:szCs w:val="18"/>
                <w:color w:val="auto"/>
              </w:rPr>
              <w:t>SECTION 1.</w:t>
            </w:r>
          </w:p>
        </w:tc>
        <w:tc>
          <w:tcPr>
            <w:tcW w:w="3040" w:type="dxa"/>
            <w:vAlign w:val="bottom"/>
          </w:tcPr>
          <w:p>
            <w:pPr>
              <w:ind w:left="180"/>
              <w:spacing w:after="0"/>
              <w:rPr>
                <w:sz w:val="20"/>
                <w:szCs w:val="20"/>
                <w:color w:val="auto"/>
              </w:rPr>
            </w:pPr>
            <w:r>
              <w:rPr>
                <w:rFonts w:ascii="Arial" w:cs="Arial" w:eastAsia="Arial" w:hAnsi="Arial"/>
                <w:sz w:val="18"/>
                <w:szCs w:val="18"/>
                <w:color w:val="auto"/>
                <w:w w:val="97"/>
              </w:rPr>
              <w:t>ESTABLISHMENT AND PURPOSE.</w:t>
            </w:r>
          </w:p>
        </w:tc>
        <w:tc>
          <w:tcPr>
            <w:tcW w:w="6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2.</w:t>
            </w:r>
          </w:p>
        </w:tc>
        <w:tc>
          <w:tcPr>
            <w:tcW w:w="30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w:t>
            </w:r>
          </w:p>
        </w:tc>
        <w:tc>
          <w:tcPr>
            <w:tcW w:w="304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w:t>
            </w:r>
          </w:p>
        </w:tc>
        <w:tc>
          <w:tcPr>
            <w:tcW w:w="3040" w:type="dxa"/>
            <w:vAlign w:val="bottom"/>
          </w:tcPr>
          <w:p>
            <w:pPr>
              <w:ind w:left="180"/>
              <w:spacing w:after="0"/>
              <w:rPr>
                <w:sz w:val="20"/>
                <w:szCs w:val="20"/>
                <w:color w:val="auto"/>
              </w:rPr>
            </w:pPr>
            <w:r>
              <w:rPr>
                <w:rFonts w:ascii="Arial" w:cs="Arial" w:eastAsia="Arial" w:hAnsi="Arial"/>
                <w:sz w:val="18"/>
                <w:szCs w:val="18"/>
                <w:color w:val="auto"/>
              </w:rPr>
              <w:t>“Award”</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(c)</w:t>
            </w:r>
          </w:p>
        </w:tc>
        <w:tc>
          <w:tcPr>
            <w:tcW w:w="3040" w:type="dxa"/>
            <w:vAlign w:val="bottom"/>
          </w:tcPr>
          <w:p>
            <w:pPr>
              <w:ind w:left="180"/>
              <w:spacing w:after="0"/>
              <w:rPr>
                <w:sz w:val="20"/>
                <w:szCs w:val="20"/>
                <w:color w:val="auto"/>
              </w:rPr>
            </w:pPr>
            <w:r>
              <w:rPr>
                <w:rFonts w:ascii="Arial" w:cs="Arial" w:eastAsia="Arial" w:hAnsi="Arial"/>
                <w:sz w:val="18"/>
                <w:szCs w:val="18"/>
                <w:color w:val="auto"/>
              </w:rPr>
              <w:t>“Award Agreement”</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(d)</w:t>
            </w:r>
          </w:p>
        </w:tc>
        <w:tc>
          <w:tcPr>
            <w:tcW w:w="3040" w:type="dxa"/>
            <w:vAlign w:val="bottom"/>
          </w:tcPr>
          <w:p>
            <w:pPr>
              <w:ind w:left="180"/>
              <w:spacing w:after="0"/>
              <w:rPr>
                <w:sz w:val="20"/>
                <w:szCs w:val="20"/>
                <w:color w:val="auto"/>
              </w:rPr>
            </w:pPr>
            <w:r>
              <w:rPr>
                <w:rFonts w:ascii="Arial" w:cs="Arial" w:eastAsia="Arial" w:hAnsi="Arial"/>
                <w:sz w:val="18"/>
                <w:szCs w:val="18"/>
                <w:color w:val="auto"/>
              </w:rPr>
              <w:t>“Board of Directors” or “Board”</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(e)</w:t>
            </w:r>
          </w:p>
        </w:tc>
        <w:tc>
          <w:tcPr>
            <w:tcW w:w="3040" w:type="dxa"/>
            <w:vAlign w:val="bottom"/>
          </w:tcPr>
          <w:p>
            <w:pPr>
              <w:ind w:left="180"/>
              <w:spacing w:after="0"/>
              <w:rPr>
                <w:sz w:val="20"/>
                <w:szCs w:val="20"/>
                <w:color w:val="auto"/>
              </w:rPr>
            </w:pPr>
            <w:r>
              <w:rPr>
                <w:rFonts w:ascii="Arial" w:cs="Arial" w:eastAsia="Arial" w:hAnsi="Arial"/>
                <w:sz w:val="18"/>
                <w:szCs w:val="18"/>
                <w:color w:val="auto"/>
              </w:rPr>
              <w:t>“Cause”</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(f)</w:t>
            </w:r>
          </w:p>
        </w:tc>
        <w:tc>
          <w:tcPr>
            <w:tcW w:w="3040" w:type="dxa"/>
            <w:vAlign w:val="bottom"/>
          </w:tcPr>
          <w:p>
            <w:pPr>
              <w:ind w:left="180"/>
              <w:spacing w:after="0"/>
              <w:rPr>
                <w:sz w:val="20"/>
                <w:szCs w:val="20"/>
                <w:color w:val="auto"/>
              </w:rPr>
            </w:pPr>
            <w:r>
              <w:rPr>
                <w:rFonts w:ascii="Arial" w:cs="Arial" w:eastAsia="Arial" w:hAnsi="Arial"/>
                <w:sz w:val="18"/>
                <w:szCs w:val="18"/>
                <w:color w:val="auto"/>
              </w:rPr>
              <w:t>“Change in Control”</w:t>
            </w:r>
          </w:p>
        </w:tc>
        <w:tc>
          <w:tcPr>
            <w:tcW w:w="6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(g)</w:t>
            </w:r>
          </w:p>
        </w:tc>
        <w:tc>
          <w:tcPr>
            <w:tcW w:w="3040" w:type="dxa"/>
            <w:vAlign w:val="bottom"/>
          </w:tcPr>
          <w:p>
            <w:pPr>
              <w:ind w:left="180"/>
              <w:spacing w:after="0"/>
              <w:rPr>
                <w:sz w:val="20"/>
                <w:szCs w:val="20"/>
                <w:color w:val="auto"/>
              </w:rPr>
            </w:pPr>
            <w:r>
              <w:rPr>
                <w:rFonts w:ascii="Arial" w:cs="Arial" w:eastAsia="Arial" w:hAnsi="Arial"/>
                <w:sz w:val="18"/>
                <w:szCs w:val="18"/>
                <w:color w:val="auto"/>
              </w:rPr>
              <w:t>“Code”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(h)</w:t>
            </w:r>
          </w:p>
        </w:tc>
        <w:tc>
          <w:tcPr>
            <w:tcW w:w="3040" w:type="dxa"/>
            <w:vAlign w:val="bottom"/>
          </w:tcPr>
          <w:p>
            <w:pPr>
              <w:ind w:left="180"/>
              <w:spacing w:after="0"/>
              <w:rPr>
                <w:sz w:val="20"/>
                <w:szCs w:val="20"/>
                <w:color w:val="auto"/>
              </w:rPr>
            </w:pPr>
            <w:r>
              <w:rPr>
                <w:rFonts w:ascii="Arial" w:cs="Arial" w:eastAsia="Arial" w:hAnsi="Arial"/>
                <w:sz w:val="18"/>
                <w:szCs w:val="18"/>
                <w:color w:val="auto"/>
              </w:rPr>
              <w:t>“Committee”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(i)</w:t>
            </w:r>
          </w:p>
        </w:tc>
        <w:tc>
          <w:tcPr>
            <w:tcW w:w="3040" w:type="dxa"/>
            <w:vAlign w:val="bottom"/>
          </w:tcPr>
          <w:p>
            <w:pPr>
              <w:ind w:left="180"/>
              <w:spacing w:after="0"/>
              <w:rPr>
                <w:sz w:val="20"/>
                <w:szCs w:val="20"/>
                <w:color w:val="auto"/>
              </w:rPr>
            </w:pPr>
            <w:r>
              <w:rPr>
                <w:rFonts w:ascii="Arial" w:cs="Arial" w:eastAsia="Arial" w:hAnsi="Arial"/>
                <w:sz w:val="18"/>
                <w:szCs w:val="18"/>
                <w:color w:val="auto"/>
              </w:rPr>
              <w:t>“Company”</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(j)</w:t>
            </w:r>
          </w:p>
        </w:tc>
        <w:tc>
          <w:tcPr>
            <w:tcW w:w="3040" w:type="dxa"/>
            <w:vAlign w:val="bottom"/>
          </w:tcPr>
          <w:p>
            <w:pPr>
              <w:ind w:left="180"/>
              <w:spacing w:after="0"/>
              <w:rPr>
                <w:sz w:val="20"/>
                <w:szCs w:val="20"/>
                <w:color w:val="auto"/>
              </w:rPr>
            </w:pPr>
            <w:r>
              <w:rPr>
                <w:rFonts w:ascii="Arial" w:cs="Arial" w:eastAsia="Arial" w:hAnsi="Arial"/>
                <w:sz w:val="18"/>
                <w:szCs w:val="18"/>
                <w:color w:val="auto"/>
              </w:rPr>
              <w:t>“Consultant”</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(k)</w:t>
            </w:r>
          </w:p>
        </w:tc>
        <w:tc>
          <w:tcPr>
            <w:tcW w:w="3040" w:type="dxa"/>
            <w:vAlign w:val="bottom"/>
          </w:tcPr>
          <w:p>
            <w:pPr>
              <w:ind w:left="180"/>
              <w:spacing w:after="0"/>
              <w:rPr>
                <w:sz w:val="20"/>
                <w:szCs w:val="20"/>
                <w:color w:val="auto"/>
              </w:rPr>
            </w:pPr>
            <w:r>
              <w:rPr>
                <w:rFonts w:ascii="Arial" w:cs="Arial" w:eastAsia="Arial" w:hAnsi="Arial"/>
                <w:sz w:val="18"/>
                <w:szCs w:val="18"/>
                <w:color w:val="auto"/>
              </w:rPr>
              <w:t>“Disability”</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(l)</w:t>
            </w:r>
          </w:p>
        </w:tc>
        <w:tc>
          <w:tcPr>
            <w:tcW w:w="304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(m)</w:t>
            </w:r>
          </w:p>
        </w:tc>
        <w:tc>
          <w:tcPr>
            <w:tcW w:w="3040" w:type="dxa"/>
            <w:vAlign w:val="bottom"/>
          </w:tcPr>
          <w:p>
            <w:pPr>
              <w:ind w:left="180"/>
              <w:spacing w:after="0"/>
              <w:rPr>
                <w:sz w:val="20"/>
                <w:szCs w:val="20"/>
                <w:color w:val="auto"/>
              </w:rPr>
            </w:pPr>
            <w:r>
              <w:rPr>
                <w:rFonts w:ascii="Arial" w:cs="Arial" w:eastAsia="Arial" w:hAnsi="Arial"/>
                <w:sz w:val="18"/>
                <w:szCs w:val="18"/>
                <w:color w:val="auto"/>
              </w:rPr>
              <w:t>“Employee”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(n)</w:t>
            </w:r>
          </w:p>
        </w:tc>
        <w:tc>
          <w:tcPr>
            <w:tcW w:w="3040" w:type="dxa"/>
            <w:vAlign w:val="bottom"/>
          </w:tcPr>
          <w:p>
            <w:pPr>
              <w:ind w:left="180"/>
              <w:spacing w:after="0"/>
              <w:rPr>
                <w:sz w:val="20"/>
                <w:szCs w:val="20"/>
                <w:color w:val="auto"/>
              </w:rPr>
            </w:pPr>
            <w:r>
              <w:rPr>
                <w:rFonts w:ascii="Arial" w:cs="Arial" w:eastAsia="Arial" w:hAnsi="Arial"/>
                <w:sz w:val="18"/>
                <w:szCs w:val="18"/>
                <w:color w:val="auto"/>
              </w:rPr>
              <w:t>“Exchange Act”</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(o)</w:t>
            </w:r>
          </w:p>
        </w:tc>
        <w:tc>
          <w:tcPr>
            <w:tcW w:w="3040" w:type="dxa"/>
            <w:vAlign w:val="bottom"/>
          </w:tcPr>
          <w:p>
            <w:pPr>
              <w:ind w:left="180"/>
              <w:spacing w:after="0"/>
              <w:rPr>
                <w:sz w:val="20"/>
                <w:szCs w:val="20"/>
                <w:color w:val="auto"/>
              </w:rPr>
            </w:pPr>
            <w:r>
              <w:rPr>
                <w:rFonts w:ascii="Arial" w:cs="Arial" w:eastAsia="Arial" w:hAnsi="Arial"/>
                <w:sz w:val="18"/>
                <w:szCs w:val="18"/>
                <w:color w:val="auto"/>
              </w:rPr>
              <w:t>“Exercise Price”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(p)</w:t>
            </w:r>
          </w:p>
        </w:tc>
        <w:tc>
          <w:tcPr>
            <w:tcW w:w="3040" w:type="dxa"/>
            <w:vAlign w:val="bottom"/>
          </w:tcPr>
          <w:p>
            <w:pPr>
              <w:ind w:left="180"/>
              <w:spacing w:after="0"/>
              <w:rPr>
                <w:sz w:val="20"/>
                <w:szCs w:val="20"/>
                <w:color w:val="auto"/>
              </w:rPr>
            </w:pPr>
            <w:r>
              <w:rPr>
                <w:rFonts w:ascii="Arial" w:cs="Arial" w:eastAsia="Arial" w:hAnsi="Arial"/>
                <w:sz w:val="18"/>
                <w:szCs w:val="18"/>
                <w:color w:val="auto"/>
              </w:rPr>
              <w:t>“Fair Market Value”</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(q)</w:t>
            </w:r>
          </w:p>
        </w:tc>
        <w:tc>
          <w:tcPr>
            <w:tcW w:w="3040" w:type="dxa"/>
            <w:vAlign w:val="bottom"/>
          </w:tcPr>
          <w:p>
            <w:pPr>
              <w:ind w:left="180"/>
              <w:spacing w:after="0"/>
              <w:rPr>
                <w:sz w:val="20"/>
                <w:szCs w:val="20"/>
                <w:color w:val="auto"/>
              </w:rPr>
            </w:pPr>
            <w:r>
              <w:rPr>
                <w:rFonts w:ascii="Arial" w:cs="Arial" w:eastAsia="Arial" w:hAnsi="Arial"/>
                <w:sz w:val="18"/>
                <w:szCs w:val="18"/>
                <w:color w:val="auto"/>
              </w:rPr>
              <w:t>“ISO”</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(r)</w:t>
            </w:r>
          </w:p>
        </w:tc>
        <w:tc>
          <w:tcPr>
            <w:tcW w:w="3040" w:type="dxa"/>
            <w:vAlign w:val="bottom"/>
          </w:tcPr>
          <w:p>
            <w:pPr>
              <w:ind w:left="180"/>
              <w:spacing w:after="0"/>
              <w:rPr>
                <w:sz w:val="20"/>
                <w:szCs w:val="20"/>
                <w:color w:val="auto"/>
              </w:rPr>
            </w:pPr>
            <w:r>
              <w:rPr>
                <w:rFonts w:ascii="Arial" w:cs="Arial" w:eastAsia="Arial" w:hAnsi="Arial"/>
                <w:sz w:val="18"/>
                <w:szCs w:val="18"/>
                <w:color w:val="auto"/>
              </w:rPr>
              <w:t>“Nonstatutory Option” or “NSO”</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(s)</w:t>
            </w:r>
          </w:p>
        </w:tc>
        <w:tc>
          <w:tcPr>
            <w:tcW w:w="3040" w:type="dxa"/>
            <w:vAlign w:val="bottom"/>
          </w:tcPr>
          <w:p>
            <w:pPr>
              <w:ind w:left="180"/>
              <w:spacing w:after="0"/>
              <w:rPr>
                <w:sz w:val="20"/>
                <w:szCs w:val="20"/>
                <w:color w:val="auto"/>
              </w:rPr>
            </w:pPr>
            <w:r>
              <w:rPr>
                <w:rFonts w:ascii="Arial" w:cs="Arial" w:eastAsia="Arial" w:hAnsi="Arial"/>
                <w:sz w:val="18"/>
                <w:szCs w:val="18"/>
                <w:color w:val="auto"/>
              </w:rPr>
              <w:t>“Offeree”</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(t)</w:t>
            </w:r>
          </w:p>
        </w:tc>
        <w:tc>
          <w:tcPr>
            <w:tcW w:w="3040" w:type="dxa"/>
            <w:vAlign w:val="bottom"/>
          </w:tcPr>
          <w:p>
            <w:pPr>
              <w:ind w:left="180"/>
              <w:spacing w:after="0"/>
              <w:rPr>
                <w:sz w:val="20"/>
                <w:szCs w:val="20"/>
                <w:color w:val="auto"/>
              </w:rPr>
            </w:pPr>
            <w:r>
              <w:rPr>
                <w:rFonts w:ascii="Arial" w:cs="Arial" w:eastAsia="Arial" w:hAnsi="Arial"/>
                <w:sz w:val="18"/>
                <w:szCs w:val="18"/>
                <w:color w:val="auto"/>
              </w:rPr>
              <w:t>“Option”</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(u)</w:t>
            </w:r>
          </w:p>
        </w:tc>
        <w:tc>
          <w:tcPr>
            <w:tcW w:w="3040" w:type="dxa"/>
            <w:vAlign w:val="bottom"/>
          </w:tcPr>
          <w:p>
            <w:pPr>
              <w:ind w:left="180"/>
              <w:spacing w:after="0"/>
              <w:rPr>
                <w:sz w:val="20"/>
                <w:szCs w:val="20"/>
                <w:color w:val="auto"/>
              </w:rPr>
            </w:pPr>
            <w:r>
              <w:rPr>
                <w:rFonts w:ascii="Arial" w:cs="Arial" w:eastAsia="Arial" w:hAnsi="Arial"/>
                <w:sz w:val="18"/>
                <w:szCs w:val="18"/>
                <w:color w:val="auto"/>
              </w:rPr>
              <w:t>“Optionee”</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(v)</w:t>
            </w:r>
          </w:p>
        </w:tc>
        <w:tc>
          <w:tcPr>
            <w:tcW w:w="3040" w:type="dxa"/>
            <w:vAlign w:val="bottom"/>
          </w:tcPr>
          <w:p>
            <w:pPr>
              <w:ind w:left="180"/>
              <w:spacing w:after="0"/>
              <w:rPr>
                <w:sz w:val="20"/>
                <w:szCs w:val="20"/>
                <w:color w:val="auto"/>
              </w:rPr>
            </w:pPr>
            <w:r>
              <w:rPr>
                <w:rFonts w:ascii="Arial" w:cs="Arial" w:eastAsia="Arial" w:hAnsi="Arial"/>
                <w:sz w:val="18"/>
                <w:szCs w:val="18"/>
                <w:color w:val="auto"/>
              </w:rPr>
              <w:t>“Outside Director”</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(w)</w:t>
            </w:r>
          </w:p>
        </w:tc>
        <w:tc>
          <w:tcPr>
            <w:tcW w:w="3040" w:type="dxa"/>
            <w:vAlign w:val="bottom"/>
          </w:tcPr>
          <w:p>
            <w:pPr>
              <w:ind w:left="180"/>
              <w:spacing w:after="0"/>
              <w:rPr>
                <w:sz w:val="20"/>
                <w:szCs w:val="20"/>
                <w:color w:val="auto"/>
              </w:rPr>
            </w:pPr>
            <w:r>
              <w:rPr>
                <w:rFonts w:ascii="Arial" w:cs="Arial" w:eastAsia="Arial" w:hAnsi="Arial"/>
                <w:sz w:val="18"/>
                <w:szCs w:val="18"/>
                <w:color w:val="auto"/>
              </w:rPr>
              <w:t>“Parent”</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(x)</w:t>
            </w:r>
          </w:p>
        </w:tc>
        <w:tc>
          <w:tcPr>
            <w:tcW w:w="3040" w:type="dxa"/>
            <w:vAlign w:val="bottom"/>
          </w:tcPr>
          <w:p>
            <w:pPr>
              <w:ind w:left="180"/>
              <w:spacing w:after="0"/>
              <w:rPr>
                <w:sz w:val="20"/>
                <w:szCs w:val="20"/>
                <w:color w:val="auto"/>
              </w:rPr>
            </w:pPr>
            <w:r>
              <w:rPr>
                <w:rFonts w:ascii="Arial" w:cs="Arial" w:eastAsia="Arial" w:hAnsi="Arial"/>
                <w:sz w:val="18"/>
                <w:szCs w:val="18"/>
                <w:color w:val="auto"/>
              </w:rPr>
              <w:t>“Participant”</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(y)</w:t>
            </w:r>
          </w:p>
        </w:tc>
        <w:tc>
          <w:tcPr>
            <w:tcW w:w="3040" w:type="dxa"/>
            <w:vAlign w:val="bottom"/>
          </w:tcPr>
          <w:p>
            <w:pPr>
              <w:ind w:left="180"/>
              <w:spacing w:after="0"/>
              <w:rPr>
                <w:sz w:val="20"/>
                <w:szCs w:val="20"/>
                <w:color w:val="auto"/>
              </w:rPr>
            </w:pPr>
            <w:r>
              <w:rPr>
                <w:rFonts w:ascii="Arial" w:cs="Arial" w:eastAsia="Arial" w:hAnsi="Arial"/>
                <w:sz w:val="18"/>
                <w:szCs w:val="18"/>
                <w:color w:val="auto"/>
              </w:rPr>
              <w:t>“Plan”</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(z)</w:t>
            </w:r>
          </w:p>
        </w:tc>
        <w:tc>
          <w:tcPr>
            <w:tcW w:w="304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(aa)</w:t>
            </w:r>
          </w:p>
        </w:tc>
        <w:tc>
          <w:tcPr>
            <w:tcW w:w="3040" w:type="dxa"/>
            <w:vAlign w:val="bottom"/>
          </w:tcPr>
          <w:p>
            <w:pPr>
              <w:ind w:left="180"/>
              <w:spacing w:after="0"/>
              <w:rPr>
                <w:sz w:val="20"/>
                <w:szCs w:val="20"/>
                <w:color w:val="auto"/>
              </w:rPr>
            </w:pPr>
            <w:r>
              <w:rPr>
                <w:rFonts w:ascii="Arial" w:cs="Arial" w:eastAsia="Arial" w:hAnsi="Arial"/>
                <w:sz w:val="18"/>
                <w:szCs w:val="18"/>
                <w:color w:val="auto"/>
              </w:rPr>
              <w:t>“Restricted Share”</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(bb)</w:t>
            </w:r>
          </w:p>
        </w:tc>
        <w:tc>
          <w:tcPr>
            <w:tcW w:w="3040" w:type="dxa"/>
            <w:vAlign w:val="bottom"/>
          </w:tcPr>
          <w:p>
            <w:pPr>
              <w:ind w:left="180"/>
              <w:spacing w:after="0"/>
              <w:rPr>
                <w:sz w:val="20"/>
                <w:szCs w:val="20"/>
                <w:color w:val="auto"/>
              </w:rPr>
            </w:pPr>
            <w:r>
              <w:rPr>
                <w:rFonts w:ascii="Arial" w:cs="Arial" w:eastAsia="Arial" w:hAnsi="Arial"/>
                <w:sz w:val="18"/>
                <w:szCs w:val="18"/>
                <w:color w:val="auto"/>
              </w:rPr>
              <w:t>“Restricted Share Agreement”</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0"/>
        </w:trPr>
        <w:tc>
          <w:tcPr>
            <w:tcW w:w="1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00" w:type="dxa"/>
            <w:vAlign w:val="bottom"/>
          </w:tcPr>
          <w:p>
            <w:pPr>
              <w:jc w:val="center"/>
              <w:ind w:right="4010"/>
              <w:spacing w:after="0"/>
              <w:rPr>
                <w:sz w:val="20"/>
                <w:szCs w:val="20"/>
                <w:color w:val="auto"/>
              </w:rPr>
            </w:pPr>
            <w:r>
              <w:rPr>
                <w:rFonts w:ascii="Arial" w:cs="Arial" w:eastAsia="Arial" w:hAnsi="Arial"/>
                <w:sz w:val="18"/>
                <w:szCs w:val="18"/>
                <w:color w:val="auto"/>
                <w:w w:val="95"/>
              </w:rPr>
              <w:t>PLUS THERAPEUTICS, INC.</w:t>
            </w:r>
          </w:p>
        </w:tc>
      </w:tr>
      <w:tr>
        <w:trPr>
          <w:trHeight w:val="230"/>
        </w:trPr>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800" w:type="dxa"/>
            <w:vAlign w:val="bottom"/>
          </w:tcPr>
          <w:p>
            <w:pPr>
              <w:jc w:val="center"/>
              <w:ind w:right="4030"/>
              <w:spacing w:after="0"/>
              <w:rPr>
                <w:sz w:val="20"/>
                <w:szCs w:val="20"/>
                <w:color w:val="auto"/>
              </w:rPr>
            </w:pPr>
            <w:r>
              <w:rPr>
                <w:rFonts w:ascii="Arial" w:cs="Arial" w:eastAsia="Arial" w:hAnsi="Arial"/>
                <w:sz w:val="18"/>
                <w:szCs w:val="18"/>
                <w:color w:val="auto"/>
                <w:w w:val="96"/>
              </w:rPr>
              <w:t>2020 STOCK INCENTIVE PLAN</w:t>
            </w: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70"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(cc)</w:t>
            </w:r>
          </w:p>
        </w:tc>
        <w:tc>
          <w:tcPr>
            <w:tcW w:w="6560" w:type="dxa"/>
            <w:vAlign w:val="bottom"/>
          </w:tcPr>
          <w:p>
            <w:pPr>
              <w:ind w:left="180"/>
              <w:spacing w:after="0"/>
              <w:rPr>
                <w:sz w:val="20"/>
                <w:szCs w:val="20"/>
                <w:color w:val="auto"/>
              </w:rPr>
            </w:pPr>
            <w:r>
              <w:rPr>
                <w:rFonts w:ascii="Arial" w:cs="Arial" w:eastAsia="Arial" w:hAnsi="Arial"/>
                <w:sz w:val="18"/>
                <w:szCs w:val="18"/>
                <w:color w:val="auto"/>
              </w:rPr>
              <w:t>“SAR”</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(dd)</w:t>
            </w:r>
          </w:p>
        </w:tc>
        <w:tc>
          <w:tcPr>
            <w:tcW w:w="6560" w:type="dxa"/>
            <w:vAlign w:val="bottom"/>
          </w:tcPr>
          <w:p>
            <w:pPr>
              <w:ind w:left="180"/>
              <w:spacing w:after="0"/>
              <w:rPr>
                <w:sz w:val="20"/>
                <w:szCs w:val="20"/>
                <w:color w:val="auto"/>
              </w:rPr>
            </w:pPr>
            <w:r>
              <w:rPr>
                <w:rFonts w:ascii="Arial" w:cs="Arial" w:eastAsia="Arial" w:hAnsi="Arial"/>
                <w:sz w:val="18"/>
                <w:szCs w:val="18"/>
                <w:color w:val="auto"/>
              </w:rPr>
              <w:t>“SAR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(ee)</w:t>
            </w:r>
          </w:p>
        </w:tc>
        <w:tc>
          <w:tcPr>
            <w:tcW w:w="6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(ff)</w:t>
            </w:r>
          </w:p>
        </w:tc>
        <w:tc>
          <w:tcPr>
            <w:tcW w:w="6560" w:type="dxa"/>
            <w:vAlign w:val="bottom"/>
          </w:tcPr>
          <w:p>
            <w:pPr>
              <w:ind w:left="180"/>
              <w:spacing w:after="0"/>
              <w:rPr>
                <w:sz w:val="20"/>
                <w:szCs w:val="20"/>
                <w:color w:val="auto"/>
              </w:rPr>
            </w:pPr>
            <w:r>
              <w:rPr>
                <w:rFonts w:ascii="Arial" w:cs="Arial" w:eastAsia="Arial" w:hAnsi="Arial"/>
                <w:sz w:val="18"/>
                <w:szCs w:val="18"/>
                <w:color w:val="auto"/>
              </w:rPr>
              <w:t>“Share”</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(gg)</w:t>
            </w:r>
          </w:p>
        </w:tc>
        <w:tc>
          <w:tcPr>
            <w:tcW w:w="6560" w:type="dxa"/>
            <w:vAlign w:val="bottom"/>
          </w:tcPr>
          <w:p>
            <w:pPr>
              <w:ind w:left="180"/>
              <w:spacing w:after="0"/>
              <w:rPr>
                <w:sz w:val="20"/>
                <w:szCs w:val="20"/>
                <w:color w:val="auto"/>
              </w:rPr>
            </w:pPr>
            <w:r>
              <w:rPr>
                <w:rFonts w:ascii="Arial" w:cs="Arial" w:eastAsia="Arial" w:hAnsi="Arial"/>
                <w:sz w:val="18"/>
                <w:szCs w:val="18"/>
                <w:color w:val="auto"/>
              </w:rPr>
              <w:t>“Stock”</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(hh)</w:t>
            </w:r>
          </w:p>
        </w:tc>
        <w:tc>
          <w:tcPr>
            <w:tcW w:w="6560" w:type="dxa"/>
            <w:vAlign w:val="bottom"/>
          </w:tcPr>
          <w:p>
            <w:pPr>
              <w:ind w:left="180"/>
              <w:spacing w:after="0"/>
              <w:rPr>
                <w:sz w:val="20"/>
                <w:szCs w:val="20"/>
                <w:color w:val="auto"/>
              </w:rPr>
            </w:pPr>
            <w:r>
              <w:rPr>
                <w:rFonts w:ascii="Arial" w:cs="Arial" w:eastAsia="Arial" w:hAnsi="Arial"/>
                <w:sz w:val="18"/>
                <w:szCs w:val="18"/>
                <w:color w:val="auto"/>
              </w:rPr>
              <w:t>“Stock Option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(ii)</w:t>
            </w:r>
          </w:p>
        </w:tc>
        <w:tc>
          <w:tcPr>
            <w:tcW w:w="6560" w:type="dxa"/>
            <w:vAlign w:val="bottom"/>
          </w:tcPr>
          <w:p>
            <w:pPr>
              <w:ind w:left="180"/>
              <w:spacing w:after="0"/>
              <w:rPr>
                <w:sz w:val="20"/>
                <w:szCs w:val="20"/>
                <w:color w:val="auto"/>
              </w:rPr>
            </w:pPr>
            <w:r>
              <w:rPr>
                <w:rFonts w:ascii="Arial" w:cs="Arial" w:eastAsia="Arial" w:hAnsi="Arial"/>
                <w:sz w:val="18"/>
                <w:szCs w:val="18"/>
                <w:color w:val="auto"/>
              </w:rPr>
              <w:t>“Stock Unit”</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(jj)</w:t>
            </w:r>
          </w:p>
        </w:tc>
        <w:tc>
          <w:tcPr>
            <w:tcW w:w="6560" w:type="dxa"/>
            <w:vAlign w:val="bottom"/>
          </w:tcPr>
          <w:p>
            <w:pPr>
              <w:ind w:left="180"/>
              <w:spacing w:after="0"/>
              <w:rPr>
                <w:sz w:val="20"/>
                <w:szCs w:val="20"/>
                <w:color w:val="auto"/>
              </w:rPr>
            </w:pPr>
            <w:r>
              <w:rPr>
                <w:rFonts w:ascii="Arial" w:cs="Arial" w:eastAsia="Arial" w:hAnsi="Arial"/>
                <w:sz w:val="18"/>
                <w:szCs w:val="18"/>
                <w:color w:val="auto"/>
              </w:rPr>
              <w:t>“Stock Unit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(kk)</w:t>
            </w:r>
          </w:p>
        </w:tc>
        <w:tc>
          <w:tcPr>
            <w:tcW w:w="6560" w:type="dxa"/>
            <w:vAlign w:val="bottom"/>
          </w:tcPr>
          <w:p>
            <w:pPr>
              <w:ind w:left="180"/>
              <w:spacing w:after="0"/>
              <w:rPr>
                <w:sz w:val="20"/>
                <w:szCs w:val="20"/>
                <w:color w:val="auto"/>
              </w:rPr>
            </w:pPr>
            <w:r>
              <w:rPr>
                <w:rFonts w:ascii="Arial" w:cs="Arial" w:eastAsia="Arial" w:hAnsi="Arial"/>
                <w:sz w:val="18"/>
                <w:szCs w:val="18"/>
                <w:color w:val="auto"/>
              </w:rPr>
              <w:t>“Subsidiary”</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w:t>
            </w:r>
          </w:p>
        </w:tc>
        <w:tc>
          <w:tcPr>
            <w:tcW w:w="6560" w:type="dxa"/>
            <w:vAlign w:val="bottom"/>
          </w:tcPr>
          <w:p>
            <w:pPr>
              <w:ind w:left="180"/>
              <w:spacing w:after="0"/>
              <w:rPr>
                <w:sz w:val="20"/>
                <w:szCs w:val="20"/>
                <w:color w:val="auto"/>
              </w:rPr>
            </w:pPr>
            <w:r>
              <w:rPr>
                <w:rFonts w:ascii="Arial" w:cs="Arial" w:eastAsia="Arial" w:hAnsi="Arial"/>
                <w:sz w:val="18"/>
                <w:szCs w:val="18"/>
                <w:color w:val="auto"/>
              </w:rPr>
              <w:t>ADMINISTRATION.</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w:t>
            </w:r>
          </w:p>
        </w:tc>
        <w:tc>
          <w:tcPr>
            <w:tcW w:w="6560" w:type="dxa"/>
            <w:vAlign w:val="bottom"/>
          </w:tcPr>
          <w:p>
            <w:pPr>
              <w:ind w:left="180"/>
              <w:spacing w:after="0"/>
              <w:rPr>
                <w:sz w:val="20"/>
                <w:szCs w:val="20"/>
                <w:color w:val="auto"/>
              </w:rPr>
            </w:pPr>
            <w:r>
              <w:rPr>
                <w:rFonts w:ascii="Arial" w:cs="Arial" w:eastAsia="Arial" w:hAnsi="Arial"/>
                <w:sz w:val="18"/>
                <w:szCs w:val="18"/>
                <w:color w:val="auto"/>
              </w:rPr>
              <w:t>Committee Composition</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w:t>
            </w:r>
          </w:p>
        </w:tc>
        <w:tc>
          <w:tcPr>
            <w:tcW w:w="6560" w:type="dxa"/>
            <w:vAlign w:val="bottom"/>
          </w:tcPr>
          <w:p>
            <w:pPr>
              <w:ind w:left="180"/>
              <w:spacing w:after="0"/>
              <w:rPr>
                <w:sz w:val="20"/>
                <w:szCs w:val="20"/>
                <w:color w:val="auto"/>
              </w:rPr>
            </w:pPr>
            <w:r>
              <w:rPr>
                <w:rFonts w:ascii="Arial" w:cs="Arial" w:eastAsia="Arial" w:hAnsi="Arial"/>
                <w:sz w:val="18"/>
                <w:szCs w:val="18"/>
                <w:color w:val="auto"/>
              </w:rPr>
              <w:t>Committee for Non-Officer Grants</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(c)</w:t>
            </w:r>
          </w:p>
        </w:tc>
        <w:tc>
          <w:tcPr>
            <w:tcW w:w="6560" w:type="dxa"/>
            <w:vAlign w:val="bottom"/>
          </w:tcPr>
          <w:p>
            <w:pPr>
              <w:ind w:left="180"/>
              <w:spacing w:after="0"/>
              <w:rPr>
                <w:sz w:val="20"/>
                <w:szCs w:val="20"/>
                <w:color w:val="auto"/>
              </w:rPr>
            </w:pPr>
            <w:r>
              <w:rPr>
                <w:rFonts w:ascii="Arial" w:cs="Arial" w:eastAsia="Arial" w:hAnsi="Arial"/>
                <w:sz w:val="18"/>
                <w:szCs w:val="18"/>
                <w:color w:val="auto"/>
              </w:rPr>
              <w:t>Committee Procedures</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(d)</w:t>
            </w:r>
          </w:p>
        </w:tc>
        <w:tc>
          <w:tcPr>
            <w:tcW w:w="6560" w:type="dxa"/>
            <w:vAlign w:val="bottom"/>
          </w:tcPr>
          <w:p>
            <w:pPr>
              <w:ind w:left="180"/>
              <w:spacing w:after="0"/>
              <w:rPr>
                <w:sz w:val="20"/>
                <w:szCs w:val="20"/>
                <w:color w:val="auto"/>
              </w:rPr>
            </w:pPr>
            <w:r>
              <w:rPr>
                <w:rFonts w:ascii="Arial" w:cs="Arial" w:eastAsia="Arial" w:hAnsi="Arial"/>
                <w:sz w:val="18"/>
                <w:szCs w:val="18"/>
                <w:color w:val="auto"/>
              </w:rPr>
              <w:t>Committee Responsibilities</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(e)</w:t>
            </w:r>
          </w:p>
        </w:tc>
        <w:tc>
          <w:tcPr>
            <w:tcW w:w="6560" w:type="dxa"/>
            <w:vAlign w:val="bottom"/>
          </w:tcPr>
          <w:p>
            <w:pPr>
              <w:ind w:left="180"/>
              <w:spacing w:after="0"/>
              <w:rPr>
                <w:sz w:val="20"/>
                <w:szCs w:val="20"/>
                <w:color w:val="auto"/>
              </w:rPr>
            </w:pPr>
            <w:r>
              <w:rPr>
                <w:rFonts w:ascii="Arial" w:cs="Arial" w:eastAsia="Arial" w:hAnsi="Arial"/>
                <w:sz w:val="18"/>
                <w:szCs w:val="18"/>
                <w:color w:val="auto"/>
              </w:rPr>
              <w:t>Cancellation and Re-Grant of Stock Awards</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4.</w:t>
            </w:r>
          </w:p>
        </w:tc>
        <w:tc>
          <w:tcPr>
            <w:tcW w:w="6560" w:type="dxa"/>
            <w:vAlign w:val="bottom"/>
          </w:tcPr>
          <w:p>
            <w:pPr>
              <w:ind w:left="180"/>
              <w:spacing w:after="0"/>
              <w:rPr>
                <w:sz w:val="20"/>
                <w:szCs w:val="20"/>
                <w:color w:val="auto"/>
              </w:rPr>
            </w:pPr>
            <w:r>
              <w:rPr>
                <w:rFonts w:ascii="Arial" w:cs="Arial" w:eastAsia="Arial" w:hAnsi="Arial"/>
                <w:sz w:val="18"/>
                <w:szCs w:val="18"/>
                <w:color w:val="auto"/>
              </w:rPr>
              <w:t>ELIGIBILITY.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w:t>
            </w:r>
          </w:p>
        </w:tc>
        <w:tc>
          <w:tcPr>
            <w:tcW w:w="6560" w:type="dxa"/>
            <w:vAlign w:val="bottom"/>
          </w:tcPr>
          <w:p>
            <w:pPr>
              <w:ind w:left="180"/>
              <w:spacing w:after="0"/>
              <w:rPr>
                <w:sz w:val="20"/>
                <w:szCs w:val="20"/>
                <w:color w:val="auto"/>
              </w:rPr>
            </w:pPr>
            <w:r>
              <w:rPr>
                <w:rFonts w:ascii="Arial" w:cs="Arial" w:eastAsia="Arial" w:hAnsi="Arial"/>
                <w:sz w:val="18"/>
                <w:szCs w:val="18"/>
                <w:color w:val="auto"/>
              </w:rPr>
              <w:t>General Rule</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w:t>
            </w:r>
          </w:p>
        </w:tc>
        <w:tc>
          <w:tcPr>
            <w:tcW w:w="6560" w:type="dxa"/>
            <w:vAlign w:val="bottom"/>
          </w:tcPr>
          <w:p>
            <w:pPr>
              <w:ind w:left="180"/>
              <w:spacing w:after="0"/>
              <w:rPr>
                <w:sz w:val="20"/>
                <w:szCs w:val="20"/>
                <w:color w:val="auto"/>
              </w:rPr>
            </w:pPr>
            <w:r>
              <w:rPr>
                <w:rFonts w:ascii="Arial" w:cs="Arial" w:eastAsia="Arial" w:hAnsi="Arial"/>
                <w:sz w:val="18"/>
                <w:szCs w:val="18"/>
                <w:color w:val="auto"/>
              </w:rPr>
              <w:t>Limit on Grants to Outside Directors</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(c)</w:t>
            </w:r>
          </w:p>
        </w:tc>
        <w:tc>
          <w:tcPr>
            <w:tcW w:w="6560" w:type="dxa"/>
            <w:vAlign w:val="bottom"/>
          </w:tcPr>
          <w:p>
            <w:pPr>
              <w:ind w:left="180"/>
              <w:spacing w:after="0"/>
              <w:rPr>
                <w:sz w:val="20"/>
                <w:szCs w:val="20"/>
                <w:color w:val="auto"/>
              </w:rPr>
            </w:pPr>
            <w:r>
              <w:rPr>
                <w:rFonts w:ascii="Arial" w:cs="Arial" w:eastAsia="Arial" w:hAnsi="Arial"/>
                <w:sz w:val="18"/>
                <w:szCs w:val="18"/>
                <w:color w:val="auto"/>
              </w:rPr>
              <w:t>Ten-Percent Stockholders</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(d)</w:t>
            </w:r>
          </w:p>
        </w:tc>
        <w:tc>
          <w:tcPr>
            <w:tcW w:w="6560" w:type="dxa"/>
            <w:vAlign w:val="bottom"/>
          </w:tcPr>
          <w:p>
            <w:pPr>
              <w:ind w:left="180"/>
              <w:spacing w:after="0"/>
              <w:rPr>
                <w:sz w:val="20"/>
                <w:szCs w:val="20"/>
                <w:color w:val="auto"/>
              </w:rPr>
            </w:pPr>
            <w:r>
              <w:rPr>
                <w:rFonts w:ascii="Arial" w:cs="Arial" w:eastAsia="Arial" w:hAnsi="Arial"/>
                <w:sz w:val="18"/>
                <w:szCs w:val="18"/>
                <w:color w:val="auto"/>
              </w:rPr>
              <w:t>Attribution Rules</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(e)</w:t>
            </w:r>
          </w:p>
        </w:tc>
        <w:tc>
          <w:tcPr>
            <w:tcW w:w="6560" w:type="dxa"/>
            <w:vAlign w:val="bottom"/>
          </w:tcPr>
          <w:p>
            <w:pPr>
              <w:ind w:left="180"/>
              <w:spacing w:after="0"/>
              <w:rPr>
                <w:sz w:val="20"/>
                <w:szCs w:val="20"/>
                <w:color w:val="auto"/>
              </w:rPr>
            </w:pPr>
            <w:r>
              <w:rPr>
                <w:rFonts w:ascii="Arial" w:cs="Arial" w:eastAsia="Arial" w:hAnsi="Arial"/>
                <w:sz w:val="18"/>
                <w:szCs w:val="18"/>
                <w:color w:val="auto"/>
              </w:rPr>
              <w:t>Outstanding Stock</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w:t>
            </w:r>
          </w:p>
        </w:tc>
        <w:tc>
          <w:tcPr>
            <w:tcW w:w="6560" w:type="dxa"/>
            <w:vAlign w:val="bottom"/>
          </w:tcPr>
          <w:p>
            <w:pPr>
              <w:ind w:left="180"/>
              <w:spacing w:after="0"/>
              <w:rPr>
                <w:sz w:val="20"/>
                <w:szCs w:val="20"/>
                <w:color w:val="auto"/>
              </w:rPr>
            </w:pPr>
            <w:r>
              <w:rPr>
                <w:rFonts w:ascii="Arial" w:cs="Arial" w:eastAsia="Arial" w:hAnsi="Arial"/>
                <w:sz w:val="18"/>
                <w:szCs w:val="18"/>
                <w:color w:val="auto"/>
              </w:rPr>
              <w:t>STOCK SUBJECT TO PLAN.</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w:t>
            </w:r>
          </w:p>
        </w:tc>
        <w:tc>
          <w:tcPr>
            <w:tcW w:w="6560" w:type="dxa"/>
            <w:vAlign w:val="bottom"/>
          </w:tcPr>
          <w:p>
            <w:pPr>
              <w:ind w:left="180"/>
              <w:spacing w:after="0"/>
              <w:rPr>
                <w:sz w:val="20"/>
                <w:szCs w:val="20"/>
                <w:color w:val="auto"/>
              </w:rPr>
            </w:pPr>
            <w:r>
              <w:rPr>
                <w:rFonts w:ascii="Arial" w:cs="Arial" w:eastAsia="Arial" w:hAnsi="Arial"/>
                <w:sz w:val="18"/>
                <w:szCs w:val="18"/>
                <w:color w:val="auto"/>
              </w:rPr>
              <w:t>Basic Limitation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w:t>
            </w:r>
          </w:p>
        </w:tc>
        <w:tc>
          <w:tcPr>
            <w:tcW w:w="6560" w:type="dxa"/>
            <w:vAlign w:val="bottom"/>
          </w:tcPr>
          <w:p>
            <w:pPr>
              <w:ind w:left="180"/>
              <w:spacing w:after="0"/>
              <w:rPr>
                <w:sz w:val="20"/>
                <w:szCs w:val="20"/>
                <w:color w:val="auto"/>
              </w:rPr>
            </w:pPr>
            <w:r>
              <w:rPr>
                <w:rFonts w:ascii="Arial" w:cs="Arial" w:eastAsia="Arial" w:hAnsi="Arial"/>
                <w:sz w:val="18"/>
                <w:szCs w:val="18"/>
                <w:color w:val="auto"/>
              </w:rPr>
              <w:t>Additional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(c)</w:t>
            </w:r>
          </w:p>
        </w:tc>
        <w:tc>
          <w:tcPr>
            <w:tcW w:w="6560" w:type="dxa"/>
            <w:vAlign w:val="bottom"/>
          </w:tcPr>
          <w:p>
            <w:pPr>
              <w:ind w:left="180"/>
              <w:spacing w:after="0"/>
              <w:rPr>
                <w:sz w:val="20"/>
                <w:szCs w:val="20"/>
                <w:color w:val="auto"/>
              </w:rPr>
            </w:pPr>
            <w:r>
              <w:rPr>
                <w:rFonts w:ascii="Arial" w:cs="Arial" w:eastAsia="Arial" w:hAnsi="Arial"/>
                <w:sz w:val="18"/>
                <w:szCs w:val="18"/>
                <w:color w:val="auto"/>
              </w:rPr>
              <w:t>Substitution and Assumption of Awards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w:t>
            </w:r>
          </w:p>
        </w:tc>
        <w:tc>
          <w:tcPr>
            <w:tcW w:w="656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(a)</w:t>
            </w:r>
          </w:p>
        </w:tc>
        <w:tc>
          <w:tcPr>
            <w:tcW w:w="6560" w:type="dxa"/>
            <w:vAlign w:val="bottom"/>
          </w:tcPr>
          <w:p>
            <w:pPr>
              <w:ind w:left="180"/>
              <w:spacing w:after="0"/>
              <w:rPr>
                <w:sz w:val="20"/>
                <w:szCs w:val="20"/>
                <w:color w:val="auto"/>
              </w:rPr>
            </w:pPr>
            <w:r>
              <w:rPr>
                <w:rFonts w:ascii="Arial" w:cs="Arial" w:eastAsia="Arial" w:hAnsi="Arial"/>
                <w:sz w:val="18"/>
                <w:szCs w:val="18"/>
                <w:color w:val="auto"/>
              </w:rPr>
              <w:t>Restricted Stock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(b)</w:t>
            </w:r>
          </w:p>
        </w:tc>
        <w:tc>
          <w:tcPr>
            <w:tcW w:w="6560" w:type="dxa"/>
            <w:vAlign w:val="bottom"/>
          </w:tcPr>
          <w:p>
            <w:pPr>
              <w:ind w:left="180"/>
              <w:spacing w:after="0"/>
              <w:rPr>
                <w:sz w:val="20"/>
                <w:szCs w:val="20"/>
                <w:color w:val="auto"/>
              </w:rPr>
            </w:pPr>
            <w:r>
              <w:rPr>
                <w:rFonts w:ascii="Arial" w:cs="Arial" w:eastAsia="Arial" w:hAnsi="Arial"/>
                <w:sz w:val="18"/>
                <w:szCs w:val="18"/>
                <w:color w:val="auto"/>
              </w:rPr>
              <w:t>Payment for Awards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(c)</w:t>
            </w:r>
          </w:p>
        </w:tc>
        <w:tc>
          <w:tcPr>
            <w:tcW w:w="6560" w:type="dxa"/>
            <w:vAlign w:val="bottom"/>
          </w:tcPr>
          <w:p>
            <w:pPr>
              <w:ind w:left="180"/>
              <w:spacing w:after="0"/>
              <w:rPr>
                <w:sz w:val="20"/>
                <w:szCs w:val="20"/>
                <w:color w:val="auto"/>
              </w:rPr>
            </w:pPr>
            <w:r>
              <w:rPr>
                <w:rFonts w:ascii="Arial" w:cs="Arial" w:eastAsia="Arial" w:hAnsi="Arial"/>
                <w:sz w:val="18"/>
                <w:szCs w:val="18"/>
                <w:color w:val="auto"/>
              </w:rPr>
              <w:t>Vesting</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(d)</w:t>
            </w:r>
          </w:p>
        </w:tc>
        <w:tc>
          <w:tcPr>
            <w:tcW w:w="6560" w:type="dxa"/>
            <w:vAlign w:val="bottom"/>
          </w:tcPr>
          <w:p>
            <w:pPr>
              <w:ind w:left="180"/>
              <w:spacing w:after="0"/>
              <w:rPr>
                <w:sz w:val="20"/>
                <w:szCs w:val="20"/>
                <w:color w:val="auto"/>
              </w:rPr>
            </w:pPr>
            <w:r>
              <w:rPr>
                <w:rFonts w:ascii="Arial" w:cs="Arial" w:eastAsia="Arial" w:hAnsi="Arial"/>
                <w:sz w:val="18"/>
                <w:szCs w:val="18"/>
                <w:color w:val="auto"/>
              </w:rPr>
              <w:t>Voting and Dividend Rights</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ind w:left="540"/>
              <w:spacing w:after="0"/>
              <w:rPr>
                <w:sz w:val="20"/>
                <w:szCs w:val="20"/>
                <w:color w:val="auto"/>
              </w:rPr>
            </w:pPr>
            <w:r>
              <w:rPr>
                <w:rFonts w:ascii="Arial" w:cs="Arial" w:eastAsia="Arial" w:hAnsi="Arial"/>
                <w:sz w:val="18"/>
                <w:szCs w:val="18"/>
                <w:color w:val="auto"/>
              </w:rPr>
              <w:t>(e)</w:t>
            </w:r>
          </w:p>
        </w:tc>
        <w:tc>
          <w:tcPr>
            <w:tcW w:w="6560" w:type="dxa"/>
            <w:vAlign w:val="bottom"/>
          </w:tcPr>
          <w:p>
            <w:pPr>
              <w:ind w:left="180"/>
              <w:spacing w:after="0"/>
              <w:rPr>
                <w:sz w:val="20"/>
                <w:szCs w:val="20"/>
                <w:color w:val="auto"/>
              </w:rPr>
            </w:pPr>
            <w:r>
              <w:rPr>
                <w:rFonts w:ascii="Arial" w:cs="Arial" w:eastAsia="Arial" w:hAnsi="Arial"/>
                <w:sz w:val="18"/>
                <w:szCs w:val="18"/>
                <w:color w:val="auto"/>
              </w:rPr>
              <w:t>Restrictions on Transfer of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7.</w:t>
            </w:r>
          </w:p>
        </w:tc>
        <w:tc>
          <w:tcPr>
            <w:tcW w:w="6560" w:type="dxa"/>
            <w:vAlign w:val="bottom"/>
          </w:tcPr>
          <w:p>
            <w:pPr>
              <w:ind w:left="180"/>
              <w:spacing w:after="0"/>
              <w:rPr>
                <w:sz w:val="20"/>
                <w:szCs w:val="20"/>
                <w:color w:val="auto"/>
              </w:rPr>
            </w:pPr>
            <w:r>
              <w:rPr>
                <w:rFonts w:ascii="Arial" w:cs="Arial" w:eastAsia="Arial" w:hAnsi="Arial"/>
                <w:sz w:val="18"/>
                <w:szCs w:val="18"/>
                <w:color w:val="auto"/>
              </w:rPr>
              <w:t>TERMS AND CONDITIONS OF OPTIONS.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60"/>
          </w:cols>
          <w:pgMar w:left="440" w:top="274" w:right="4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6640" w:type="dxa"/>
            <w:vAlign w:val="bottom"/>
          </w:tcPr>
          <w:p>
            <w:pPr>
              <w:ind w:left="140"/>
              <w:spacing w:after="0"/>
              <w:rPr>
                <w:sz w:val="20"/>
                <w:szCs w:val="20"/>
                <w:color w:val="auto"/>
              </w:rPr>
            </w:pPr>
            <w:r>
              <w:rPr>
                <w:rFonts w:ascii="Arial" w:cs="Arial" w:eastAsia="Arial" w:hAnsi="Arial"/>
                <w:sz w:val="18"/>
                <w:szCs w:val="18"/>
                <w:color w:val="auto"/>
              </w:rPr>
              <w:t>Stock Option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6640" w:type="dxa"/>
            <w:vAlign w:val="bottom"/>
          </w:tcPr>
          <w:p>
            <w:pPr>
              <w:ind w:left="140"/>
              <w:spacing w:after="0"/>
              <w:rPr>
                <w:sz w:val="20"/>
                <w:szCs w:val="20"/>
                <w:color w:val="auto"/>
              </w:rPr>
            </w:pPr>
            <w:r>
              <w:rPr>
                <w:rFonts w:ascii="Arial" w:cs="Arial" w:eastAsia="Arial" w:hAnsi="Arial"/>
                <w:sz w:val="18"/>
                <w:szCs w:val="18"/>
                <w:color w:val="auto"/>
              </w:rPr>
              <w:t>Number of Shares</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Exercise Price</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(d)</w:t>
            </w:r>
          </w:p>
        </w:tc>
        <w:tc>
          <w:tcPr>
            <w:tcW w:w="6640" w:type="dxa"/>
            <w:vAlign w:val="bottom"/>
          </w:tcPr>
          <w:p>
            <w:pPr>
              <w:ind w:left="140"/>
              <w:spacing w:after="0"/>
              <w:rPr>
                <w:sz w:val="20"/>
                <w:szCs w:val="20"/>
                <w:color w:val="auto"/>
              </w:rPr>
            </w:pPr>
            <w:r>
              <w:rPr>
                <w:rFonts w:ascii="Arial" w:cs="Arial" w:eastAsia="Arial" w:hAnsi="Arial"/>
                <w:sz w:val="18"/>
                <w:szCs w:val="18"/>
                <w:color w:val="auto"/>
              </w:rPr>
              <w:t>Withholding Taxes</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(e)</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Exercisability and Term</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(f)</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Exercise of Options</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(g)</w:t>
            </w:r>
          </w:p>
        </w:tc>
        <w:tc>
          <w:tcPr>
            <w:tcW w:w="6640" w:type="dxa"/>
            <w:vAlign w:val="bottom"/>
          </w:tcPr>
          <w:p>
            <w:pPr>
              <w:ind w:left="140"/>
              <w:spacing w:after="0"/>
              <w:rPr>
                <w:sz w:val="20"/>
                <w:szCs w:val="20"/>
                <w:color w:val="auto"/>
              </w:rPr>
            </w:pPr>
            <w:r>
              <w:rPr>
                <w:rFonts w:ascii="Arial" w:cs="Arial" w:eastAsia="Arial" w:hAnsi="Arial"/>
                <w:sz w:val="18"/>
                <w:szCs w:val="18"/>
                <w:color w:val="auto"/>
              </w:rPr>
              <w:t>No Rights as a Stockholder</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(h)</w:t>
            </w:r>
          </w:p>
        </w:tc>
        <w:tc>
          <w:tcPr>
            <w:tcW w:w="6640" w:type="dxa"/>
            <w:vAlign w:val="bottom"/>
          </w:tcPr>
          <w:p>
            <w:pPr>
              <w:ind w:left="140"/>
              <w:spacing w:after="0"/>
              <w:rPr>
                <w:sz w:val="20"/>
                <w:szCs w:val="20"/>
                <w:color w:val="auto"/>
              </w:rPr>
            </w:pPr>
            <w:r>
              <w:rPr>
                <w:rFonts w:ascii="Arial" w:cs="Arial" w:eastAsia="Arial" w:hAnsi="Arial"/>
                <w:sz w:val="18"/>
                <w:szCs w:val="18"/>
                <w:color w:val="auto"/>
              </w:rPr>
              <w:t>Modification or Extension of Options</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(i)</w:t>
            </w:r>
          </w:p>
        </w:tc>
        <w:tc>
          <w:tcPr>
            <w:tcW w:w="6640" w:type="dxa"/>
            <w:vAlign w:val="bottom"/>
          </w:tcPr>
          <w:p>
            <w:pPr>
              <w:ind w:left="140"/>
              <w:spacing w:after="0"/>
              <w:rPr>
                <w:sz w:val="20"/>
                <w:szCs w:val="20"/>
                <w:color w:val="auto"/>
              </w:rPr>
            </w:pPr>
            <w:r>
              <w:rPr>
                <w:rFonts w:ascii="Arial" w:cs="Arial" w:eastAsia="Arial" w:hAnsi="Arial"/>
                <w:sz w:val="18"/>
                <w:szCs w:val="18"/>
                <w:color w:val="auto"/>
              </w:rPr>
              <w:t>Restrictions on Transfer of Shares</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(j)</w:t>
            </w:r>
          </w:p>
        </w:tc>
        <w:tc>
          <w:tcPr>
            <w:tcW w:w="6640" w:type="dxa"/>
            <w:vAlign w:val="bottom"/>
          </w:tcPr>
          <w:p>
            <w:pPr>
              <w:ind w:left="140"/>
              <w:spacing w:after="0"/>
              <w:rPr>
                <w:sz w:val="20"/>
                <w:szCs w:val="20"/>
                <w:color w:val="auto"/>
              </w:rPr>
            </w:pPr>
            <w:r>
              <w:rPr>
                <w:rFonts w:ascii="Arial" w:cs="Arial" w:eastAsia="Arial" w:hAnsi="Arial"/>
                <w:sz w:val="18"/>
                <w:szCs w:val="18"/>
                <w:color w:val="auto"/>
              </w:rPr>
              <w:t>Buyout Provisions</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8.</w:t>
            </w:r>
          </w:p>
        </w:tc>
        <w:tc>
          <w:tcPr>
            <w:tcW w:w="6640" w:type="dxa"/>
            <w:vAlign w:val="bottom"/>
          </w:tcPr>
          <w:p>
            <w:pPr>
              <w:ind w:left="140"/>
              <w:spacing w:after="0"/>
              <w:rPr>
                <w:sz w:val="20"/>
                <w:szCs w:val="20"/>
                <w:color w:val="auto"/>
              </w:rPr>
            </w:pPr>
            <w:r>
              <w:rPr>
                <w:rFonts w:ascii="Arial" w:cs="Arial" w:eastAsia="Arial" w:hAnsi="Arial"/>
                <w:sz w:val="18"/>
                <w:szCs w:val="18"/>
                <w:color w:val="auto"/>
              </w:rPr>
              <w:t>PAYMENT FOR SHARES.</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6640" w:type="dxa"/>
            <w:vAlign w:val="bottom"/>
          </w:tcPr>
          <w:p>
            <w:pPr>
              <w:ind w:left="140"/>
              <w:spacing w:after="0"/>
              <w:rPr>
                <w:sz w:val="20"/>
                <w:szCs w:val="20"/>
                <w:color w:val="auto"/>
              </w:rPr>
            </w:pPr>
            <w:r>
              <w:rPr>
                <w:rFonts w:ascii="Arial" w:cs="Arial" w:eastAsia="Arial" w:hAnsi="Arial"/>
                <w:sz w:val="18"/>
                <w:szCs w:val="18"/>
                <w:color w:val="auto"/>
              </w:rPr>
              <w:t>General Rule</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6640" w:type="dxa"/>
            <w:vAlign w:val="bottom"/>
          </w:tcPr>
          <w:p>
            <w:pPr>
              <w:ind w:left="140"/>
              <w:spacing w:after="0"/>
              <w:rPr>
                <w:sz w:val="20"/>
                <w:szCs w:val="20"/>
                <w:color w:val="auto"/>
              </w:rPr>
            </w:pPr>
            <w:r>
              <w:rPr>
                <w:rFonts w:ascii="Arial" w:cs="Arial" w:eastAsia="Arial" w:hAnsi="Arial"/>
                <w:sz w:val="18"/>
                <w:szCs w:val="18"/>
                <w:color w:val="auto"/>
              </w:rPr>
              <w:t>Surrender of Stock</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6640" w:type="dxa"/>
            <w:vAlign w:val="bottom"/>
          </w:tcPr>
          <w:p>
            <w:pPr>
              <w:ind w:left="140"/>
              <w:spacing w:after="0"/>
              <w:rPr>
                <w:sz w:val="20"/>
                <w:szCs w:val="20"/>
                <w:color w:val="auto"/>
              </w:rPr>
            </w:pPr>
            <w:r>
              <w:rPr>
                <w:rFonts w:ascii="Arial" w:cs="Arial" w:eastAsia="Arial" w:hAnsi="Arial"/>
                <w:sz w:val="18"/>
                <w:szCs w:val="18"/>
                <w:color w:val="auto"/>
              </w:rPr>
              <w:t>Services Rendered</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(d)</w:t>
            </w:r>
          </w:p>
        </w:tc>
        <w:tc>
          <w:tcPr>
            <w:tcW w:w="6640" w:type="dxa"/>
            <w:vAlign w:val="bottom"/>
          </w:tcPr>
          <w:p>
            <w:pPr>
              <w:ind w:left="140"/>
              <w:spacing w:after="0"/>
              <w:rPr>
                <w:sz w:val="20"/>
                <w:szCs w:val="20"/>
                <w:color w:val="auto"/>
              </w:rPr>
            </w:pPr>
            <w:r>
              <w:rPr>
                <w:rFonts w:ascii="Arial" w:cs="Arial" w:eastAsia="Arial" w:hAnsi="Arial"/>
                <w:sz w:val="18"/>
                <w:szCs w:val="18"/>
                <w:color w:val="auto"/>
              </w:rPr>
              <w:t>Cashless Exercise</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(e)</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Exercise/Pledge</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(f)</w:t>
            </w:r>
          </w:p>
        </w:tc>
        <w:tc>
          <w:tcPr>
            <w:tcW w:w="6640" w:type="dxa"/>
            <w:vAlign w:val="bottom"/>
          </w:tcPr>
          <w:p>
            <w:pPr>
              <w:ind w:left="140"/>
              <w:spacing w:after="0"/>
              <w:rPr>
                <w:sz w:val="20"/>
                <w:szCs w:val="20"/>
                <w:color w:val="auto"/>
              </w:rPr>
            </w:pPr>
            <w:r>
              <w:rPr>
                <w:rFonts w:ascii="Arial" w:cs="Arial" w:eastAsia="Arial" w:hAnsi="Arial"/>
                <w:sz w:val="18"/>
                <w:szCs w:val="18"/>
                <w:color w:val="auto"/>
              </w:rPr>
              <w:t>Net Exercise</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(g)</w:t>
            </w:r>
          </w:p>
        </w:tc>
        <w:tc>
          <w:tcPr>
            <w:tcW w:w="6640" w:type="dxa"/>
            <w:vAlign w:val="bottom"/>
          </w:tcPr>
          <w:p>
            <w:pPr>
              <w:ind w:left="140"/>
              <w:spacing w:after="0"/>
              <w:rPr>
                <w:sz w:val="20"/>
                <w:szCs w:val="20"/>
                <w:color w:val="auto"/>
              </w:rPr>
            </w:pPr>
            <w:r>
              <w:rPr>
                <w:rFonts w:ascii="Arial" w:cs="Arial" w:eastAsia="Arial" w:hAnsi="Arial"/>
                <w:sz w:val="18"/>
                <w:szCs w:val="18"/>
                <w:color w:val="auto"/>
              </w:rPr>
              <w:t>Promissory Note</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(h)</w:t>
            </w:r>
          </w:p>
        </w:tc>
        <w:tc>
          <w:tcPr>
            <w:tcW w:w="6640" w:type="dxa"/>
            <w:vAlign w:val="bottom"/>
          </w:tcPr>
          <w:p>
            <w:pPr>
              <w:ind w:left="140"/>
              <w:spacing w:after="0"/>
              <w:rPr>
                <w:sz w:val="20"/>
                <w:szCs w:val="20"/>
                <w:color w:val="auto"/>
              </w:rPr>
            </w:pPr>
            <w:r>
              <w:rPr>
                <w:rFonts w:ascii="Arial" w:cs="Arial" w:eastAsia="Arial" w:hAnsi="Arial"/>
                <w:sz w:val="18"/>
                <w:szCs w:val="18"/>
                <w:color w:val="auto"/>
              </w:rPr>
              <w:t>Other Forms of Payment</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(i)</w:t>
            </w:r>
          </w:p>
        </w:tc>
        <w:tc>
          <w:tcPr>
            <w:tcW w:w="6640" w:type="dxa"/>
            <w:vAlign w:val="bottom"/>
          </w:tcPr>
          <w:p>
            <w:pPr>
              <w:ind w:left="140"/>
              <w:spacing w:after="0"/>
              <w:rPr>
                <w:sz w:val="20"/>
                <w:szCs w:val="20"/>
                <w:color w:val="auto"/>
              </w:rPr>
            </w:pPr>
            <w:r>
              <w:rPr>
                <w:rFonts w:ascii="Arial" w:cs="Arial" w:eastAsia="Arial" w:hAnsi="Arial"/>
                <w:sz w:val="18"/>
                <w:szCs w:val="18"/>
                <w:color w:val="auto"/>
              </w:rPr>
              <w:t>Limitations under Applicable Law</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w:t>
            </w:r>
          </w:p>
        </w:tc>
        <w:tc>
          <w:tcPr>
            <w:tcW w:w="6640" w:type="dxa"/>
            <w:vAlign w:val="bottom"/>
          </w:tcPr>
          <w:p>
            <w:pPr>
              <w:ind w:left="140"/>
              <w:spacing w:after="0"/>
              <w:rPr>
                <w:sz w:val="20"/>
                <w:szCs w:val="20"/>
                <w:color w:val="auto"/>
              </w:rPr>
            </w:pPr>
            <w:r>
              <w:rPr>
                <w:rFonts w:ascii="Arial" w:cs="Arial" w:eastAsia="Arial" w:hAnsi="Arial"/>
                <w:sz w:val="18"/>
                <w:szCs w:val="18"/>
                <w:color w:val="auto"/>
              </w:rPr>
              <w:t>STOCK APPRECIATION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6640" w:type="dxa"/>
            <w:vAlign w:val="bottom"/>
          </w:tcPr>
          <w:p>
            <w:pPr>
              <w:ind w:left="140"/>
              <w:spacing w:after="0"/>
              <w:rPr>
                <w:sz w:val="20"/>
                <w:szCs w:val="20"/>
                <w:color w:val="auto"/>
              </w:rPr>
            </w:pPr>
            <w:r>
              <w:rPr>
                <w:rFonts w:ascii="Arial" w:cs="Arial" w:eastAsia="Arial" w:hAnsi="Arial"/>
                <w:sz w:val="18"/>
                <w:szCs w:val="18"/>
                <w:color w:val="auto"/>
              </w:rPr>
              <w:t>SAR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6640" w:type="dxa"/>
            <w:vAlign w:val="bottom"/>
          </w:tcPr>
          <w:p>
            <w:pPr>
              <w:ind w:left="140"/>
              <w:spacing w:after="0"/>
              <w:rPr>
                <w:sz w:val="20"/>
                <w:szCs w:val="20"/>
                <w:color w:val="auto"/>
              </w:rPr>
            </w:pPr>
            <w:r>
              <w:rPr>
                <w:rFonts w:ascii="Arial" w:cs="Arial" w:eastAsia="Arial" w:hAnsi="Arial"/>
                <w:sz w:val="18"/>
                <w:szCs w:val="18"/>
                <w:color w:val="auto"/>
              </w:rPr>
              <w:t>Number of Shares</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Exercise Price</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(d)</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Exercisability and Term</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(e)</w:t>
            </w:r>
          </w:p>
        </w:tc>
        <w:tc>
          <w:tcPr>
            <w:tcW w:w="6640" w:type="dxa"/>
            <w:vAlign w:val="bottom"/>
          </w:tcPr>
          <w:p>
            <w:pPr>
              <w:ind w:left="140"/>
              <w:spacing w:after="0"/>
              <w:rPr>
                <w:sz w:val="20"/>
                <w:szCs w:val="20"/>
                <w:color w:val="auto"/>
              </w:rPr>
            </w:pPr>
            <w:r>
              <w:rPr>
                <w:rFonts w:ascii="Arial" w:cs="Arial" w:eastAsia="Arial" w:hAnsi="Arial"/>
                <w:sz w:val="18"/>
                <w:szCs w:val="18"/>
                <w:color w:val="auto"/>
              </w:rPr>
              <w:t>No Rights as a Stockholder</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(f)</w:t>
            </w:r>
          </w:p>
        </w:tc>
        <w:tc>
          <w:tcPr>
            <w:tcW w:w="6640" w:type="dxa"/>
            <w:vAlign w:val="bottom"/>
          </w:tcPr>
          <w:p>
            <w:pPr>
              <w:ind w:left="140"/>
              <w:spacing w:after="0"/>
              <w:rPr>
                <w:sz w:val="20"/>
                <w:szCs w:val="20"/>
                <w:color w:val="auto"/>
              </w:rPr>
            </w:pPr>
            <w:r>
              <w:rPr>
                <w:rFonts w:ascii="Arial" w:cs="Arial" w:eastAsia="Arial" w:hAnsi="Arial"/>
                <w:sz w:val="18"/>
                <w:szCs w:val="18"/>
                <w:color w:val="auto"/>
              </w:rPr>
              <w:t>Exercise of SARs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(g)</w:t>
            </w:r>
          </w:p>
        </w:tc>
        <w:tc>
          <w:tcPr>
            <w:tcW w:w="6640" w:type="dxa"/>
            <w:vAlign w:val="bottom"/>
          </w:tcPr>
          <w:p>
            <w:pPr>
              <w:ind w:left="140"/>
              <w:spacing w:after="0"/>
              <w:rPr>
                <w:sz w:val="20"/>
                <w:szCs w:val="20"/>
                <w:color w:val="auto"/>
              </w:rPr>
            </w:pPr>
            <w:r>
              <w:rPr>
                <w:rFonts w:ascii="Arial" w:cs="Arial" w:eastAsia="Arial" w:hAnsi="Arial"/>
                <w:sz w:val="18"/>
                <w:szCs w:val="18"/>
                <w:color w:val="auto"/>
              </w:rPr>
              <w:t>Modification, Extension or Assumption of SARs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(h)</w:t>
            </w:r>
          </w:p>
        </w:tc>
        <w:tc>
          <w:tcPr>
            <w:tcW w:w="6640" w:type="dxa"/>
            <w:vAlign w:val="bottom"/>
          </w:tcPr>
          <w:p>
            <w:pPr>
              <w:ind w:left="140"/>
              <w:spacing w:after="0"/>
              <w:rPr>
                <w:sz w:val="20"/>
                <w:szCs w:val="20"/>
                <w:color w:val="auto"/>
              </w:rPr>
            </w:pPr>
            <w:r>
              <w:rPr>
                <w:rFonts w:ascii="Arial" w:cs="Arial" w:eastAsia="Arial" w:hAnsi="Arial"/>
                <w:sz w:val="18"/>
                <w:szCs w:val="18"/>
                <w:color w:val="auto"/>
              </w:rPr>
              <w:t>Buyout Provisions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w:t>
            </w:r>
          </w:p>
        </w:tc>
        <w:tc>
          <w:tcPr>
            <w:tcW w:w="6640" w:type="dxa"/>
            <w:vAlign w:val="bottom"/>
          </w:tcPr>
          <w:p>
            <w:pPr>
              <w:ind w:left="140"/>
              <w:spacing w:after="0"/>
              <w:rPr>
                <w:sz w:val="20"/>
                <w:szCs w:val="20"/>
                <w:color w:val="auto"/>
              </w:rPr>
            </w:pPr>
            <w:r>
              <w:rPr>
                <w:rFonts w:ascii="Arial" w:cs="Arial" w:eastAsia="Arial" w:hAnsi="Arial"/>
                <w:sz w:val="18"/>
                <w:szCs w:val="18"/>
                <w:color w:val="auto"/>
              </w:rPr>
              <w:t>STOCK UNITS.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6640" w:type="dxa"/>
            <w:vAlign w:val="bottom"/>
          </w:tcPr>
          <w:p>
            <w:pPr>
              <w:ind w:left="140"/>
              <w:spacing w:after="0"/>
              <w:rPr>
                <w:sz w:val="20"/>
                <w:szCs w:val="20"/>
                <w:color w:val="auto"/>
              </w:rPr>
            </w:pPr>
            <w:r>
              <w:rPr>
                <w:rFonts w:ascii="Arial" w:cs="Arial" w:eastAsia="Arial" w:hAnsi="Arial"/>
                <w:sz w:val="18"/>
                <w:szCs w:val="18"/>
                <w:color w:val="auto"/>
              </w:rPr>
              <w:t>Stock Unit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6640" w:type="dxa"/>
            <w:vAlign w:val="bottom"/>
          </w:tcPr>
          <w:p>
            <w:pPr>
              <w:ind w:left="140"/>
              <w:spacing w:after="0"/>
              <w:rPr>
                <w:sz w:val="20"/>
                <w:szCs w:val="20"/>
                <w:color w:val="auto"/>
              </w:rPr>
            </w:pPr>
            <w:r>
              <w:rPr>
                <w:rFonts w:ascii="Arial" w:cs="Arial" w:eastAsia="Arial" w:hAnsi="Arial"/>
                <w:sz w:val="18"/>
                <w:szCs w:val="18"/>
                <w:color w:val="auto"/>
              </w:rPr>
              <w:t>Payment for Awards</w:t>
            </w:r>
          </w:p>
        </w:tc>
        <w:tc>
          <w:tcPr>
            <w:tcW w:w="31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960"/>
          </w:cols>
          <w:pgMar w:left="440" w:top="274" w:right="4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7380" w:type="dxa"/>
            <w:vAlign w:val="bottom"/>
          </w:tcPr>
          <w:p>
            <w:pPr>
              <w:ind w:left="140"/>
              <w:spacing w:after="0"/>
              <w:rPr>
                <w:sz w:val="20"/>
                <w:szCs w:val="20"/>
                <w:color w:val="auto"/>
              </w:rPr>
            </w:pPr>
            <w:r>
              <w:rPr>
                <w:rFonts w:ascii="Arial" w:cs="Arial" w:eastAsia="Arial" w:hAnsi="Arial"/>
                <w:sz w:val="18"/>
                <w:szCs w:val="18"/>
                <w:color w:val="auto"/>
              </w:rPr>
              <w:t>Vesting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(d)</w:t>
            </w:r>
          </w:p>
        </w:tc>
        <w:tc>
          <w:tcPr>
            <w:tcW w:w="7380" w:type="dxa"/>
            <w:vAlign w:val="bottom"/>
          </w:tcPr>
          <w:p>
            <w:pPr>
              <w:ind w:left="140"/>
              <w:spacing w:after="0"/>
              <w:rPr>
                <w:sz w:val="20"/>
                <w:szCs w:val="20"/>
                <w:color w:val="auto"/>
              </w:rPr>
            </w:pPr>
            <w:r>
              <w:rPr>
                <w:rFonts w:ascii="Arial" w:cs="Arial" w:eastAsia="Arial" w:hAnsi="Arial"/>
                <w:sz w:val="18"/>
                <w:szCs w:val="18"/>
                <w:color w:val="auto"/>
              </w:rPr>
              <w:t>Voting and Dividend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(e)</w:t>
            </w:r>
          </w:p>
        </w:tc>
        <w:tc>
          <w:tcPr>
            <w:tcW w:w="7380" w:type="dxa"/>
            <w:vAlign w:val="bottom"/>
          </w:tcPr>
          <w:p>
            <w:pPr>
              <w:ind w:left="140"/>
              <w:spacing w:after="0"/>
              <w:rPr>
                <w:sz w:val="20"/>
                <w:szCs w:val="20"/>
                <w:color w:val="auto"/>
              </w:rPr>
            </w:pPr>
            <w:r>
              <w:rPr>
                <w:rFonts w:ascii="Arial" w:cs="Arial" w:eastAsia="Arial" w:hAnsi="Arial"/>
                <w:sz w:val="18"/>
                <w:szCs w:val="18"/>
                <w:color w:val="auto"/>
              </w:rPr>
              <w:t>Form and Time of Settlement of Stock Units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(f)</w:t>
            </w:r>
          </w:p>
        </w:tc>
        <w:tc>
          <w:tcPr>
            <w:tcW w:w="7380" w:type="dxa"/>
            <w:vAlign w:val="bottom"/>
          </w:tcPr>
          <w:p>
            <w:pPr>
              <w:ind w:left="140"/>
              <w:spacing w:after="0"/>
              <w:rPr>
                <w:sz w:val="20"/>
                <w:szCs w:val="20"/>
                <w:color w:val="auto"/>
              </w:rPr>
            </w:pPr>
            <w:r>
              <w:rPr>
                <w:rFonts w:ascii="Arial" w:cs="Arial" w:eastAsia="Arial" w:hAnsi="Arial"/>
                <w:sz w:val="18"/>
                <w:szCs w:val="18"/>
                <w:color w:val="auto"/>
              </w:rPr>
              <w:t>Death of Recipient</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(g)</w:t>
            </w:r>
          </w:p>
        </w:tc>
        <w:tc>
          <w:tcPr>
            <w:tcW w:w="7380" w:type="dxa"/>
            <w:vAlign w:val="bottom"/>
          </w:tcPr>
          <w:p>
            <w:pPr>
              <w:ind w:left="140"/>
              <w:spacing w:after="0"/>
              <w:rPr>
                <w:sz w:val="20"/>
                <w:szCs w:val="20"/>
                <w:color w:val="auto"/>
              </w:rPr>
            </w:pPr>
            <w:r>
              <w:rPr>
                <w:rFonts w:ascii="Arial" w:cs="Arial" w:eastAsia="Arial" w:hAnsi="Arial"/>
                <w:sz w:val="18"/>
                <w:szCs w:val="18"/>
                <w:color w:val="auto"/>
              </w:rPr>
              <w:t>Creditors’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11.   ADJUSTMENT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73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7380" w:type="dxa"/>
            <w:vAlign w:val="bottom"/>
          </w:tcPr>
          <w:p>
            <w:pPr>
              <w:ind w:left="140"/>
              <w:spacing w:after="0"/>
              <w:rPr>
                <w:sz w:val="20"/>
                <w:szCs w:val="20"/>
                <w:color w:val="auto"/>
              </w:rPr>
            </w:pPr>
            <w:r>
              <w:rPr>
                <w:rFonts w:ascii="Arial" w:cs="Arial" w:eastAsia="Arial" w:hAnsi="Arial"/>
                <w:sz w:val="18"/>
                <w:szCs w:val="18"/>
                <w:color w:val="auto"/>
              </w:rPr>
              <w:t>Dissolution or Liquidation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7380" w:type="dxa"/>
            <w:vAlign w:val="bottom"/>
          </w:tcPr>
          <w:p>
            <w:pPr>
              <w:ind w:left="140"/>
              <w:spacing w:after="0"/>
              <w:rPr>
                <w:sz w:val="20"/>
                <w:szCs w:val="20"/>
                <w:color w:val="auto"/>
              </w:rPr>
            </w:pPr>
            <w:r>
              <w:rPr>
                <w:rFonts w:ascii="Arial" w:cs="Arial" w:eastAsia="Arial" w:hAnsi="Arial"/>
                <w:sz w:val="18"/>
                <w:szCs w:val="18"/>
                <w:color w:val="auto"/>
              </w:rPr>
              <w:t>Reorganizations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(d)</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Reservation of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(e)</w:t>
            </w:r>
          </w:p>
        </w:tc>
        <w:tc>
          <w:tcPr>
            <w:tcW w:w="7380" w:type="dxa"/>
            <w:vAlign w:val="bottom"/>
          </w:tcPr>
          <w:p>
            <w:pPr>
              <w:ind w:left="140"/>
              <w:spacing w:after="0"/>
              <w:rPr>
                <w:sz w:val="20"/>
                <w:szCs w:val="20"/>
                <w:color w:val="auto"/>
              </w:rPr>
            </w:pPr>
            <w:r>
              <w:rPr>
                <w:rFonts w:ascii="Arial" w:cs="Arial" w:eastAsia="Arial" w:hAnsi="Arial"/>
                <w:sz w:val="18"/>
                <w:szCs w:val="18"/>
                <w:color w:val="auto"/>
              </w:rPr>
              <w:t>Change in Control</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12.   DEFERRAL OF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7380" w:type="dxa"/>
            <w:vAlign w:val="bottom"/>
          </w:tcPr>
          <w:p>
            <w:pPr>
              <w:ind w:left="140"/>
              <w:spacing w:after="0"/>
              <w:rPr>
                <w:sz w:val="20"/>
                <w:szCs w:val="20"/>
                <w:color w:val="auto"/>
              </w:rPr>
            </w:pPr>
            <w:r>
              <w:rPr>
                <w:rFonts w:ascii="Arial" w:cs="Arial" w:eastAsia="Arial" w:hAnsi="Arial"/>
                <w:sz w:val="18"/>
                <w:szCs w:val="18"/>
                <w:color w:val="auto"/>
              </w:rPr>
              <w:t>Committee 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7380" w:type="dxa"/>
            <w:vAlign w:val="bottom"/>
          </w:tcPr>
          <w:p>
            <w:pPr>
              <w:ind w:left="140"/>
              <w:spacing w:after="0"/>
              <w:rPr>
                <w:sz w:val="20"/>
                <w:szCs w:val="20"/>
                <w:color w:val="auto"/>
              </w:rPr>
            </w:pPr>
            <w:r>
              <w:rPr>
                <w:rFonts w:ascii="Arial" w:cs="Arial" w:eastAsia="Arial" w:hAnsi="Arial"/>
                <w:sz w:val="18"/>
                <w:szCs w:val="18"/>
                <w:color w:val="auto"/>
              </w:rPr>
              <w:t>General Rules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13.   AWARDS UNDER OTHER PLANS.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14.   LEGAL AND REGULATORY REQUIREMENTS.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15.</w:t>
            </w:r>
          </w:p>
        </w:tc>
        <w:tc>
          <w:tcPr>
            <w:tcW w:w="7380" w:type="dxa"/>
            <w:vAlign w:val="bottom"/>
          </w:tcPr>
          <w:p>
            <w:pPr>
              <w:ind w:left="140"/>
              <w:spacing w:after="0"/>
              <w:rPr>
                <w:sz w:val="20"/>
                <w:szCs w:val="20"/>
                <w:color w:val="auto"/>
              </w:rPr>
            </w:pPr>
            <w:r>
              <w:rPr>
                <w:rFonts w:ascii="Arial" w:cs="Arial" w:eastAsia="Arial" w:hAnsi="Arial"/>
                <w:sz w:val="18"/>
                <w:szCs w:val="18"/>
                <w:color w:val="auto"/>
              </w:rPr>
              <w:t>WITHHOLDING TAXES.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7380" w:type="dxa"/>
            <w:vAlign w:val="bottom"/>
          </w:tcPr>
          <w:p>
            <w:pPr>
              <w:ind w:left="140"/>
              <w:spacing w:after="0"/>
              <w:rPr>
                <w:sz w:val="20"/>
                <w:szCs w:val="20"/>
                <w:color w:val="auto"/>
              </w:rPr>
            </w:pPr>
            <w:r>
              <w:rPr>
                <w:rFonts w:ascii="Arial" w:cs="Arial" w:eastAsia="Arial" w:hAnsi="Arial"/>
                <w:sz w:val="18"/>
                <w:szCs w:val="18"/>
                <w:color w:val="auto"/>
              </w:rPr>
              <w:t>Withholding Taxes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7380" w:type="dxa"/>
            <w:vAlign w:val="bottom"/>
          </w:tcPr>
          <w:p>
            <w:pPr>
              <w:ind w:left="140"/>
              <w:spacing w:after="0"/>
              <w:rPr>
                <w:sz w:val="20"/>
                <w:szCs w:val="20"/>
                <w:color w:val="auto"/>
              </w:rPr>
            </w:pPr>
            <w:r>
              <w:rPr>
                <w:rFonts w:ascii="Arial" w:cs="Arial" w:eastAsia="Arial" w:hAnsi="Arial"/>
                <w:sz w:val="18"/>
                <w:szCs w:val="18"/>
                <w:color w:val="auto"/>
              </w:rPr>
              <w:t>Share Withholding</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16.   OTHER PROVISIONS APPLICABLE TO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7380" w:type="dxa"/>
            <w:vAlign w:val="bottom"/>
          </w:tcPr>
          <w:p>
            <w:pPr>
              <w:ind w:left="140"/>
              <w:spacing w:after="0"/>
              <w:rPr>
                <w:sz w:val="20"/>
                <w:szCs w:val="20"/>
                <w:color w:val="auto"/>
              </w:rPr>
            </w:pPr>
            <w:r>
              <w:rPr>
                <w:rFonts w:ascii="Arial" w:cs="Arial" w:eastAsia="Arial" w:hAnsi="Arial"/>
                <w:sz w:val="18"/>
                <w:szCs w:val="18"/>
                <w:color w:val="auto"/>
              </w:rPr>
              <w:t>Transferability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7380" w:type="dxa"/>
            <w:vAlign w:val="bottom"/>
          </w:tcPr>
          <w:p>
            <w:pPr>
              <w:ind w:left="140"/>
              <w:spacing w:after="0"/>
              <w:rPr>
                <w:sz w:val="20"/>
                <w:szCs w:val="20"/>
                <w:color w:val="auto"/>
              </w:rPr>
            </w:pPr>
            <w:r>
              <w:rPr>
                <w:rFonts w:ascii="Arial" w:cs="Arial" w:eastAsia="Arial" w:hAnsi="Arial"/>
                <w:sz w:val="18"/>
                <w:szCs w:val="18"/>
                <w:color w:val="auto"/>
              </w:rPr>
              <w:t>Performance Criteria</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17.   NO EMPLOYMENT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18.</w:t>
            </w:r>
          </w:p>
        </w:tc>
        <w:tc>
          <w:tcPr>
            <w:tcW w:w="7380" w:type="dxa"/>
            <w:vAlign w:val="bottom"/>
          </w:tcPr>
          <w:p>
            <w:pPr>
              <w:ind w:left="140"/>
              <w:spacing w:after="0"/>
              <w:rPr>
                <w:sz w:val="20"/>
                <w:szCs w:val="20"/>
                <w:color w:val="auto"/>
              </w:rPr>
            </w:pPr>
            <w:r>
              <w:rPr>
                <w:rFonts w:ascii="Arial" w:cs="Arial" w:eastAsia="Arial" w:hAnsi="Arial"/>
                <w:sz w:val="18"/>
                <w:szCs w:val="18"/>
                <w:color w:val="auto"/>
              </w:rPr>
              <w:t>SECTION 409A.</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19.   DURATION AND AMENDMENTS.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(a)</w:t>
            </w:r>
          </w:p>
        </w:tc>
        <w:tc>
          <w:tcPr>
            <w:tcW w:w="7380" w:type="dxa"/>
            <w:vAlign w:val="bottom"/>
          </w:tcPr>
          <w:p>
            <w:pPr>
              <w:ind w:left="140"/>
              <w:spacing w:after="0"/>
              <w:rPr>
                <w:sz w:val="20"/>
                <w:szCs w:val="20"/>
                <w:color w:val="auto"/>
              </w:rPr>
            </w:pPr>
            <w:r>
              <w:rPr>
                <w:rFonts w:ascii="Arial" w:cs="Arial" w:eastAsia="Arial" w:hAnsi="Arial"/>
                <w:sz w:val="18"/>
                <w:szCs w:val="18"/>
                <w:color w:val="auto"/>
              </w:rPr>
              <w:t>Term of the Plan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(b)</w:t>
            </w:r>
          </w:p>
        </w:tc>
        <w:tc>
          <w:tcPr>
            <w:tcW w:w="7380" w:type="dxa"/>
            <w:vAlign w:val="bottom"/>
          </w:tcPr>
          <w:p>
            <w:pPr>
              <w:ind w:left="140"/>
              <w:spacing w:after="0"/>
              <w:rPr>
                <w:sz w:val="20"/>
                <w:szCs w:val="20"/>
                <w:color w:val="auto"/>
              </w:rPr>
            </w:pPr>
            <w:r>
              <w:rPr>
                <w:rFonts w:ascii="Arial" w:cs="Arial" w:eastAsia="Arial" w:hAnsi="Arial"/>
                <w:sz w:val="18"/>
                <w:szCs w:val="18"/>
                <w:color w:val="auto"/>
              </w:rPr>
              <w:t>Right to Amend or Terminate the Plan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(c)</w:t>
            </w:r>
          </w:p>
        </w:tc>
        <w:tc>
          <w:tcPr>
            <w:tcW w:w="7380" w:type="dxa"/>
            <w:vAlign w:val="bottom"/>
          </w:tcPr>
          <w:p>
            <w:pPr>
              <w:ind w:left="140"/>
              <w:spacing w:after="0"/>
              <w:rPr>
                <w:sz w:val="20"/>
                <w:szCs w:val="20"/>
                <w:color w:val="auto"/>
              </w:rPr>
            </w:pPr>
            <w:r>
              <w:rPr>
                <w:rFonts w:ascii="Arial" w:cs="Arial" w:eastAsia="Arial" w:hAnsi="Arial"/>
                <w:sz w:val="18"/>
                <w:szCs w:val="18"/>
                <w:color w:val="auto"/>
              </w:rPr>
              <w:t>Effect of Termination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20.   AWARDS TO NON-U.S. PARTICIPANTS.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SECTION 21.   FORFEITURE, CANCELLATION OR CLAWBACK OF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22.</w:t>
            </w:r>
          </w:p>
        </w:tc>
        <w:tc>
          <w:tcPr>
            <w:tcW w:w="73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0960"/>
          </w:cols>
          <w:pgMar w:left="440" w:top="274" w:right="49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ind w:right="80" w:firstLine="436"/>
        <w:spacing w:after="0" w:line="270"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Plan was adopted by the Board of Directors on April 30, 2020 and approved by the Company’s stockholders on June 16, 2020. The Plan was amended and restated by the Board of Directors on March 22, 2021, subject to approval of the Company’s stockholders, which approval occurred on May 17, 2021. The Plan was further amended and restated by the Board of Directors on March 28, 2022, subject to approval of the Company’s stockholders, which approval was obtained on May 16, 2022. The Plan was further amended and restated by the Board of Directors on February 24, 2023, subject to approval of the Company’s stockholders.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spacing w:after="0" w:line="72" w:lineRule="exact"/>
        <w:rPr>
          <w:rFonts w:ascii="Arial" w:cs="Arial" w:eastAsia="Arial" w:hAnsi="Arial"/>
          <w:sz w:val="17"/>
          <w:szCs w:val="17"/>
          <w:color w:val="auto"/>
        </w:rPr>
      </w:pPr>
    </w:p>
    <w:p>
      <w:pPr>
        <w:ind w:left="440" w:right="420" w:firstLine="419"/>
        <w:spacing w:after="0" w:line="287" w:lineRule="auto"/>
        <w:tabs>
          <w:tab w:leader="none" w:pos="1078"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w:t>
      </w:r>
    </w:p>
    <w:p>
      <w:pPr>
        <w:spacing w:after="0" w:line="2" w:lineRule="exact"/>
        <w:rPr>
          <w:rFonts w:ascii="Arial" w:cs="Arial" w:eastAsia="Arial" w:hAnsi="Arial"/>
          <w:sz w:val="16"/>
          <w:szCs w:val="16"/>
          <w:color w:val="auto"/>
        </w:rPr>
      </w:pPr>
    </w:p>
    <w:p>
      <w:pPr>
        <w:ind w:left="440"/>
        <w:spacing w:after="0" w:line="260" w:lineRule="auto"/>
        <w:rPr>
          <w:rFonts w:ascii="Arial" w:cs="Arial" w:eastAsia="Arial" w:hAnsi="Arial"/>
          <w:sz w:val="16"/>
          <w:szCs w:val="16"/>
          <w:color w:val="auto"/>
        </w:rPr>
      </w:pPr>
      <w:r>
        <w:rPr>
          <w:rFonts w:ascii="Arial" w:cs="Arial" w:eastAsia="Arial" w:hAnsi="Arial"/>
          <w:sz w:val="18"/>
          <w:szCs w:val="18"/>
          <w:color w:val="auto"/>
        </w:rPr>
        <w:t>Section 5(a) below) and be then immediately available for grants and issuance pursuant to Awards hereunder, up to the maximum number set forth in Section 5(a) below.</w:t>
      </w:r>
    </w:p>
    <w:p>
      <w:pPr>
        <w:spacing w:after="0" w:line="77" w:lineRule="exact"/>
        <w:rPr>
          <w:rFonts w:ascii="Arial" w:cs="Arial" w:eastAsia="Arial" w:hAnsi="Arial"/>
          <w:sz w:val="16"/>
          <w:szCs w:val="16"/>
          <w:color w:val="auto"/>
        </w:rPr>
      </w:pPr>
    </w:p>
    <w:p>
      <w:pPr>
        <w:ind w:left="440" w:right="20" w:firstLine="419"/>
        <w:spacing w:after="0" w:line="271" w:lineRule="auto"/>
        <w:tabs>
          <w:tab w:leader="none" w:pos="1128"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addition, from and after 12:01 a.m. Central time on the Effective Date, with respect to the aggregate number of Shares subject, at such time, to outstanding stock options and stock awards granted under the Predecessor Plan that (i) expire or terminate for any reason prior to exercise or settlement; or (ii)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3(a) below. For the avoidance of doubt, Predecessor Plan Returning Shares will not include any Shares subject to outstanding stock options or stock awards granted under the Predecessor Plan that are reacquired, withheld (or not issued) to satisfy (i) a tax withholding obligation in connection with an award or (ii) the purchase price or exercise price of an award.</w:t>
      </w:r>
    </w:p>
    <w:p>
      <w:pPr>
        <w:spacing w:after="0" w:line="178"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69"/>
        </w:numPr>
        <w:rPr>
          <w:rFonts w:ascii="Arial" w:cs="Arial" w:eastAsia="Arial" w:hAnsi="Arial"/>
          <w:sz w:val="18"/>
          <w:szCs w:val="18"/>
          <w:i w:val="1"/>
          <w:iCs w:val="1"/>
          <w:color w:val="auto"/>
        </w:rPr>
      </w:pPr>
      <w:r>
        <w:rPr>
          <w:rFonts w:ascii="Arial" w:cs="Arial" w:eastAsia="Arial" w:hAnsi="Arial"/>
          <w:sz w:val="18"/>
          <w:szCs w:val="18"/>
          <w:color w:val="auto"/>
        </w:rPr>
        <w:t>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0" w:right="459" w:bottom="1440" w:gutter="0" w:footer="0" w:header="0"/>
        </w:sectPr>
      </w:pPr>
    </w:p>
    <w:bookmarkStart w:id="72" w:name="page73"/>
    <w:bookmarkEnd w:id="7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seeks to achieve this purpose by providing for Awards in the form of restricted shares, stock units, options (which may constitute incentive stock options or nonstatutory stock options) or stock appreciation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700" w:hanging="264"/>
        <w:spacing w:after="0"/>
        <w:tabs>
          <w:tab w:leader="none" w:pos="700"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shall mean any entity other than a Subsidiary, if the Company and/or one or more Subsidiaries own not less than 50% of such</w:t>
      </w:r>
    </w:p>
    <w:p>
      <w:pPr>
        <w:spacing w:after="0" w:line="34" w:lineRule="exact"/>
        <w:rPr>
          <w:rFonts w:ascii="Arial" w:cs="Arial" w:eastAsia="Arial" w:hAnsi="Arial"/>
          <w:sz w:val="17"/>
          <w:szCs w:val="17"/>
          <w:i w:val="1"/>
          <w:iCs w:val="1"/>
          <w:color w:val="auto"/>
        </w:rPr>
      </w:pPr>
    </w:p>
    <w:p>
      <w:pPr>
        <w:spacing w:after="0"/>
        <w:rPr>
          <w:rFonts w:ascii="Arial" w:cs="Arial" w:eastAsia="Arial" w:hAnsi="Arial"/>
          <w:sz w:val="17"/>
          <w:szCs w:val="17"/>
          <w:i w:val="1"/>
          <w:iCs w:val="1"/>
          <w:color w:val="auto"/>
        </w:rPr>
      </w:pPr>
      <w:r>
        <w:rPr>
          <w:rFonts w:ascii="Arial" w:cs="Arial" w:eastAsia="Arial" w:hAnsi="Arial"/>
          <w:sz w:val="18"/>
          <w:szCs w:val="18"/>
          <w:color w:val="auto"/>
        </w:rPr>
        <w:t>entity.</w:t>
      </w:r>
    </w:p>
    <w:p>
      <w:pPr>
        <w:spacing w:after="0" w:line="102" w:lineRule="exact"/>
        <w:rPr>
          <w:rFonts w:ascii="Arial" w:cs="Arial" w:eastAsia="Arial" w:hAnsi="Arial"/>
          <w:sz w:val="17"/>
          <w:szCs w:val="17"/>
          <w:i w:val="1"/>
          <w:iCs w:val="1"/>
          <w:color w:val="auto"/>
        </w:rPr>
      </w:pPr>
    </w:p>
    <w:p>
      <w:pPr>
        <w:ind w:left="700" w:hanging="264"/>
        <w:spacing w:after="0"/>
        <w:tabs>
          <w:tab w:leader="none" w:pos="70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any award of an Option, a SAR, a Restricted Share or a Stock Unit under the Plan.</w:t>
      </w:r>
    </w:p>
    <w:p>
      <w:pPr>
        <w:spacing w:after="0" w:line="117" w:lineRule="exact"/>
        <w:rPr>
          <w:rFonts w:ascii="Arial" w:cs="Arial" w:eastAsia="Arial" w:hAnsi="Arial"/>
          <w:sz w:val="18"/>
          <w:szCs w:val="18"/>
          <w:i w:val="1"/>
          <w:iCs w:val="1"/>
          <w:color w:val="auto"/>
        </w:rPr>
      </w:pPr>
    </w:p>
    <w:p>
      <w:pPr>
        <w:ind w:right="520" w:firstLine="436"/>
        <w:spacing w:after="0" w:line="277" w:lineRule="auto"/>
        <w:tabs>
          <w:tab w:leader="none" w:pos="685"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shall mean a Stock Option Agreement, SAR Agreement, Restricted Share Agreement or Stock Unit Agreement,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w:t>
      </w:r>
    </w:p>
    <w:p>
      <w:pPr>
        <w:spacing w:after="0" w:line="62" w:lineRule="exact"/>
        <w:rPr>
          <w:rFonts w:ascii="Arial" w:cs="Arial" w:eastAsia="Arial" w:hAnsi="Arial"/>
          <w:sz w:val="18"/>
          <w:szCs w:val="18"/>
          <w:i w:val="1"/>
          <w:iCs w:val="1"/>
          <w:color w:val="auto"/>
        </w:rPr>
      </w:pPr>
    </w:p>
    <w:p>
      <w:pPr>
        <w:ind w:left="700" w:hanging="264"/>
        <w:spacing w:after="0"/>
        <w:tabs>
          <w:tab w:leader="none" w:pos="70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or</w:t>
      </w:r>
      <w:r>
        <w:rPr>
          <w:rFonts w:ascii="Arial" w:cs="Arial" w:eastAsia="Arial" w:hAnsi="Arial"/>
          <w:sz w:val="18"/>
          <w:szCs w:val="18"/>
          <w:i w:val="1"/>
          <w:iCs w:val="1"/>
          <w:color w:val="auto"/>
        </w:rPr>
        <w:t xml:space="preserve"> “Board</w:t>
      </w:r>
      <w:r>
        <w:rPr>
          <w:rFonts w:ascii="Arial" w:cs="Arial" w:eastAsia="Arial" w:hAnsi="Arial"/>
          <w:sz w:val="18"/>
          <w:szCs w:val="18"/>
          <w:color w:val="auto"/>
        </w:rPr>
        <w:t>” shall mean the Board of Directors of the Company, as constituted from time to time.</w:t>
      </w:r>
    </w:p>
    <w:p>
      <w:pPr>
        <w:spacing w:after="0" w:line="117" w:lineRule="exact"/>
        <w:rPr>
          <w:rFonts w:ascii="Arial" w:cs="Arial" w:eastAsia="Arial" w:hAnsi="Arial"/>
          <w:sz w:val="18"/>
          <w:szCs w:val="18"/>
          <w:i w:val="1"/>
          <w:iCs w:val="1"/>
          <w:color w:val="auto"/>
        </w:rPr>
      </w:pPr>
    </w:p>
    <w:p>
      <w:pPr>
        <w:ind w:firstLine="436"/>
        <w:spacing w:after="0" w:line="268" w:lineRule="auto"/>
        <w:tabs>
          <w:tab w:leader="none" w:pos="685" w:val="left"/>
        </w:tabs>
        <w:numPr>
          <w:ilvl w:val="0"/>
          <w:numId w:val="70"/>
        </w:numPr>
        <w:rPr>
          <w:rFonts w:ascii="Arial" w:cs="Arial" w:eastAsia="Arial" w:hAnsi="Arial"/>
          <w:sz w:val="17"/>
          <w:szCs w:val="17"/>
          <w:i w:val="1"/>
          <w:i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mean, unless such term or an equivalent term is otherwise defined by the applicable Award Agreement or other written 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 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w:t>
      </w:r>
    </w:p>
    <w:p>
      <w:pPr>
        <w:spacing w:after="0" w:line="76" w:lineRule="exact"/>
        <w:rPr>
          <w:rFonts w:ascii="Arial" w:cs="Arial" w:eastAsia="Arial" w:hAnsi="Arial"/>
          <w:sz w:val="17"/>
          <w:szCs w:val="17"/>
          <w:i w:val="1"/>
          <w:iCs w:val="1"/>
          <w:color w:val="auto"/>
        </w:rPr>
      </w:pPr>
    </w:p>
    <w:p>
      <w:pPr>
        <w:ind w:left="660" w:hanging="224"/>
        <w:spacing w:after="0"/>
        <w:tabs>
          <w:tab w:leader="none" w:pos="6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 the occurrence of any of the following events:</w:t>
      </w:r>
    </w:p>
    <w:p>
      <w:pPr>
        <w:spacing w:after="0" w:line="117" w:lineRule="exact"/>
        <w:rPr>
          <w:rFonts w:ascii="Arial" w:cs="Arial" w:eastAsia="Arial" w:hAnsi="Arial"/>
          <w:sz w:val="18"/>
          <w:szCs w:val="18"/>
          <w:i w:val="1"/>
          <w:iCs w:val="1"/>
          <w:color w:val="auto"/>
        </w:rPr>
      </w:pPr>
    </w:p>
    <w:p>
      <w:pPr>
        <w:ind w:left="440" w:right="320" w:firstLine="419"/>
        <w:spacing w:after="0" w:line="277" w:lineRule="auto"/>
        <w:tabs>
          <w:tab w:leader="none" w:pos="107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occurs, as a result of which fewer than one-half of the incumbent directors are directors who either: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73" w:name="page74"/>
    <w:bookmarkEnd w:id="73"/>
    <w:p>
      <w:pPr>
        <w:ind w:left="1680" w:hanging="292"/>
        <w:spacing w:after="0"/>
        <w:tabs>
          <w:tab w:leader="none" w:pos="168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Had been directors of the Company on the “look-back date” (as defined below) (the “original directors”); or</w:t>
      </w:r>
    </w:p>
    <w:p>
      <w:pPr>
        <w:spacing w:after="0" w:line="117" w:lineRule="exact"/>
        <w:rPr>
          <w:rFonts w:ascii="Arial" w:cs="Arial" w:eastAsia="Arial" w:hAnsi="Arial"/>
          <w:sz w:val="18"/>
          <w:szCs w:val="18"/>
          <w:color w:val="auto"/>
        </w:rPr>
      </w:pPr>
    </w:p>
    <w:p>
      <w:pPr>
        <w:ind w:left="980" w:right="340" w:firstLine="408"/>
        <w:spacing w:after="0" w:line="263" w:lineRule="auto"/>
        <w:tabs>
          <w:tab w:leader="none" w:pos="1666"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w:t>
      </w:r>
    </w:p>
    <w:p>
      <w:pPr>
        <w:spacing w:after="0" w:line="75" w:lineRule="exact"/>
        <w:rPr>
          <w:rFonts w:ascii="Arial" w:cs="Arial" w:eastAsia="Arial" w:hAnsi="Arial"/>
          <w:sz w:val="18"/>
          <w:szCs w:val="18"/>
          <w:color w:val="auto"/>
        </w:rPr>
      </w:pPr>
    </w:p>
    <w:p>
      <w:pPr>
        <w:ind w:left="440" w:right="20" w:firstLine="419"/>
        <w:spacing w:after="0" w:line="272" w:lineRule="auto"/>
        <w:tabs>
          <w:tab w:leader="none" w:pos="11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69" w:lineRule="exact"/>
        <w:rPr>
          <w:rFonts w:ascii="Arial" w:cs="Arial" w:eastAsia="Arial" w:hAnsi="Arial"/>
          <w:sz w:val="17"/>
          <w:szCs w:val="17"/>
          <w:color w:val="auto"/>
        </w:rPr>
      </w:pPr>
    </w:p>
    <w:p>
      <w:pPr>
        <w:jc w:val="both"/>
        <w:ind w:left="440" w:right="300" w:firstLine="419"/>
        <w:spacing w:after="0" w:line="301" w:lineRule="auto"/>
        <w:tabs>
          <w:tab w:leader="none" w:pos="11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49" w:lineRule="exact"/>
        <w:rPr>
          <w:rFonts w:ascii="Arial" w:cs="Arial" w:eastAsia="Arial" w:hAnsi="Arial"/>
          <w:sz w:val="16"/>
          <w:szCs w:val="16"/>
          <w:color w:val="auto"/>
        </w:rPr>
      </w:pPr>
    </w:p>
    <w:p>
      <w:pPr>
        <w:ind w:left="1160" w:hanging="301"/>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For purposes of subsection 2.f)i) above, the term “look-back” date shall mean the date 24 months prior to the date of the event that may constitute a Change in Control.</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purposes of subsection 2.f)iii))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4" w:right="479" w:bottom="1440" w:gutter="0" w:footer="0" w:header="0"/>
        </w:sectPr>
      </w:pPr>
    </w:p>
    <w:bookmarkStart w:id="74" w:name="page75"/>
    <w:bookmarkEnd w:id="74"/>
    <w:p>
      <w:pPr>
        <w:ind w:left="640" w:hanging="264"/>
        <w:spacing w:after="0"/>
        <w:tabs>
          <w:tab w:leader="none" w:pos="64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i w:val="1"/>
          <w:iCs w:val="1"/>
          <w:color w:val="auto"/>
        </w:rPr>
      </w:pPr>
    </w:p>
    <w:p>
      <w:pPr>
        <w:ind w:left="-60" w:firstLine="436"/>
        <w:spacing w:after="0" w:line="277" w:lineRule="auto"/>
        <w:tabs>
          <w:tab w:leader="none" w:pos="63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as designated by the Board of Directors, which is authorized to administer the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3 hereof.</w:t>
      </w:r>
    </w:p>
    <w:p>
      <w:pPr>
        <w:spacing w:after="0" w:line="62" w:lineRule="exact"/>
        <w:rPr>
          <w:rFonts w:ascii="Arial" w:cs="Arial" w:eastAsia="Arial" w:hAnsi="Arial"/>
          <w:sz w:val="18"/>
          <w:szCs w:val="18"/>
          <w:i w:val="1"/>
          <w:iCs w:val="1"/>
          <w:color w:val="auto"/>
        </w:rPr>
      </w:pPr>
    </w:p>
    <w:p>
      <w:pPr>
        <w:ind w:left="600" w:hanging="224"/>
        <w:spacing w:after="0"/>
        <w:tabs>
          <w:tab w:leader="none" w:pos="60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Plus Therapeutics, Inc., a Delaware corporation, or any successor corporation thereto.</w:t>
      </w:r>
    </w:p>
    <w:p>
      <w:pPr>
        <w:spacing w:after="0" w:line="117" w:lineRule="exact"/>
        <w:rPr>
          <w:rFonts w:ascii="Arial" w:cs="Arial" w:eastAsia="Arial" w:hAnsi="Arial"/>
          <w:sz w:val="18"/>
          <w:szCs w:val="18"/>
          <w:i w:val="1"/>
          <w:iCs w:val="1"/>
          <w:color w:val="auto"/>
        </w:rPr>
      </w:pPr>
    </w:p>
    <w:p>
      <w:pPr>
        <w:ind w:left="-60" w:right="460" w:firstLine="436"/>
        <w:spacing w:after="0" w:line="263" w:lineRule="auto"/>
        <w:tabs>
          <w:tab w:leader="none" w:pos="59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shall mean an individual who is a consultant or advisor and who provides bona fide services to the Company, a Parent,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or an Affiliate as an independent contractor (not including service as a member of the Board of Directors) or a member of the board of directors of a Parent or a Subsidiary, in each case who is not an Employee.</w:t>
      </w:r>
    </w:p>
    <w:p>
      <w:pPr>
        <w:spacing w:after="0" w:line="75" w:lineRule="exact"/>
        <w:rPr>
          <w:rFonts w:ascii="Arial" w:cs="Arial" w:eastAsia="Arial" w:hAnsi="Arial"/>
          <w:sz w:val="18"/>
          <w:szCs w:val="18"/>
          <w:i w:val="1"/>
          <w:iCs w:val="1"/>
          <w:color w:val="auto"/>
        </w:rPr>
      </w:pPr>
    </w:p>
    <w:p>
      <w:pPr>
        <w:ind w:left="620" w:hanging="244"/>
        <w:spacing w:after="0"/>
        <w:tabs>
          <w:tab w:leader="none" w:pos="62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any permanent and total disability as defined by section 22(e)(3) of the Code</w:t>
      </w:r>
    </w:p>
    <w:p>
      <w:pPr>
        <w:spacing w:after="0" w:line="117" w:lineRule="exact"/>
        <w:rPr>
          <w:rFonts w:ascii="Arial" w:cs="Arial" w:eastAsia="Arial" w:hAnsi="Arial"/>
          <w:sz w:val="18"/>
          <w:szCs w:val="18"/>
          <w:i w:val="1"/>
          <w:iCs w:val="1"/>
          <w:color w:val="auto"/>
        </w:rPr>
      </w:pPr>
    </w:p>
    <w:p>
      <w:pPr>
        <w:ind w:left="-60" w:right="100" w:firstLine="436"/>
        <w:spacing w:after="0" w:line="277" w:lineRule="auto"/>
        <w:tabs>
          <w:tab w:leader="none" w:pos="59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shall mean the effective date of this Plan document, which is the date of the annual meeting of stockholders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2020.</w:t>
      </w:r>
    </w:p>
    <w:p>
      <w:pPr>
        <w:spacing w:after="0" w:line="62" w:lineRule="exact"/>
        <w:rPr>
          <w:rFonts w:ascii="Arial" w:cs="Arial" w:eastAsia="Arial" w:hAnsi="Arial"/>
          <w:sz w:val="18"/>
          <w:szCs w:val="18"/>
          <w:i w:val="1"/>
          <w:iCs w:val="1"/>
          <w:color w:val="auto"/>
        </w:rPr>
      </w:pPr>
    </w:p>
    <w:p>
      <w:pPr>
        <w:ind w:left="680" w:hanging="304"/>
        <w:spacing w:after="0"/>
        <w:tabs>
          <w:tab w:leader="none" w:pos="68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shall mean any individual who is a common-law employee of the Company, a Parent, a Subsidiary or an Affiliate.</w:t>
      </w:r>
    </w:p>
    <w:p>
      <w:pPr>
        <w:spacing w:after="0" w:line="117" w:lineRule="exact"/>
        <w:rPr>
          <w:rFonts w:ascii="Arial" w:cs="Arial" w:eastAsia="Arial" w:hAnsi="Arial"/>
          <w:sz w:val="18"/>
          <w:szCs w:val="18"/>
          <w:i w:val="1"/>
          <w:iCs w:val="1"/>
          <w:color w:val="auto"/>
        </w:rPr>
      </w:pPr>
    </w:p>
    <w:p>
      <w:pPr>
        <w:ind w:left="640" w:hanging="264"/>
        <w:spacing w:after="0"/>
        <w:tabs>
          <w:tab w:leader="none" w:pos="64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shall mean the Securities Exchange Act of 1934, as amended, and the rules and regulations promulgated thereunder.</w:t>
      </w:r>
    </w:p>
    <w:p>
      <w:pPr>
        <w:spacing w:after="0" w:line="128" w:lineRule="exact"/>
        <w:rPr>
          <w:rFonts w:ascii="Arial" w:cs="Arial" w:eastAsia="Arial" w:hAnsi="Arial"/>
          <w:sz w:val="17"/>
          <w:szCs w:val="17"/>
          <w:i w:val="1"/>
          <w:iCs w:val="1"/>
          <w:color w:val="auto"/>
        </w:rPr>
      </w:pPr>
    </w:p>
    <w:p>
      <w:pPr>
        <w:ind w:left="-60" w:right="140" w:firstLine="436"/>
        <w:spacing w:after="0" w:line="311" w:lineRule="auto"/>
        <w:tabs>
          <w:tab w:leader="none" w:pos="635"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shall mean, in the case of an Option, the amount for which one Share may be purchased upon exercise of such Option,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40" w:lineRule="exact"/>
        <w:rPr>
          <w:rFonts w:ascii="Arial" w:cs="Arial" w:eastAsia="Arial" w:hAnsi="Arial"/>
          <w:sz w:val="16"/>
          <w:szCs w:val="16"/>
          <w:i w:val="1"/>
          <w:iCs w:val="1"/>
          <w:color w:val="auto"/>
        </w:rPr>
      </w:pPr>
    </w:p>
    <w:p>
      <w:pPr>
        <w:ind w:left="640" w:hanging="264"/>
        <w:spacing w:after="0"/>
        <w:tabs>
          <w:tab w:leader="none" w:pos="64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with respect to a Share, shall mean the market price of one Share, determined by the Committee as follows:</w:t>
      </w:r>
    </w:p>
    <w:p>
      <w:pPr>
        <w:spacing w:after="0" w:line="117" w:lineRule="exact"/>
        <w:rPr>
          <w:rFonts w:ascii="Arial" w:cs="Arial" w:eastAsia="Arial" w:hAnsi="Arial"/>
          <w:sz w:val="18"/>
          <w:szCs w:val="18"/>
          <w:i w:val="1"/>
          <w:iCs w:val="1"/>
          <w:color w:val="auto"/>
        </w:rPr>
      </w:pPr>
    </w:p>
    <w:p>
      <w:pPr>
        <w:ind w:left="380" w:right="180" w:firstLine="419"/>
        <w:spacing w:after="0" w:line="259" w:lineRule="auto"/>
        <w:tabs>
          <w:tab w:leader="none" w:pos="10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w:t>
      </w:r>
    </w:p>
    <w:p>
      <w:pPr>
        <w:spacing w:after="0" w:line="78" w:lineRule="exact"/>
        <w:rPr>
          <w:rFonts w:ascii="Arial" w:cs="Arial" w:eastAsia="Arial" w:hAnsi="Arial"/>
          <w:sz w:val="18"/>
          <w:szCs w:val="18"/>
          <w:color w:val="auto"/>
        </w:rPr>
      </w:pPr>
    </w:p>
    <w:p>
      <w:pPr>
        <w:ind w:left="380" w:firstLine="419"/>
        <w:spacing w:after="0" w:line="263" w:lineRule="auto"/>
        <w:tabs>
          <w:tab w:leader="none" w:pos="10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880"/>
          </w:cols>
          <w:pgMar w:left="500" w:top="274" w:right="519" w:bottom="1440" w:gutter="0" w:footer="0" w:header="0"/>
        </w:sectPr>
      </w:pPr>
    </w:p>
    <w:bookmarkStart w:id="75" w:name="page76"/>
    <w:bookmarkEnd w:id="75"/>
    <w:p>
      <w:pPr>
        <w:ind w:left="440" w:firstLine="419"/>
        <w:spacing w:after="0" w:line="277" w:lineRule="auto"/>
        <w:tabs>
          <w:tab w:leader="none" w:pos="1178"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none of the foregoing provisions is applicable, then the Fair Market Value shall be determined by the Committee in good faith on such basis as it deems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all cases, the determination of Fair Market Value by the Committee shall be conclusive and binding on all persons.</w:t>
      </w:r>
    </w:p>
    <w:p>
      <w:pPr>
        <w:spacing w:after="0" w:line="117" w:lineRule="exact"/>
        <w:rPr>
          <w:sz w:val="20"/>
          <w:szCs w:val="20"/>
          <w:color w:val="auto"/>
        </w:rPr>
      </w:pPr>
    </w:p>
    <w:p>
      <w:pPr>
        <w:ind w:left="700" w:hanging="264"/>
        <w:spacing w:after="0"/>
        <w:tabs>
          <w:tab w:leader="none" w:pos="70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 </w:t>
      </w:r>
      <w:r>
        <w:rPr>
          <w:rFonts w:ascii="Arial" w:cs="Arial" w:eastAsia="Arial" w:hAnsi="Arial"/>
          <w:sz w:val="18"/>
          <w:szCs w:val="18"/>
          <w:color w:val="auto"/>
        </w:rPr>
        <w:t>shall mean an employee incentive stock option described in Section 422 of the Code.</w:t>
      </w:r>
    </w:p>
    <w:p>
      <w:pPr>
        <w:spacing w:after="0" w:line="117" w:lineRule="exact"/>
        <w:rPr>
          <w:rFonts w:ascii="Arial" w:cs="Arial" w:eastAsia="Arial" w:hAnsi="Arial"/>
          <w:sz w:val="18"/>
          <w:szCs w:val="18"/>
          <w:i w:val="1"/>
          <w:iCs w:val="1"/>
          <w:color w:val="auto"/>
        </w:rPr>
      </w:pPr>
    </w:p>
    <w:p>
      <w:pPr>
        <w:ind w:left="680" w:hanging="244"/>
        <w:spacing w:after="0"/>
        <w:tabs>
          <w:tab w:leader="none" w:pos="68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“Nonstatutory 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“NSO” </w:t>
      </w:r>
      <w:r>
        <w:rPr>
          <w:rFonts w:ascii="Arial" w:cs="Arial" w:eastAsia="Arial" w:hAnsi="Arial"/>
          <w:sz w:val="18"/>
          <w:szCs w:val="18"/>
          <w:color w:val="auto"/>
        </w:rPr>
        <w:t>shall mean an employee stock option that is not an ISO.</w:t>
      </w:r>
    </w:p>
    <w:p>
      <w:pPr>
        <w:spacing w:after="0" w:line="117" w:lineRule="exact"/>
        <w:rPr>
          <w:rFonts w:ascii="Arial" w:cs="Arial" w:eastAsia="Arial" w:hAnsi="Arial"/>
          <w:sz w:val="18"/>
          <w:szCs w:val="18"/>
          <w:i w:val="1"/>
          <w:iCs w:val="1"/>
          <w:color w:val="auto"/>
        </w:rPr>
      </w:pPr>
    </w:p>
    <w:p>
      <w:pPr>
        <w:ind w:right="80" w:firstLine="436"/>
        <w:spacing w:after="0" w:line="277" w:lineRule="auto"/>
        <w:tabs>
          <w:tab w:leader="none" w:pos="67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“Offeree” </w:t>
      </w:r>
      <w:r>
        <w:rPr>
          <w:rFonts w:ascii="Arial" w:cs="Arial" w:eastAsia="Arial" w:hAnsi="Arial"/>
          <w:sz w:val="18"/>
          <w:szCs w:val="18"/>
          <w:color w:val="auto"/>
        </w:rPr>
        <w:t>shall mean an individual to whom the Committee has offered the right to acquire Shares under the Plan (other than upon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or SAR).</w:t>
      </w:r>
    </w:p>
    <w:p>
      <w:pPr>
        <w:spacing w:after="0" w:line="62" w:lineRule="exact"/>
        <w:rPr>
          <w:rFonts w:ascii="Arial" w:cs="Arial" w:eastAsia="Arial" w:hAnsi="Arial"/>
          <w:sz w:val="18"/>
          <w:szCs w:val="18"/>
          <w:i w:val="1"/>
          <w:iCs w:val="1"/>
          <w:color w:val="auto"/>
        </w:rPr>
      </w:pPr>
    </w:p>
    <w:p>
      <w:pPr>
        <w:ind w:left="660" w:hanging="224"/>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shall mean an ISO or Nonstatutory Option granted under the Plan and entitling the holder to purchase Shares.</w:t>
      </w:r>
    </w:p>
    <w:p>
      <w:pPr>
        <w:spacing w:after="0" w:line="117" w:lineRule="exact"/>
        <w:rPr>
          <w:rFonts w:ascii="Arial" w:cs="Arial" w:eastAsia="Arial" w:hAnsi="Arial"/>
          <w:sz w:val="18"/>
          <w:szCs w:val="18"/>
          <w:i w:val="1"/>
          <w:iCs w:val="1"/>
          <w:color w:val="auto"/>
        </w:rPr>
      </w:pPr>
    </w:p>
    <w:p>
      <w:pPr>
        <w:ind w:left="700" w:hanging="264"/>
        <w:spacing w:after="0"/>
        <w:tabs>
          <w:tab w:leader="none" w:pos="70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“Optionee” </w:t>
      </w:r>
      <w:r>
        <w:rPr>
          <w:rFonts w:ascii="Arial" w:cs="Arial" w:eastAsia="Arial" w:hAnsi="Arial"/>
          <w:sz w:val="18"/>
          <w:szCs w:val="18"/>
          <w:color w:val="auto"/>
        </w:rPr>
        <w:t>shall mean the holder of an Option or SAR.</w:t>
      </w:r>
    </w:p>
    <w:p>
      <w:pPr>
        <w:spacing w:after="0" w:line="117" w:lineRule="exact"/>
        <w:rPr>
          <w:rFonts w:ascii="Arial" w:cs="Arial" w:eastAsia="Arial" w:hAnsi="Arial"/>
          <w:sz w:val="18"/>
          <w:szCs w:val="18"/>
          <w:i w:val="1"/>
          <w:iCs w:val="1"/>
          <w:color w:val="auto"/>
        </w:rPr>
      </w:pPr>
    </w:p>
    <w:p>
      <w:pPr>
        <w:ind w:right="740" w:firstLine="436"/>
        <w:spacing w:after="0" w:line="277" w:lineRule="auto"/>
        <w:tabs>
          <w:tab w:leader="none" w:pos="68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“Outside Director” </w:t>
      </w:r>
      <w:r>
        <w:rPr>
          <w:rFonts w:ascii="Arial" w:cs="Arial" w:eastAsia="Arial" w:hAnsi="Arial"/>
          <w:sz w:val="18"/>
          <w:szCs w:val="18"/>
          <w:color w:val="auto"/>
        </w:rPr>
        <w:t>shall mean a member of the Board of Directors who is not a common-law employee of, or paid consultant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 Parent or a Subsidiary.</w:t>
      </w:r>
    </w:p>
    <w:p>
      <w:pPr>
        <w:spacing w:after="0" w:line="62" w:lineRule="exact"/>
        <w:rPr>
          <w:rFonts w:ascii="Arial" w:cs="Arial" w:eastAsia="Arial" w:hAnsi="Arial"/>
          <w:sz w:val="18"/>
          <w:szCs w:val="18"/>
          <w:i w:val="1"/>
          <w:iCs w:val="1"/>
          <w:color w:val="auto"/>
        </w:rPr>
      </w:pPr>
    </w:p>
    <w:p>
      <w:pPr>
        <w:ind w:right="60" w:firstLine="436"/>
        <w:spacing w:after="0" w:line="259" w:lineRule="auto"/>
        <w:tabs>
          <w:tab w:leader="none" w:pos="72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78" w:lineRule="exact"/>
        <w:rPr>
          <w:rFonts w:ascii="Arial" w:cs="Arial" w:eastAsia="Arial" w:hAnsi="Arial"/>
          <w:sz w:val="18"/>
          <w:szCs w:val="18"/>
          <w:i w:val="1"/>
          <w:iCs w:val="1"/>
          <w:color w:val="auto"/>
        </w:rPr>
      </w:pPr>
    </w:p>
    <w:p>
      <w:pPr>
        <w:ind w:left="680" w:hanging="244"/>
        <w:spacing w:after="0"/>
        <w:tabs>
          <w:tab w:leader="none" w:pos="68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the holder of an Award.</w:t>
      </w:r>
    </w:p>
    <w:p>
      <w:pPr>
        <w:spacing w:after="0" w:line="117" w:lineRule="exact"/>
        <w:rPr>
          <w:rFonts w:ascii="Arial" w:cs="Arial" w:eastAsia="Arial" w:hAnsi="Arial"/>
          <w:sz w:val="18"/>
          <w:szCs w:val="18"/>
          <w:i w:val="1"/>
          <w:iCs w:val="1"/>
          <w:color w:val="auto"/>
        </w:rPr>
      </w:pPr>
    </w:p>
    <w:p>
      <w:pPr>
        <w:ind w:left="680" w:hanging="244"/>
        <w:spacing w:after="0"/>
        <w:tabs>
          <w:tab w:leader="none" w:pos="68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this 2020 Stock Incentive Plan of Plus Therapeutics, Inc., as amended from time to time.</w:t>
      </w:r>
    </w:p>
    <w:p>
      <w:pPr>
        <w:spacing w:after="0" w:line="117" w:lineRule="exact"/>
        <w:rPr>
          <w:rFonts w:ascii="Arial" w:cs="Arial" w:eastAsia="Arial" w:hAnsi="Arial"/>
          <w:sz w:val="18"/>
          <w:szCs w:val="18"/>
          <w:i w:val="1"/>
          <w:iCs w:val="1"/>
          <w:color w:val="auto"/>
        </w:rPr>
      </w:pPr>
    </w:p>
    <w:p>
      <w:pPr>
        <w:ind w:right="80" w:firstLine="436"/>
        <w:spacing w:after="0" w:line="277" w:lineRule="auto"/>
        <w:tabs>
          <w:tab w:leader="none" w:pos="67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shall mean the consideration for which one Share may be acquired under the Plan (other than upon exercise of an Option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SAR), as specified by the Committee.</w:t>
      </w:r>
    </w:p>
    <w:p>
      <w:pPr>
        <w:spacing w:after="0" w:line="62" w:lineRule="exact"/>
        <w:rPr>
          <w:sz w:val="20"/>
          <w:szCs w:val="20"/>
          <w:color w:val="auto"/>
        </w:rPr>
      </w:pPr>
    </w:p>
    <w:p>
      <w:pPr>
        <w:ind w:left="780" w:hanging="344"/>
        <w:spacing w:after="0"/>
        <w:tabs>
          <w:tab w:leader="none" w:pos="78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w:t>
      </w:r>
      <w:r>
        <w:rPr>
          <w:rFonts w:ascii="Arial" w:cs="Arial" w:eastAsia="Arial" w:hAnsi="Arial"/>
          <w:sz w:val="18"/>
          <w:szCs w:val="18"/>
          <w:color w:val="auto"/>
        </w:rPr>
        <w:t>shall mean a Share awarded under the Plan.</w:t>
      </w:r>
    </w:p>
    <w:p>
      <w:pPr>
        <w:spacing w:after="0" w:line="117" w:lineRule="exact"/>
        <w:rPr>
          <w:rFonts w:ascii="Arial" w:cs="Arial" w:eastAsia="Arial" w:hAnsi="Arial"/>
          <w:sz w:val="18"/>
          <w:szCs w:val="18"/>
          <w:i w:val="1"/>
          <w:iCs w:val="1"/>
          <w:color w:val="auto"/>
        </w:rPr>
      </w:pPr>
    </w:p>
    <w:p>
      <w:pPr>
        <w:ind w:right="300" w:firstLine="436"/>
        <w:spacing w:after="0" w:line="277" w:lineRule="auto"/>
        <w:tabs>
          <w:tab w:leader="none" w:pos="785"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Agreement” </w:t>
      </w:r>
      <w:r>
        <w:rPr>
          <w:rFonts w:ascii="Arial" w:cs="Arial" w:eastAsia="Arial" w:hAnsi="Arial"/>
          <w:sz w:val="18"/>
          <w:szCs w:val="18"/>
          <w:color w:val="auto"/>
        </w:rPr>
        <w:t>shall mean the agreement between the Company and the recipient of a Restricted Share which contains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restrictions pertaining to such Restricted Shares.</w:t>
      </w:r>
    </w:p>
    <w:p>
      <w:pPr>
        <w:spacing w:after="0" w:line="62" w:lineRule="exact"/>
        <w:rPr>
          <w:rFonts w:ascii="Arial" w:cs="Arial" w:eastAsia="Arial" w:hAnsi="Arial"/>
          <w:sz w:val="18"/>
          <w:szCs w:val="18"/>
          <w:i w:val="1"/>
          <w:iCs w:val="1"/>
          <w:color w:val="auto"/>
        </w:rPr>
      </w:pPr>
    </w:p>
    <w:p>
      <w:pPr>
        <w:ind w:left="760" w:hanging="324"/>
        <w:spacing w:after="0"/>
        <w:tabs>
          <w:tab w:leader="none" w:pos="7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w:t>
      </w:r>
      <w:r>
        <w:rPr>
          <w:rFonts w:ascii="Arial" w:cs="Arial" w:eastAsia="Arial" w:hAnsi="Arial"/>
          <w:sz w:val="18"/>
          <w:szCs w:val="18"/>
          <w:color w:val="auto"/>
        </w:rPr>
        <w:t>shall mean a stock appreciation right granted under the Plan.</w:t>
      </w:r>
    </w:p>
    <w:p>
      <w:pPr>
        <w:spacing w:after="0" w:line="117" w:lineRule="exact"/>
        <w:rPr>
          <w:rFonts w:ascii="Arial" w:cs="Arial" w:eastAsia="Arial" w:hAnsi="Arial"/>
          <w:sz w:val="18"/>
          <w:szCs w:val="18"/>
          <w:i w:val="1"/>
          <w:iCs w:val="1"/>
          <w:color w:val="auto"/>
        </w:rPr>
      </w:pPr>
    </w:p>
    <w:p>
      <w:pPr>
        <w:ind w:right="300" w:firstLine="436"/>
        <w:spacing w:after="0" w:line="277" w:lineRule="auto"/>
        <w:tabs>
          <w:tab w:leader="none" w:pos="785"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Agreement” </w:t>
      </w:r>
      <w:r>
        <w:rPr>
          <w:rFonts w:ascii="Arial" w:cs="Arial" w:eastAsia="Arial" w:hAnsi="Arial"/>
          <w:sz w:val="18"/>
          <w:szCs w:val="18"/>
          <w:color w:val="auto"/>
        </w:rPr>
        <w:t>shall mean the agreement between the Company and an Optionee which contains the terms, conditions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his or her SAR.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76" w:name="page77"/>
    <w:bookmarkEnd w:id="76"/>
    <w:p>
      <w:pPr>
        <w:ind w:firstLine="436"/>
        <w:spacing w:after="0" w:line="271" w:lineRule="auto"/>
        <w:tabs>
          <w:tab w:leader="none" w:pos="765" w:val="left"/>
        </w:tabs>
        <w:numPr>
          <w:ilvl w:val="0"/>
          <w:numId w:val="77"/>
        </w:numPr>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“Service” </w:t>
      </w:r>
      <w:r>
        <w:rPr>
          <w:rFonts w:ascii="Arial" w:cs="Arial" w:eastAsia="Arial" w:hAnsi="Arial"/>
          <w:sz w:val="17"/>
          <w:szCs w:val="17"/>
          <w:color w:val="auto"/>
        </w:rPr>
        <w:t>shall mean service as an Employee, Consultant or Outside Director, subject to such further limitations as may be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w:t>
      </w:r>
    </w:p>
    <w:p>
      <w:pPr>
        <w:spacing w:after="0" w:line="70" w:lineRule="exact"/>
        <w:rPr>
          <w:rFonts w:ascii="Arial" w:cs="Arial" w:eastAsia="Arial" w:hAnsi="Arial"/>
          <w:sz w:val="17"/>
          <w:szCs w:val="17"/>
          <w:i w:val="1"/>
          <w:iCs w:val="1"/>
          <w:color w:val="auto"/>
        </w:rPr>
      </w:pPr>
    </w:p>
    <w:p>
      <w:pPr>
        <w:ind w:left="700" w:hanging="264"/>
        <w:spacing w:after="0"/>
        <w:tabs>
          <w:tab w:leader="none" w:pos="70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shall mean one share of Stock, as adjusted in accordance with Section 11 (if applicable).</w:t>
      </w:r>
    </w:p>
    <w:p>
      <w:pPr>
        <w:spacing w:after="0" w:line="117" w:lineRule="exact"/>
        <w:rPr>
          <w:rFonts w:ascii="Arial" w:cs="Arial" w:eastAsia="Arial" w:hAnsi="Arial"/>
          <w:sz w:val="18"/>
          <w:szCs w:val="18"/>
          <w:i w:val="1"/>
          <w:iCs w:val="1"/>
          <w:color w:val="auto"/>
        </w:rPr>
      </w:pPr>
    </w:p>
    <w:p>
      <w:pPr>
        <w:ind w:left="780" w:hanging="344"/>
        <w:spacing w:after="0"/>
        <w:tabs>
          <w:tab w:leader="none" w:pos="78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shall mean the Common Stock of the Company.</w:t>
      </w:r>
    </w:p>
    <w:p>
      <w:pPr>
        <w:spacing w:after="0" w:line="117" w:lineRule="exact"/>
        <w:rPr>
          <w:rFonts w:ascii="Arial" w:cs="Arial" w:eastAsia="Arial" w:hAnsi="Arial"/>
          <w:sz w:val="18"/>
          <w:szCs w:val="18"/>
          <w:i w:val="1"/>
          <w:iCs w:val="1"/>
          <w:color w:val="auto"/>
        </w:rPr>
      </w:pPr>
    </w:p>
    <w:p>
      <w:pPr>
        <w:ind w:right="700" w:firstLine="436"/>
        <w:spacing w:after="0" w:line="277" w:lineRule="auto"/>
        <w:tabs>
          <w:tab w:leader="none" w:pos="78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Option Agreement” </w:t>
      </w:r>
      <w:r>
        <w:rPr>
          <w:rFonts w:ascii="Arial" w:cs="Arial" w:eastAsia="Arial" w:hAnsi="Arial"/>
          <w:sz w:val="18"/>
          <w:szCs w:val="18"/>
          <w:color w:val="auto"/>
        </w:rPr>
        <w:t>shall mean the agreement between the Company and an Optionee that contains the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pertaining to such Option.</w:t>
      </w:r>
    </w:p>
    <w:p>
      <w:pPr>
        <w:spacing w:after="0" w:line="62" w:lineRule="exact"/>
        <w:rPr>
          <w:rFonts w:ascii="Arial" w:cs="Arial" w:eastAsia="Arial" w:hAnsi="Arial"/>
          <w:sz w:val="18"/>
          <w:szCs w:val="18"/>
          <w:i w:val="1"/>
          <w:iCs w:val="1"/>
          <w:color w:val="auto"/>
        </w:rPr>
      </w:pPr>
    </w:p>
    <w:p>
      <w:pPr>
        <w:ind w:right="120" w:firstLine="436"/>
        <w:spacing w:after="0" w:line="277" w:lineRule="auto"/>
        <w:tabs>
          <w:tab w:leader="none" w:pos="70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shall mean a bookkeeping entry representing the Company’s obligation to deliver one Share (or distribute cash) on a future date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provisions of a Stock Unit Agreement.</w:t>
      </w:r>
    </w:p>
    <w:p>
      <w:pPr>
        <w:spacing w:after="0" w:line="62" w:lineRule="exact"/>
        <w:rPr>
          <w:rFonts w:ascii="Arial" w:cs="Arial" w:eastAsia="Arial" w:hAnsi="Arial"/>
          <w:sz w:val="18"/>
          <w:szCs w:val="18"/>
          <w:i w:val="1"/>
          <w:iCs w:val="1"/>
          <w:color w:val="auto"/>
        </w:rPr>
      </w:pPr>
    </w:p>
    <w:p>
      <w:pPr>
        <w:ind w:right="720" w:firstLine="436"/>
        <w:spacing w:after="0" w:line="277" w:lineRule="auto"/>
        <w:tabs>
          <w:tab w:leader="none" w:pos="70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Agreement” </w:t>
      </w:r>
      <w:r>
        <w:rPr>
          <w:rFonts w:ascii="Arial" w:cs="Arial" w:eastAsia="Arial" w:hAnsi="Arial"/>
          <w:sz w:val="18"/>
          <w:szCs w:val="18"/>
          <w:color w:val="auto"/>
        </w:rPr>
        <w:t>shall mean the agreement between the Company and the recipient of a Stock Unit which contains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pertaining to such Stock Unit.</w:t>
      </w:r>
    </w:p>
    <w:p>
      <w:pPr>
        <w:spacing w:after="0" w:line="62" w:lineRule="exact"/>
        <w:rPr>
          <w:rFonts w:ascii="Arial" w:cs="Arial" w:eastAsia="Arial" w:hAnsi="Arial"/>
          <w:sz w:val="18"/>
          <w:szCs w:val="18"/>
          <w:i w:val="1"/>
          <w:iCs w:val="1"/>
          <w:color w:val="auto"/>
        </w:rPr>
      </w:pPr>
    </w:p>
    <w:p>
      <w:pPr>
        <w:ind w:right="60" w:firstLine="436"/>
        <w:spacing w:after="0" w:line="263" w:lineRule="auto"/>
        <w:tabs>
          <w:tab w:leader="none" w:pos="76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shall mean any corporation, if the Company and/or one or more other Subsidiaries own not less than 50% of the total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all classes of outstanding stock of such corporation. A corporation that attains the status of a Subsidiary on a date after the adoption of the Plan shall be considered a Subsidiary commencing as of such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jc w:val="both"/>
        <w:ind w:right="300" w:firstLine="436"/>
        <w:spacing w:after="0" w:line="259" w:lineRule="auto"/>
        <w:tabs>
          <w:tab w:leader="none" w:pos="695"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Composition</w:t>
      </w:r>
      <w:r>
        <w:rPr>
          <w:rFonts w:ascii="Arial" w:cs="Arial" w:eastAsia="Arial" w:hAnsi="Arial"/>
          <w:sz w:val="18"/>
          <w:szCs w:val="18"/>
          <w:color w:val="auto"/>
        </w:rPr>
        <w:t>. The Plan shall be administered by a Committee appointed by the Board of Directors, or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78" w:lineRule="exact"/>
        <w:rPr>
          <w:rFonts w:ascii="Arial" w:cs="Arial" w:eastAsia="Arial" w:hAnsi="Arial"/>
          <w:sz w:val="18"/>
          <w:szCs w:val="18"/>
          <w:i w:val="1"/>
          <w:iCs w:val="1"/>
          <w:color w:val="auto"/>
        </w:rPr>
      </w:pPr>
    </w:p>
    <w:p>
      <w:pPr>
        <w:ind w:right="20" w:firstLine="436"/>
        <w:spacing w:after="0" w:line="342" w:lineRule="auto"/>
        <w:tabs>
          <w:tab w:leader="none" w:pos="695"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for Non-Officer Grants</w:t>
      </w:r>
      <w:r>
        <w:rPr>
          <w:rFonts w:ascii="Arial" w:cs="Arial" w:eastAsia="Arial" w:hAnsi="Arial"/>
          <w:sz w:val="16"/>
          <w:szCs w:val="16"/>
          <w:color w:val="auto"/>
        </w:rPr>
        <w:t>. The Board of Directors may also appoint one or more separate committees of the Board, each composed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directors of the Company who need not satisfy the requirements of Section 3.a), who may administer the Plan with respect 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77" w:name="page78"/>
    <w:bookmarkEnd w:id="7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w:t>
      </w:r>
    </w:p>
    <w:p>
      <w:pPr>
        <w:spacing w:after="0" w:line="70" w:lineRule="exact"/>
        <w:rPr>
          <w:sz w:val="20"/>
          <w:szCs w:val="20"/>
          <w:color w:val="auto"/>
        </w:rPr>
      </w:pPr>
    </w:p>
    <w:p>
      <w:pPr>
        <w:ind w:right="80" w:firstLine="436"/>
        <w:spacing w:after="0" w:line="286" w:lineRule="auto"/>
        <w:tabs>
          <w:tab w:leader="none" w:pos="685" w:val="left"/>
        </w:tabs>
        <w:numPr>
          <w:ilvl w:val="0"/>
          <w:numId w:val="79"/>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Procedures</w:t>
      </w:r>
      <w:r>
        <w:rPr>
          <w:rFonts w:ascii="Arial" w:cs="Arial" w:eastAsia="Arial" w:hAnsi="Arial"/>
          <w:sz w:val="17"/>
          <w:szCs w:val="17"/>
          <w:color w:val="auto"/>
        </w:rPr>
        <w:t>. The Board of Directors shall designate one of the members of the Committee as chairman. The Committee may hold</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57" w:lineRule="exact"/>
        <w:rPr>
          <w:rFonts w:ascii="Arial" w:cs="Arial" w:eastAsia="Arial" w:hAnsi="Arial"/>
          <w:sz w:val="17"/>
          <w:szCs w:val="17"/>
          <w:i w:val="1"/>
          <w:iCs w:val="1"/>
          <w:color w:val="auto"/>
        </w:rPr>
      </w:pPr>
    </w:p>
    <w:p>
      <w:pPr>
        <w:ind w:left="700" w:hanging="264"/>
        <w:spacing w:after="0"/>
        <w:tabs>
          <w:tab w:leader="none" w:pos="70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 take the following</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actions:</w:t>
      </w:r>
    </w:p>
    <w:p>
      <w:pPr>
        <w:spacing w:after="0" w:line="102" w:lineRule="exact"/>
        <w:rPr>
          <w:rFonts w:ascii="Arial" w:cs="Arial" w:eastAsia="Arial" w:hAnsi="Arial"/>
          <w:sz w:val="16"/>
          <w:szCs w:val="16"/>
          <w:i w:val="1"/>
          <w:iCs w:val="1"/>
          <w:color w:val="auto"/>
        </w:rPr>
      </w:pPr>
    </w:p>
    <w:p>
      <w:pPr>
        <w:ind w:left="1080" w:hanging="221"/>
        <w:spacing w:after="0"/>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interpret the Plan and to apply its provisions;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adopt, amend or rescind rules, procedures and forms relating to the Plan;</w:t>
      </w:r>
    </w:p>
    <w:p>
      <w:pPr>
        <w:spacing w:after="0" w:line="117" w:lineRule="exact"/>
        <w:rPr>
          <w:rFonts w:ascii="Arial" w:cs="Arial" w:eastAsia="Arial" w:hAnsi="Arial"/>
          <w:sz w:val="18"/>
          <w:szCs w:val="18"/>
          <w:color w:val="auto"/>
        </w:rPr>
      </w:pPr>
    </w:p>
    <w:p>
      <w:pPr>
        <w:ind w:left="440" w:right="560" w:firstLine="419"/>
        <w:spacing w:after="0" w:line="277" w:lineRule="auto"/>
        <w:tabs>
          <w:tab w:leader="none" w:pos="117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adopt, amend or terminate sub-plans established for the purpose of satisfying applicable foreign laws including qualifying for preferred tax treatment under applicable foreign tax laws;</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select the Offerees, Optionees and Participants;</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determine the type of Award and number of Shares or amount of cash to be made subject to each Award;</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2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78" w:name="page79"/>
    <w:bookmarkEnd w:id="78"/>
    <w:p>
      <w:pPr>
        <w:ind w:left="440" w:right="700" w:firstLine="419"/>
        <w:spacing w:after="0" w:line="277" w:lineRule="auto"/>
        <w:tabs>
          <w:tab w:leader="none" w:pos="1168"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amend any outstanding Award Agreement, subject to applicable legal restrictions and to the consent of the Participant if the Participant’s rights or obligations would be materially impaired;</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1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prescribe the consideration for the grant of each Award or other right under the Plan and to determine the sufficiency of such consideration;</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determine the disposition of each Award or other right under the Plan in the event of a Participant’s divorce or dissolution of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marriage;</w:t>
      </w:r>
    </w:p>
    <w:p>
      <w:pPr>
        <w:spacing w:after="0" w:line="102" w:lineRule="exact"/>
        <w:rPr>
          <w:rFonts w:ascii="Arial" w:cs="Arial" w:eastAsia="Arial" w:hAnsi="Arial"/>
          <w:sz w:val="17"/>
          <w:szCs w:val="17"/>
          <w:color w:val="auto"/>
        </w:rPr>
      </w:pPr>
    </w:p>
    <w:p>
      <w:pPr>
        <w:ind w:left="440" w:right="160" w:firstLine="419"/>
        <w:spacing w:after="0" w:line="277" w:lineRule="auto"/>
        <w:tabs>
          <w:tab w:leader="none" w:pos="12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determine whether Awards under the Plan will be granted in replacement of other grants under an incentive or other compensation plan of an acquired business;</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w:t>
      </w:r>
    </w:p>
    <w:p>
      <w:pPr>
        <w:spacing w:after="0" w:line="117" w:lineRule="exact"/>
        <w:rPr>
          <w:rFonts w:ascii="Arial" w:cs="Arial" w:eastAsia="Arial" w:hAnsi="Arial"/>
          <w:sz w:val="18"/>
          <w:szCs w:val="18"/>
          <w:color w:val="auto"/>
        </w:rPr>
      </w:pPr>
    </w:p>
    <w:p>
      <w:pPr>
        <w:ind w:left="440" w:right="700" w:firstLine="419"/>
        <w:spacing w:after="0" w:line="277" w:lineRule="auto"/>
        <w:tabs>
          <w:tab w:leader="none" w:pos="12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establish or verify the extent of satisfaction of any performance goals or other conditions applicable to the grant, issuance, exercisability, vesting and/or ability to retain any Award; and</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take any other actions deemed necessary or advisable for the administration of the Plan.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w:t>
      </w:r>
    </w:p>
    <w:p>
      <w:pPr>
        <w:spacing w:after="0" w:line="70" w:lineRule="exact"/>
        <w:rPr>
          <w:sz w:val="20"/>
          <w:szCs w:val="20"/>
          <w:color w:val="auto"/>
        </w:rPr>
      </w:pPr>
    </w:p>
    <w:p>
      <w:pPr>
        <w:ind w:right="20" w:firstLine="436"/>
        <w:spacing w:after="0" w:line="257" w:lineRule="auto"/>
        <w:tabs>
          <w:tab w:leader="none" w:pos="685"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and Re-Grant of Stock Awards</w:t>
      </w:r>
      <w:r>
        <w:rPr>
          <w:rFonts w:ascii="Arial" w:cs="Arial" w:eastAsia="Arial" w:hAnsi="Arial"/>
          <w:sz w:val="18"/>
          <w:szCs w:val="18"/>
          <w:color w:val="auto"/>
        </w:rPr>
        <w:t>. Notwithstanding any contrary provision of the Plan, neither the Committee nor its designees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authority to: (i) amend the terms of outstanding Options or SARs to reduce the Exercise Price thereof, or (ii) cancel outstanding Options or SARs with an Exercise Price above the current Fair Market Value per Share in exchange for another Option or SAR with a lower exercise price or for another Award or for cash, unless the stockholders of the Company have previously approved such an action or such action relates to an adjustment pursuant to Section 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121" w:lineRule="exact"/>
        <w:rPr>
          <w:sz w:val="20"/>
          <w:szCs w:val="20"/>
          <w:color w:val="auto"/>
        </w:rPr>
      </w:pPr>
    </w:p>
    <w:p>
      <w:pPr>
        <w:ind w:firstLine="436"/>
        <w:spacing w:after="0" w:line="308" w:lineRule="auto"/>
        <w:tabs>
          <w:tab w:leader="none" w:pos="695"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Only common-law employees of the Company, a Parent or a Subsidiary shall be eligible for the grant of ISOs. Only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and Outside Directors shall be eligible for the grant of Restricted Shares, Stock Units, Nonstatutory Options or SARs.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79" w:name="page80"/>
    <w:bookmarkEnd w:id="79"/>
    <w:p>
      <w:pPr>
        <w:ind w:left="4" w:firstLine="436"/>
        <w:spacing w:after="0" w:line="254" w:lineRule="auto"/>
        <w:tabs>
          <w:tab w:leader="none" w:pos="699"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 on Grants to Outside Directors</w:t>
      </w:r>
      <w:r>
        <w:rPr>
          <w:rFonts w:ascii="Arial" w:cs="Arial" w:eastAsia="Arial" w:hAnsi="Arial"/>
          <w:sz w:val="18"/>
          <w:szCs w:val="18"/>
          <w:color w:val="auto"/>
        </w:rPr>
        <w:t>. Notwithstanding any other provision of the Plan to the contrary, the Board of Directors may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w:t>
      </w:r>
    </w:p>
    <w:p>
      <w:pPr>
        <w:spacing w:after="0" w:line="83" w:lineRule="exact"/>
        <w:rPr>
          <w:rFonts w:ascii="Arial" w:cs="Arial" w:eastAsia="Arial" w:hAnsi="Arial"/>
          <w:sz w:val="18"/>
          <w:szCs w:val="18"/>
          <w:i w:val="1"/>
          <w:iCs w:val="1"/>
          <w:color w:val="auto"/>
        </w:rPr>
      </w:pPr>
    </w:p>
    <w:p>
      <w:pPr>
        <w:ind w:left="4" w:right="80" w:firstLine="436"/>
        <w:spacing w:after="0" w:line="263" w:lineRule="auto"/>
        <w:tabs>
          <w:tab w:leader="none" w:pos="689"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Ten-Percent Stockholders</w:t>
      </w:r>
      <w:r>
        <w:rPr>
          <w:rFonts w:ascii="Arial" w:cs="Arial" w:eastAsia="Arial" w:hAnsi="Arial"/>
          <w:sz w:val="18"/>
          <w:szCs w:val="18"/>
          <w:color w:val="auto"/>
        </w:rPr>
        <w:t>. An Employee who owns more than 10% of the total combined voting power of all classes of outstanding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 Parent or Subsidiary shall not be eligible for the grant of an ISO unless such grant satisfies the requirements of Section 422(c)(5) of the Code.</w:t>
      </w:r>
    </w:p>
    <w:p>
      <w:pPr>
        <w:spacing w:after="0" w:line="75" w:lineRule="exact"/>
        <w:rPr>
          <w:rFonts w:ascii="Arial" w:cs="Arial" w:eastAsia="Arial" w:hAnsi="Arial"/>
          <w:sz w:val="18"/>
          <w:szCs w:val="18"/>
          <w:i w:val="1"/>
          <w:iCs w:val="1"/>
          <w:color w:val="auto"/>
        </w:rPr>
      </w:pPr>
    </w:p>
    <w:p>
      <w:pPr>
        <w:jc w:val="both"/>
        <w:ind w:left="4" w:right="40" w:firstLine="436"/>
        <w:spacing w:after="0" w:line="311" w:lineRule="auto"/>
        <w:tabs>
          <w:tab w:leader="none" w:pos="699"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4.c) above, in determining stock ownership, an Employee shall be deemed to own the stock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40" w:lineRule="exact"/>
        <w:rPr>
          <w:rFonts w:ascii="Arial" w:cs="Arial" w:eastAsia="Arial" w:hAnsi="Arial"/>
          <w:sz w:val="16"/>
          <w:szCs w:val="16"/>
          <w:i w:val="1"/>
          <w:iCs w:val="1"/>
          <w:color w:val="auto"/>
        </w:rPr>
      </w:pPr>
    </w:p>
    <w:p>
      <w:pPr>
        <w:ind w:left="4" w:right="20" w:firstLine="436"/>
        <w:spacing w:after="0" w:line="263" w:lineRule="auto"/>
        <w:tabs>
          <w:tab w:leader="none" w:pos="689"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Outstanding Stock</w:t>
      </w:r>
      <w:r>
        <w:rPr>
          <w:rFonts w:ascii="Arial" w:cs="Arial" w:eastAsia="Arial" w:hAnsi="Arial"/>
          <w:sz w:val="18"/>
          <w:szCs w:val="18"/>
          <w:color w:val="auto"/>
        </w:rPr>
        <w:t>. For purposes of Section 4.c) above, “outstanding stock” shall include all stock actually issued and outstanding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grant. “Outstanding stock” shall not include shares authorized for issuance under outstanding options held by the Employee or by any other person.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STOCK SUBJECT TO PLAN.</w:t>
      </w:r>
    </w:p>
    <w:p>
      <w:pPr>
        <w:spacing w:after="0" w:line="121" w:lineRule="exact"/>
        <w:rPr>
          <w:sz w:val="20"/>
          <w:szCs w:val="20"/>
          <w:color w:val="auto"/>
        </w:rPr>
      </w:pPr>
    </w:p>
    <w:p>
      <w:pPr>
        <w:ind w:left="4" w:right="140" w:firstLine="436"/>
        <w:spacing w:after="0" w:line="285" w:lineRule="auto"/>
        <w:tabs>
          <w:tab w:leader="none" w:pos="699" w:val="left"/>
        </w:tabs>
        <w:numPr>
          <w:ilvl w:val="1"/>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Subject to Section 5.b)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maximum aggregate number of Shares authorized for issuance as Awards under the Plan shall not exceed 4,659,286 Shares, which is the sum of (i) 550,000 Shares approved at the Company’s 2020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1,000,000 Shares approved at the Company’s 2021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2,000,000 Shares approved at the Company’s 2022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1,000,000 Shares approved at the Company’s 2023 annual meeting of stockholders, (v) the number of shares subject to the Predecessor Plan’s Available Reserve,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i w:val="1"/>
          <w:iCs w:val="1"/>
          <w:color w:val="auto"/>
        </w:rPr>
      </w:pPr>
    </w:p>
    <w:p>
      <w:pPr>
        <w:ind w:left="4" w:right="60" w:hanging="4"/>
        <w:spacing w:after="0" w:line="292" w:lineRule="auto"/>
        <w:tabs>
          <w:tab w:leader="none" w:pos="3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number of shares that are Predecessor Plan Returning Shares, as such shares become available from time to time (the “Absolute Share Limit”). The number of Shares that may be delivered in the aggregate pursuant to the exercise of ISOs granted under the Plan shall not exceed 4,000,000 Shares plus, to the extent allowable under Section 422 of the Code and the Treasury Regulations promulgated thereunder, any Shares that become available for issuance under the Plan pursuant to Section 5.b). The limitations of this Section 5.a) shall be subject to adjustment pursuant to Section 11. The number of Shares that are subject to Options or other Awards outstanding at any time under the Plan shall not exceed the number of Shares</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84"/>
          </w:cols>
          <w:pgMar w:left="436" w:top="274" w:right="479" w:bottom="1440" w:gutter="0" w:footer="0" w:header="0"/>
        </w:sectPr>
      </w:pPr>
    </w:p>
    <w:bookmarkStart w:id="80" w:name="page81"/>
    <w:bookmarkEnd w:id="80"/>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then remain available for issuance under the Plan. The Company shall at all times reserve and keep available sufficient Shares to satisfy the requirements of the Plan.</w:t>
      </w:r>
    </w:p>
    <w:p>
      <w:pPr>
        <w:spacing w:after="0" w:line="62" w:lineRule="exact"/>
        <w:rPr>
          <w:sz w:val="20"/>
          <w:szCs w:val="20"/>
          <w:color w:val="auto"/>
        </w:rPr>
      </w:pPr>
    </w:p>
    <w:p>
      <w:pPr>
        <w:ind w:right="60" w:firstLine="436"/>
        <w:spacing w:after="0" w:line="269" w:lineRule="auto"/>
        <w:tabs>
          <w:tab w:leader="none" w:pos="695"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Additional Shares</w:t>
      </w:r>
      <w:r>
        <w:rPr>
          <w:rFonts w:ascii="Arial" w:cs="Arial" w:eastAsia="Arial" w:hAnsi="Arial"/>
          <w:sz w:val="17"/>
          <w:szCs w:val="17"/>
          <w:color w:val="auto"/>
        </w:rPr>
        <w:t>. If Restricted Shares are forfeited, then such Shares shall again become available for Awards under the Plan. If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SECTION 5(b), Shares that have actually been issued shall not again become available for Awards under the Plan, except for Restricted Shares that are forfeited and do not become vested.</w:t>
      </w:r>
    </w:p>
    <w:p>
      <w:pPr>
        <w:spacing w:after="0" w:line="77" w:lineRule="exact"/>
        <w:rPr>
          <w:rFonts w:ascii="Arial" w:cs="Arial" w:eastAsia="Arial" w:hAnsi="Arial"/>
          <w:sz w:val="17"/>
          <w:szCs w:val="17"/>
          <w:i w:val="1"/>
          <w:iCs w:val="1"/>
          <w:color w:val="auto"/>
        </w:rPr>
      </w:pPr>
    </w:p>
    <w:p>
      <w:pPr>
        <w:ind w:firstLine="436"/>
        <w:spacing w:after="0" w:line="271" w:lineRule="auto"/>
        <w:tabs>
          <w:tab w:leader="none" w:pos="685"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Substitution and Assumption of Awards. </w:t>
      </w:r>
      <w:r>
        <w:rPr>
          <w:rFonts w:ascii="Arial" w:cs="Arial" w:eastAsia="Arial" w:hAnsi="Arial"/>
          <w:sz w:val="17"/>
          <w:szCs w:val="17"/>
          <w:color w:val="auto"/>
        </w:rPr>
        <w:t>The Committee may make Awards under the Plan by assumption, substitution or replacement of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RESTRICTED SHARES.</w:t>
      </w:r>
    </w:p>
    <w:p>
      <w:pPr>
        <w:spacing w:after="0" w:line="121" w:lineRule="exact"/>
        <w:rPr>
          <w:sz w:val="20"/>
          <w:szCs w:val="20"/>
          <w:color w:val="auto"/>
        </w:rPr>
      </w:pPr>
    </w:p>
    <w:p>
      <w:pPr>
        <w:ind w:right="100" w:firstLine="436"/>
        <w:spacing w:after="0" w:line="311" w:lineRule="auto"/>
        <w:tabs>
          <w:tab w:leader="none" w:pos="695"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Stock Agreement</w:t>
      </w:r>
      <w:r>
        <w:rPr>
          <w:rFonts w:ascii="Arial" w:cs="Arial" w:eastAsia="Arial" w:hAnsi="Arial"/>
          <w:sz w:val="16"/>
          <w:szCs w:val="16"/>
          <w:color w:val="auto"/>
        </w:rPr>
        <w:t>. Each grant of Restricted Shares under the Plan shall be evidenced by a Restricted Stock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40" w:lineRule="exact"/>
        <w:rPr>
          <w:rFonts w:ascii="Arial" w:cs="Arial" w:eastAsia="Arial" w:hAnsi="Arial"/>
          <w:sz w:val="16"/>
          <w:szCs w:val="16"/>
          <w:i w:val="1"/>
          <w:iCs w:val="1"/>
          <w:color w:val="auto"/>
        </w:rPr>
      </w:pPr>
    </w:p>
    <w:p>
      <w:pPr>
        <w:ind w:right="560" w:firstLine="436"/>
        <w:spacing w:after="0" w:line="308" w:lineRule="auto"/>
        <w:tabs>
          <w:tab w:leader="none" w:pos="695" w:val="left"/>
        </w:tabs>
        <w:numPr>
          <w:ilvl w:val="0"/>
          <w:numId w:val="87"/>
        </w:numPr>
        <w:rPr>
          <w:rFonts w:ascii="Arial" w:cs="Arial" w:eastAsia="Arial" w:hAnsi="Arial"/>
          <w:sz w:val="17"/>
          <w:szCs w:val="17"/>
          <w:i w:val="1"/>
          <w:iCs w:val="1"/>
          <w:color w:val="auto"/>
        </w:rPr>
      </w:pPr>
      <w:r>
        <w:rPr>
          <w:rFonts w:ascii="Arial" w:cs="Arial" w:eastAsia="Arial" w:hAnsi="Arial"/>
          <w:sz w:val="17"/>
          <w:szCs w:val="17"/>
          <w:i w:val="1"/>
          <w:iCs w:val="1"/>
          <w:color w:val="auto"/>
        </w:rPr>
        <w:t>Payment for Awards</w:t>
      </w:r>
      <w:r>
        <w:rPr>
          <w:rFonts w:ascii="Arial" w:cs="Arial" w:eastAsia="Arial" w:hAnsi="Arial"/>
          <w:sz w:val="17"/>
          <w:szCs w:val="17"/>
          <w:color w:val="auto"/>
        </w:rPr>
        <w:t>. Restricted Shares may be sold or awarded under the Plan for such consideration as the Committee may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(without limitation) cash, cash equivalents, full-recourse promissory notes, past services and future services.</w:t>
      </w:r>
    </w:p>
    <w:p>
      <w:pPr>
        <w:spacing w:after="0" w:line="38" w:lineRule="exact"/>
        <w:rPr>
          <w:rFonts w:ascii="Arial" w:cs="Arial" w:eastAsia="Arial" w:hAnsi="Arial"/>
          <w:sz w:val="17"/>
          <w:szCs w:val="17"/>
          <w:i w:val="1"/>
          <w:iCs w:val="1"/>
          <w:color w:val="auto"/>
        </w:rPr>
      </w:pPr>
    </w:p>
    <w:p>
      <w:pPr>
        <w:ind w:right="80" w:firstLine="436"/>
        <w:spacing w:after="0" w:line="277" w:lineRule="auto"/>
        <w:tabs>
          <w:tab w:leader="none" w:pos="685"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Each Award of Restricted Shares may or may not be subject to vesting. Vesting shall occur, in full or in installments, upon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conditions specified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4" w:right="439" w:bottom="1440" w:gutter="0" w:footer="0" w:header="0"/>
        </w:sectPr>
      </w:pPr>
    </w:p>
    <w:bookmarkStart w:id="81" w:name="page82"/>
    <w:bookmarkEnd w:id="81"/>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Agreement. A Restricted Stock Agreement may provide for accelerated vesting in the event of the Participant’s death, Disability or retirement or other events.</w:t>
      </w:r>
    </w:p>
    <w:p>
      <w:pPr>
        <w:spacing w:after="0" w:line="62" w:lineRule="exact"/>
        <w:rPr>
          <w:sz w:val="20"/>
          <w:szCs w:val="20"/>
          <w:color w:val="auto"/>
        </w:rPr>
      </w:pPr>
    </w:p>
    <w:p>
      <w:pPr>
        <w:ind w:firstLine="436"/>
        <w:spacing w:after="0" w:line="259" w:lineRule="auto"/>
        <w:tabs>
          <w:tab w:leader="none" w:pos="695"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Restricted Shares awarded under the Plan shall have the same voting, dividend and other rights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w:t>
      </w:r>
    </w:p>
    <w:p>
      <w:pPr>
        <w:spacing w:after="0" w:line="78" w:lineRule="exact"/>
        <w:rPr>
          <w:rFonts w:ascii="Arial" w:cs="Arial" w:eastAsia="Arial" w:hAnsi="Arial"/>
          <w:sz w:val="18"/>
          <w:szCs w:val="18"/>
          <w:i w:val="1"/>
          <w:iCs w:val="1"/>
          <w:color w:val="auto"/>
        </w:rPr>
      </w:pPr>
    </w:p>
    <w:p>
      <w:pPr>
        <w:ind w:right="120" w:firstLine="436"/>
        <w:spacing w:after="0" w:line="263" w:lineRule="auto"/>
        <w:tabs>
          <w:tab w:leader="none" w:pos="685"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Restricted Shares shall be subject to such rights of repurchase, rights of first refusal or other restrictions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determine. Such restrictions shall be set forth in the applicable Restricted Stock Agreement and shall apply in addition to any general restrictions that may apply to all holders of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TERMS AND CONDITIONS OF OPTIONS.</w:t>
      </w:r>
    </w:p>
    <w:p>
      <w:pPr>
        <w:spacing w:after="0" w:line="121" w:lineRule="exact"/>
        <w:rPr>
          <w:sz w:val="20"/>
          <w:szCs w:val="20"/>
          <w:color w:val="auto"/>
        </w:rPr>
      </w:pPr>
    </w:p>
    <w:p>
      <w:pPr>
        <w:ind w:right="160" w:firstLine="436"/>
        <w:spacing w:after="0" w:line="296" w:lineRule="auto"/>
        <w:tabs>
          <w:tab w:leader="none" w:pos="695"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Stock Option Agreement</w:t>
      </w:r>
      <w:r>
        <w:rPr>
          <w:rFonts w:ascii="Arial" w:cs="Arial" w:eastAsia="Arial" w:hAnsi="Arial"/>
          <w:sz w:val="16"/>
          <w:szCs w:val="16"/>
          <w:color w:val="auto"/>
        </w:rPr>
        <w:t>. Each grant of an Option under the Plan shall be evidenced by a Stock Option Agreement between the Optionee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w:t>
      </w:r>
    </w:p>
    <w:p>
      <w:pPr>
        <w:spacing w:after="0" w:line="53" w:lineRule="exact"/>
        <w:rPr>
          <w:rFonts w:ascii="Arial" w:cs="Arial" w:eastAsia="Arial" w:hAnsi="Arial"/>
          <w:sz w:val="16"/>
          <w:szCs w:val="16"/>
          <w:i w:val="1"/>
          <w:iCs w:val="1"/>
          <w:color w:val="auto"/>
        </w:rPr>
      </w:pPr>
    </w:p>
    <w:p>
      <w:pPr>
        <w:ind w:right="260" w:firstLine="436"/>
        <w:spacing w:after="0" w:line="277" w:lineRule="auto"/>
        <w:tabs>
          <w:tab w:leader="none" w:pos="695"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Stock Option Agreement shall specify the number of Shares that are subject to the Option and shall provide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such number in accordance with Section 11.</w:t>
      </w:r>
    </w:p>
    <w:p>
      <w:pPr>
        <w:spacing w:after="0" w:line="62" w:lineRule="exact"/>
        <w:rPr>
          <w:rFonts w:ascii="Arial" w:cs="Arial" w:eastAsia="Arial" w:hAnsi="Arial"/>
          <w:sz w:val="18"/>
          <w:szCs w:val="18"/>
          <w:i w:val="1"/>
          <w:iCs w:val="1"/>
          <w:color w:val="auto"/>
        </w:rPr>
      </w:pPr>
    </w:p>
    <w:p>
      <w:pPr>
        <w:ind w:right="20" w:firstLine="436"/>
        <w:spacing w:after="0" w:line="273" w:lineRule="auto"/>
        <w:tabs>
          <w:tab w:leader="none" w:pos="685"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Each Stock Option Agreement shall specify the Exercise Price. The Exercise Price of an ISO shall not be less than 100%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a Share on the date of grant, except as otherwise provided in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 the Exercise Price under any Option shall be determined by the Committee at its sole discretion. The Exercise Price shall be payable in one of the forms described in Section 8.</w:t>
      </w:r>
    </w:p>
    <w:p>
      <w:pPr>
        <w:spacing w:after="0" w:line="69" w:lineRule="exact"/>
        <w:rPr>
          <w:rFonts w:ascii="Arial" w:cs="Arial" w:eastAsia="Arial" w:hAnsi="Arial"/>
          <w:sz w:val="17"/>
          <w:szCs w:val="17"/>
          <w:i w:val="1"/>
          <w:iCs w:val="1"/>
          <w:color w:val="auto"/>
        </w:rPr>
      </w:pPr>
    </w:p>
    <w:p>
      <w:pPr>
        <w:ind w:firstLine="436"/>
        <w:spacing w:after="0" w:line="259" w:lineRule="auto"/>
        <w:tabs>
          <w:tab w:leader="none" w:pos="695"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As a condition to the exercise of an Option, the Optionee shall make such arrangements as the Committee may require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82" w:name="page83"/>
    <w:bookmarkEnd w:id="82"/>
    <w:p>
      <w:pPr>
        <w:ind w:left="-20" w:right="20" w:firstLine="436"/>
        <w:spacing w:after="0" w:line="272" w:lineRule="auto"/>
        <w:tabs>
          <w:tab w:leader="none" w:pos="665" w:val="left"/>
        </w:tabs>
        <w:numPr>
          <w:ilvl w:val="0"/>
          <w:numId w:val="90"/>
        </w:numPr>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Exercisability and Term</w:t>
      </w:r>
      <w:r>
        <w:rPr>
          <w:rFonts w:ascii="Arial" w:cs="Arial" w:eastAsia="Arial" w:hAnsi="Arial"/>
          <w:sz w:val="17"/>
          <w:szCs w:val="17"/>
          <w:color w:val="auto"/>
        </w:rPr>
        <w:t>. Each Stock Option Agreement shall specify the date when all or any installment of the Option is to become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69" w:lineRule="exact"/>
        <w:rPr>
          <w:rFonts w:ascii="Arial" w:cs="Arial" w:eastAsia="Arial" w:hAnsi="Arial"/>
          <w:sz w:val="17"/>
          <w:szCs w:val="17"/>
          <w:i w:val="1"/>
          <w:iCs w:val="1"/>
          <w:color w:val="auto"/>
        </w:rPr>
      </w:pPr>
    </w:p>
    <w:p>
      <w:pPr>
        <w:ind w:left="-20" w:right="160" w:firstLine="436"/>
        <w:spacing w:after="0" w:line="257" w:lineRule="auto"/>
        <w:tabs>
          <w:tab w:leader="none" w:pos="63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Each Stock Option Agreement shall set forth the extent to which the Optionee shall have the right to exercise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79" w:lineRule="exact"/>
        <w:rPr>
          <w:rFonts w:ascii="Arial" w:cs="Arial" w:eastAsia="Arial" w:hAnsi="Arial"/>
          <w:sz w:val="18"/>
          <w:szCs w:val="18"/>
          <w:i w:val="1"/>
          <w:iCs w:val="1"/>
          <w:color w:val="auto"/>
        </w:rPr>
      </w:pPr>
    </w:p>
    <w:p>
      <w:pPr>
        <w:ind w:left="-20" w:right="20" w:firstLine="436"/>
        <w:spacing w:after="0" w:line="255" w:lineRule="auto"/>
        <w:tabs>
          <w:tab w:leader="none" w:pos="67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Rights as a Stockholder. </w:t>
      </w:r>
      <w:r>
        <w:rPr>
          <w:rFonts w:ascii="Arial" w:cs="Arial" w:eastAsia="Arial" w:hAnsi="Arial"/>
          <w:sz w:val="18"/>
          <w:szCs w:val="18"/>
          <w:color w:val="auto"/>
        </w:rPr>
        <w:t>An Optionee, or a transferee of an Optionee, shall have no rights (including voting, dividend and other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w:t>
      </w:r>
    </w:p>
    <w:p>
      <w:pPr>
        <w:spacing w:after="0" w:line="84" w:lineRule="exact"/>
        <w:rPr>
          <w:rFonts w:ascii="Arial" w:cs="Arial" w:eastAsia="Arial" w:hAnsi="Arial"/>
          <w:sz w:val="18"/>
          <w:szCs w:val="18"/>
          <w:i w:val="1"/>
          <w:iCs w:val="1"/>
          <w:color w:val="auto"/>
        </w:rPr>
      </w:pPr>
    </w:p>
    <w:p>
      <w:pPr>
        <w:ind w:left="-20" w:firstLine="436"/>
        <w:spacing w:after="0" w:line="272" w:lineRule="auto"/>
        <w:tabs>
          <w:tab w:leader="none" w:pos="675" w:val="left"/>
        </w:tabs>
        <w:numPr>
          <w:ilvl w:val="0"/>
          <w:numId w:val="90"/>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or Extension of Options</w:t>
      </w:r>
      <w:r>
        <w:rPr>
          <w:rFonts w:ascii="Arial" w:cs="Arial" w:eastAsia="Arial" w:hAnsi="Arial"/>
          <w:sz w:val="17"/>
          <w:szCs w:val="17"/>
          <w:color w:val="auto"/>
        </w:rPr>
        <w:t>. Within the limitations of the Plan, the Committee may modify or, extend outstanding Options or may</w:t>
      </w:r>
      <w:r>
        <w:rPr>
          <w:rFonts w:ascii="Arial" w:cs="Arial" w:eastAsia="Arial" w:hAnsi="Arial"/>
          <w:sz w:val="17"/>
          <w:szCs w:val="17"/>
          <w:i w:val="1"/>
          <w:iCs w:val="1"/>
          <w:color w:val="auto"/>
        </w:rPr>
        <w:t xml:space="preserve"> </w:t>
      </w:r>
      <w:r>
        <w:rPr>
          <w:rFonts w:ascii="Arial" w:cs="Arial" w:eastAsia="Arial" w:hAnsi="Arial"/>
          <w:sz w:val="17"/>
          <w:szCs w:val="17"/>
          <w:color w:val="auto"/>
        </w:rPr>
        <w:t>accept 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w:t>
      </w:r>
    </w:p>
    <w:p>
      <w:pPr>
        <w:spacing w:after="0" w:line="69" w:lineRule="exact"/>
        <w:rPr>
          <w:rFonts w:ascii="Arial" w:cs="Arial" w:eastAsia="Arial" w:hAnsi="Arial"/>
          <w:sz w:val="17"/>
          <w:szCs w:val="17"/>
          <w:i w:val="1"/>
          <w:iCs w:val="1"/>
          <w:color w:val="auto"/>
        </w:rPr>
      </w:pPr>
    </w:p>
    <w:p>
      <w:pPr>
        <w:ind w:left="-20" w:firstLine="436"/>
        <w:spacing w:after="0" w:line="342" w:lineRule="auto"/>
        <w:tabs>
          <w:tab w:leader="none" w:pos="635"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Any Shares issued upon exercise of an Option shall be subject to such special forfeiture conditions, rights of</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rights of first refusal and other transfer restrictions as the Committee may determine. Such restrictions shall be set forth in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60"/>
          </w:cols>
          <w:pgMar w:left="460" w:top="274" w:right="47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Stock Option Agreement and shall apply in addition to any general restrictions that may apply to all holders of Shares.</w:t>
      </w:r>
    </w:p>
    <w:p>
      <w:pPr>
        <w:spacing w:after="0" w:line="117" w:lineRule="exact"/>
        <w:rPr>
          <w:sz w:val="20"/>
          <w:szCs w:val="20"/>
          <w:color w:val="auto"/>
        </w:rPr>
      </w:pPr>
    </w:p>
    <w:p>
      <w:pPr>
        <w:ind w:right="40" w:firstLine="436"/>
        <w:spacing w:after="0" w:line="311" w:lineRule="auto"/>
        <w:tabs>
          <w:tab w:leader="none" w:pos="655"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Except with respect to an Option whose Exercise Price exceeds the Fair Market Value of the Shares subject to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may at any time (a) offer to buy out for a payment in cash or cash equivalents an Option previously granted or (b) authorize an Optionee to elect to cash out an Option previously granted, in either case at such time and based upon such terms and conditions as the Committee shall establish.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PAYMENT FOR SHARES.</w:t>
      </w:r>
    </w:p>
    <w:p>
      <w:pPr>
        <w:spacing w:after="0" w:line="121" w:lineRule="exact"/>
        <w:rPr>
          <w:sz w:val="20"/>
          <w:szCs w:val="20"/>
          <w:color w:val="auto"/>
        </w:rPr>
      </w:pPr>
    </w:p>
    <w:p>
      <w:pPr>
        <w:ind w:right="400" w:firstLine="436"/>
        <w:spacing w:after="0" w:line="308" w:lineRule="auto"/>
        <w:tabs>
          <w:tab w:leader="none" w:pos="695" w:val="left"/>
        </w:tabs>
        <w:numPr>
          <w:ilvl w:val="0"/>
          <w:numId w:val="92"/>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The entire Exercise Price or Purchase Price of Shares issued under the Plan shall be payable in lawful money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of America at the time when such Shares are purchased, except as provided in Section 8.b) through Section 8.h) below.</w:t>
      </w:r>
    </w:p>
    <w:p>
      <w:pPr>
        <w:spacing w:after="0" w:line="38" w:lineRule="exact"/>
        <w:rPr>
          <w:rFonts w:ascii="Arial" w:cs="Arial" w:eastAsia="Arial" w:hAnsi="Arial"/>
          <w:sz w:val="17"/>
          <w:szCs w:val="17"/>
          <w:i w:val="1"/>
          <w:iCs w:val="1"/>
          <w:color w:val="auto"/>
        </w:rPr>
      </w:pPr>
    </w:p>
    <w:p>
      <w:pPr>
        <w:ind w:right="40" w:firstLine="436"/>
        <w:spacing w:after="0" w:line="257" w:lineRule="auto"/>
        <w:tabs>
          <w:tab w:leader="none" w:pos="695"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that a Stock Option Agreement so provides, payment may be made all or in part by surrendering, or attesting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79" w:lineRule="exact"/>
        <w:rPr>
          <w:rFonts w:ascii="Arial" w:cs="Arial" w:eastAsia="Arial" w:hAnsi="Arial"/>
          <w:sz w:val="18"/>
          <w:szCs w:val="18"/>
          <w:i w:val="1"/>
          <w:iCs w:val="1"/>
          <w:color w:val="auto"/>
        </w:rPr>
      </w:pPr>
    </w:p>
    <w:p>
      <w:pPr>
        <w:ind w:right="360" w:firstLine="436"/>
        <w:spacing w:after="0" w:line="259" w:lineRule="auto"/>
        <w:tabs>
          <w:tab w:leader="none" w:pos="685"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Services Rendered</w:t>
      </w:r>
      <w:r>
        <w:rPr>
          <w:rFonts w:ascii="Arial" w:cs="Arial" w:eastAsia="Arial" w:hAnsi="Arial"/>
          <w:sz w:val="18"/>
          <w:szCs w:val="18"/>
          <w:color w:val="auto"/>
        </w:rPr>
        <w:t>. At the discretion of the Committee, Shares may be awarded under the Plan in consideration of services 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 Subsidiary prior to the award. If Shares are awarded without the payment of a Purchase Price in cash, the Committee shall make a determination (at the time of the Award) of the value of the services rendered by the Offeree and the sufficiency of the consideration to meet the requirements of Section 6.b).</w:t>
      </w:r>
    </w:p>
    <w:p>
      <w:pPr>
        <w:spacing w:after="0" w:line="78" w:lineRule="exact"/>
        <w:rPr>
          <w:rFonts w:ascii="Arial" w:cs="Arial" w:eastAsia="Arial" w:hAnsi="Arial"/>
          <w:sz w:val="18"/>
          <w:szCs w:val="18"/>
          <w:i w:val="1"/>
          <w:iCs w:val="1"/>
          <w:color w:val="auto"/>
        </w:rPr>
      </w:pPr>
    </w:p>
    <w:p>
      <w:pPr>
        <w:ind w:right="500" w:firstLine="436"/>
        <w:spacing w:after="0" w:line="263" w:lineRule="auto"/>
        <w:tabs>
          <w:tab w:leader="none" w:pos="695"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To the extent that a Stock Option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75" w:lineRule="exact"/>
        <w:rPr>
          <w:rFonts w:ascii="Arial" w:cs="Arial" w:eastAsia="Arial" w:hAnsi="Arial"/>
          <w:sz w:val="18"/>
          <w:szCs w:val="18"/>
          <w:i w:val="1"/>
          <w:iCs w:val="1"/>
          <w:color w:val="auto"/>
        </w:rPr>
      </w:pPr>
    </w:p>
    <w:p>
      <w:pPr>
        <w:ind w:firstLine="436"/>
        <w:spacing w:after="0" w:line="263" w:lineRule="auto"/>
        <w:tabs>
          <w:tab w:leader="none" w:pos="685"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Exercise/Pledge</w:t>
      </w:r>
      <w:r>
        <w:rPr>
          <w:rFonts w:ascii="Arial" w:cs="Arial" w:eastAsia="Arial" w:hAnsi="Arial"/>
          <w:sz w:val="18"/>
          <w:szCs w:val="18"/>
          <w:color w:val="auto"/>
        </w:rPr>
        <w:t>. To the extent that a Stock Option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75" w:lineRule="exact"/>
        <w:rPr>
          <w:rFonts w:ascii="Arial" w:cs="Arial" w:eastAsia="Arial" w:hAnsi="Arial"/>
          <w:sz w:val="18"/>
          <w:szCs w:val="18"/>
          <w:i w:val="1"/>
          <w:iCs w:val="1"/>
          <w:color w:val="auto"/>
        </w:rPr>
      </w:pPr>
    </w:p>
    <w:p>
      <w:pPr>
        <w:ind w:right="320" w:firstLine="436"/>
        <w:spacing w:after="0" w:line="275" w:lineRule="auto"/>
        <w:tabs>
          <w:tab w:leader="none" w:pos="655" w:val="left"/>
        </w:tabs>
        <w:numPr>
          <w:ilvl w:val="0"/>
          <w:numId w:val="92"/>
        </w:numPr>
        <w:rPr>
          <w:rFonts w:ascii="Arial" w:cs="Arial" w:eastAsia="Arial" w:hAnsi="Arial"/>
          <w:sz w:val="17"/>
          <w:szCs w:val="17"/>
          <w:i w:val="1"/>
          <w:iCs w:val="1"/>
          <w:color w:val="auto"/>
        </w:rPr>
      </w:pPr>
      <w:r>
        <w:rPr>
          <w:rFonts w:ascii="Arial" w:cs="Arial" w:eastAsia="Arial" w:hAnsi="Arial"/>
          <w:sz w:val="17"/>
          <w:szCs w:val="17"/>
          <w:i w:val="1"/>
          <w:iCs w:val="1"/>
          <w:color w:val="auto"/>
        </w:rPr>
        <w:t>Net Exercise</w:t>
      </w:r>
      <w:r>
        <w:rPr>
          <w:rFonts w:ascii="Arial" w:cs="Arial" w:eastAsia="Arial" w:hAnsi="Arial"/>
          <w:sz w:val="17"/>
          <w:szCs w:val="17"/>
          <w:color w:val="auto"/>
        </w:rPr>
        <w:t>. To the extent that a Stock Option Agreement so provides, payment may be made by a “net exercise” arrangement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80"/>
          </w:cols>
          <w:pgMar w:left="440" w:top="274" w:right="479" w:bottom="1440" w:gutter="0" w:footer="0" w:header="0"/>
        </w:sectPr>
      </w:pPr>
    </w:p>
    <w:bookmarkStart w:id="84" w:name="page85"/>
    <w:bookmarkEnd w:id="84"/>
    <w:p>
      <w:pPr>
        <w:ind w:firstLine="436"/>
        <w:spacing w:after="0" w:line="277" w:lineRule="auto"/>
        <w:tabs>
          <w:tab w:leader="none" w:pos="695"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Promissory Note</w:t>
      </w:r>
      <w:r>
        <w:rPr>
          <w:rFonts w:ascii="Arial" w:cs="Arial" w:eastAsia="Arial" w:hAnsi="Arial"/>
          <w:sz w:val="18"/>
          <w:szCs w:val="18"/>
          <w:color w:val="auto"/>
        </w:rPr>
        <w:t>. To the extent that a Stock Option Agreement or Restricted Stock Agreement so provides, payment may be made all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delivering (on a form prescribed by the Company) a full-recourse promissory note.</w:t>
      </w:r>
    </w:p>
    <w:p>
      <w:pPr>
        <w:spacing w:after="0" w:line="62" w:lineRule="exact"/>
        <w:rPr>
          <w:rFonts w:ascii="Arial" w:cs="Arial" w:eastAsia="Arial" w:hAnsi="Arial"/>
          <w:sz w:val="18"/>
          <w:szCs w:val="18"/>
          <w:i w:val="1"/>
          <w:iCs w:val="1"/>
          <w:color w:val="auto"/>
        </w:rPr>
      </w:pPr>
    </w:p>
    <w:p>
      <w:pPr>
        <w:ind w:right="160" w:firstLine="436"/>
        <w:spacing w:after="0" w:line="277" w:lineRule="auto"/>
        <w:tabs>
          <w:tab w:leader="none" w:pos="695"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that a Stock Option Agreement or Restricted Stock Agreement so provides, payment may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form that is consistent with applicable laws, regulations and rules.</w:t>
      </w:r>
    </w:p>
    <w:p>
      <w:pPr>
        <w:spacing w:after="0" w:line="62" w:lineRule="exact"/>
        <w:rPr>
          <w:rFonts w:ascii="Arial" w:cs="Arial" w:eastAsia="Arial" w:hAnsi="Arial"/>
          <w:sz w:val="18"/>
          <w:szCs w:val="18"/>
          <w:i w:val="1"/>
          <w:iCs w:val="1"/>
          <w:color w:val="auto"/>
        </w:rPr>
      </w:pPr>
    </w:p>
    <w:p>
      <w:pPr>
        <w:ind w:right="360" w:firstLine="436"/>
        <w:spacing w:after="0" w:line="308" w:lineRule="auto"/>
        <w:tabs>
          <w:tab w:leader="none" w:pos="655" w:val="left"/>
        </w:tabs>
        <w:numPr>
          <w:ilvl w:val="0"/>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Limitations under Applicable Law</w:t>
      </w:r>
      <w:r>
        <w:rPr>
          <w:rFonts w:ascii="Arial" w:cs="Arial" w:eastAsia="Arial" w:hAnsi="Arial"/>
          <w:sz w:val="17"/>
          <w:szCs w:val="17"/>
          <w:color w:val="auto"/>
        </w:rPr>
        <w:t>. Notwithstanding anything herein or in a Stock Option Agreement or Restricted Stock Agreement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contrary, payment may not be made in any form that is unlawful, as determined by the Committee in its sole discretion.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jc w:val="both"/>
        <w:ind w:right="80" w:firstLine="436"/>
        <w:spacing w:after="0" w:line="259" w:lineRule="auto"/>
        <w:tabs>
          <w:tab w:leader="none" w:pos="695"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SAR Agreement</w:t>
      </w:r>
      <w:r>
        <w:rPr>
          <w:rFonts w:ascii="Arial" w:cs="Arial" w:eastAsia="Arial" w:hAnsi="Arial"/>
          <w:sz w:val="18"/>
          <w:szCs w:val="18"/>
          <w:color w:val="auto"/>
        </w:rPr>
        <w:t>. Each grant of a SAR under the Plan shall be evidenced by a SAR Agreement between the Optionee and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w:t>
      </w:r>
    </w:p>
    <w:p>
      <w:pPr>
        <w:spacing w:after="0" w:line="78" w:lineRule="exact"/>
        <w:rPr>
          <w:rFonts w:ascii="Arial" w:cs="Arial" w:eastAsia="Arial" w:hAnsi="Arial"/>
          <w:sz w:val="18"/>
          <w:szCs w:val="18"/>
          <w:i w:val="1"/>
          <w:iCs w:val="1"/>
          <w:color w:val="auto"/>
        </w:rPr>
      </w:pPr>
    </w:p>
    <w:p>
      <w:pPr>
        <w:ind w:right="40" w:firstLine="436"/>
        <w:spacing w:after="0" w:line="277" w:lineRule="auto"/>
        <w:tabs>
          <w:tab w:leader="none" w:pos="695"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SAR Agreement shall specify the number of Shares to which the SAR pertains and shall provide for the adjustment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in accordance with Section 11.</w:t>
      </w:r>
    </w:p>
    <w:p>
      <w:pPr>
        <w:spacing w:after="0" w:line="62" w:lineRule="exact"/>
        <w:rPr>
          <w:rFonts w:ascii="Arial" w:cs="Arial" w:eastAsia="Arial" w:hAnsi="Arial"/>
          <w:sz w:val="18"/>
          <w:szCs w:val="18"/>
          <w:i w:val="1"/>
          <w:iCs w:val="1"/>
          <w:color w:val="auto"/>
        </w:rPr>
      </w:pPr>
    </w:p>
    <w:p>
      <w:pPr>
        <w:ind w:right="60" w:firstLine="436"/>
        <w:spacing w:after="0" w:line="301" w:lineRule="auto"/>
        <w:tabs>
          <w:tab w:leader="none" w:pos="685"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Agreement shall specify the Exercise Price. The Exercise Price of a SAR shall not be less than 100% of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49" w:lineRule="exact"/>
        <w:rPr>
          <w:rFonts w:ascii="Arial" w:cs="Arial" w:eastAsia="Arial" w:hAnsi="Arial"/>
          <w:sz w:val="16"/>
          <w:szCs w:val="16"/>
          <w:i w:val="1"/>
          <w:iCs w:val="1"/>
          <w:color w:val="auto"/>
        </w:rPr>
      </w:pPr>
    </w:p>
    <w:p>
      <w:pPr>
        <w:ind w:right="100" w:firstLine="436"/>
        <w:spacing w:after="0" w:line="293" w:lineRule="auto"/>
        <w:tabs>
          <w:tab w:leader="none" w:pos="695"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Agreement shall specify the date when all or any installment of the SAR is to become exercisable.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SAR 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56" w:lineRule="exact"/>
        <w:rPr>
          <w:rFonts w:ascii="Arial" w:cs="Arial" w:eastAsia="Arial" w:hAnsi="Arial"/>
          <w:sz w:val="16"/>
          <w:szCs w:val="16"/>
          <w:i w:val="1"/>
          <w:iCs w:val="1"/>
          <w:color w:val="auto"/>
        </w:rPr>
      </w:pPr>
    </w:p>
    <w:p>
      <w:pPr>
        <w:ind w:firstLine="436"/>
        <w:spacing w:after="0" w:line="301" w:lineRule="auto"/>
        <w:tabs>
          <w:tab w:leader="none" w:pos="685"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 Rights as </w:t>
      </w:r>
      <w:r>
        <w:rPr>
          <w:rFonts w:ascii="Arial" w:cs="Arial" w:eastAsia="Arial" w:hAnsi="Arial"/>
          <w:sz w:val="16"/>
          <w:szCs w:val="16"/>
          <w:color w:val="auto"/>
        </w:rPr>
        <w:t>a</w:t>
      </w:r>
      <w:r>
        <w:rPr>
          <w:rFonts w:ascii="Arial" w:cs="Arial" w:eastAsia="Arial" w:hAnsi="Arial"/>
          <w:sz w:val="16"/>
          <w:szCs w:val="16"/>
          <w:i w:val="1"/>
          <w:iCs w:val="1"/>
          <w:color w:val="auto"/>
        </w:rPr>
        <w:t xml:space="preserve"> Stockholder. </w:t>
      </w:r>
      <w:r>
        <w:rPr>
          <w:rFonts w:ascii="Arial" w:cs="Arial" w:eastAsia="Arial" w:hAnsi="Arial"/>
          <w:sz w:val="16"/>
          <w:szCs w:val="16"/>
          <w:color w:val="auto"/>
        </w:rPr>
        <w:t>A Participant, or a transferee of a Participant, shall have no rights (including voting, dividend and other rights) as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0"/>
          </w:cols>
          <w:pgMar w:left="440" w:top="274" w:right="459" w:bottom="1440" w:gutter="0" w:footer="0" w:header="0"/>
        </w:sectPr>
      </w:pPr>
    </w:p>
    <w:bookmarkStart w:id="85" w:name="page86"/>
    <w:bookmarkEnd w:id="8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No adjustments shall be made for a dividend or other right for which the record date is prior to the date the Shares are issued, except as provided in Section 11.</w:t>
      </w:r>
    </w:p>
    <w:p>
      <w:pPr>
        <w:spacing w:after="0" w:line="62" w:lineRule="exact"/>
        <w:rPr>
          <w:sz w:val="20"/>
          <w:szCs w:val="20"/>
          <w:color w:val="auto"/>
        </w:rPr>
      </w:pPr>
    </w:p>
    <w:p>
      <w:pPr>
        <w:ind w:right="80" w:firstLine="436"/>
        <w:spacing w:after="0" w:line="259" w:lineRule="auto"/>
        <w:tabs>
          <w:tab w:leader="none" w:pos="655"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Exercise of SARs</w:t>
      </w:r>
      <w:r>
        <w:rPr>
          <w:rFonts w:ascii="Arial" w:cs="Arial" w:eastAsia="Arial" w:hAnsi="Arial"/>
          <w:sz w:val="18"/>
          <w:szCs w:val="18"/>
          <w:color w:val="auto"/>
        </w:rPr>
        <w:t>. Upon exercise of a SAR, the Optionee (or any person having the right to exercise the SAR after his or her death)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78" w:lineRule="exact"/>
        <w:rPr>
          <w:rFonts w:ascii="Arial" w:cs="Arial" w:eastAsia="Arial" w:hAnsi="Arial"/>
          <w:sz w:val="18"/>
          <w:szCs w:val="18"/>
          <w:i w:val="1"/>
          <w:iCs w:val="1"/>
          <w:color w:val="auto"/>
        </w:rPr>
      </w:pPr>
    </w:p>
    <w:p>
      <w:pPr>
        <w:ind w:right="60" w:firstLine="436"/>
        <w:spacing w:after="0" w:line="272" w:lineRule="auto"/>
        <w:tabs>
          <w:tab w:leader="none" w:pos="695" w:val="left"/>
        </w:tabs>
        <w:numPr>
          <w:ilvl w:val="0"/>
          <w:numId w:val="95"/>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Extension or Assumption of SARs</w:t>
      </w:r>
      <w:r>
        <w:rPr>
          <w:rFonts w:ascii="Arial" w:cs="Arial" w:eastAsia="Arial" w:hAnsi="Arial"/>
          <w:sz w:val="17"/>
          <w:szCs w:val="17"/>
          <w:color w:val="auto"/>
        </w:rPr>
        <w:t>. Within the limitations of the Plan, the Committee may modify, extend or assume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SARs or may accept the cancellation of outstanding SARs (whether granted by the Company or by another issuer) in return for the grant of new SARs for the same or a different number of Shares and at the same or a different Exercise Price; 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w:t>
      </w:r>
    </w:p>
    <w:p>
      <w:pPr>
        <w:spacing w:after="0" w:line="69" w:lineRule="exact"/>
        <w:rPr>
          <w:rFonts w:ascii="Arial" w:cs="Arial" w:eastAsia="Arial" w:hAnsi="Arial"/>
          <w:sz w:val="17"/>
          <w:szCs w:val="17"/>
          <w:i w:val="1"/>
          <w:iCs w:val="1"/>
          <w:color w:val="auto"/>
        </w:rPr>
      </w:pPr>
    </w:p>
    <w:p>
      <w:pPr>
        <w:ind w:right="220" w:firstLine="436"/>
        <w:spacing w:after="0" w:line="311" w:lineRule="auto"/>
        <w:tabs>
          <w:tab w:leader="none" w:pos="695"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Except with respect to a SAR whose Exercise Price exceeds the Fair Market Value of the Shares subject to the SAR,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UNITS.</w:t>
      </w:r>
    </w:p>
    <w:p>
      <w:pPr>
        <w:spacing w:after="0" w:line="121" w:lineRule="exact"/>
        <w:rPr>
          <w:sz w:val="20"/>
          <w:szCs w:val="20"/>
          <w:color w:val="auto"/>
        </w:rPr>
      </w:pPr>
    </w:p>
    <w:p>
      <w:pPr>
        <w:jc w:val="both"/>
        <w:ind w:firstLine="436"/>
        <w:spacing w:after="0" w:line="259" w:lineRule="auto"/>
        <w:tabs>
          <w:tab w:leader="none" w:pos="695"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Stock Unit Agreement</w:t>
      </w:r>
      <w:r>
        <w:rPr>
          <w:rFonts w:ascii="Arial" w:cs="Arial" w:eastAsia="Arial" w:hAnsi="Arial"/>
          <w:sz w:val="18"/>
          <w:szCs w:val="18"/>
          <w:color w:val="auto"/>
        </w:rPr>
        <w:t>. Each grant of Stock Units under the Plan shall be evidenced by a Stock Unit Agreement between the recipient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w:t>
      </w:r>
    </w:p>
    <w:p>
      <w:pPr>
        <w:spacing w:after="0" w:line="78" w:lineRule="exact"/>
        <w:rPr>
          <w:rFonts w:ascii="Arial" w:cs="Arial" w:eastAsia="Arial" w:hAnsi="Arial"/>
          <w:sz w:val="18"/>
          <w:szCs w:val="18"/>
          <w:i w:val="1"/>
          <w:iCs w:val="1"/>
          <w:color w:val="auto"/>
        </w:rPr>
      </w:pPr>
    </w:p>
    <w:p>
      <w:pPr>
        <w:ind w:right="180" w:firstLine="436"/>
        <w:spacing w:after="0" w:line="277" w:lineRule="auto"/>
        <w:tabs>
          <w:tab w:leader="none" w:pos="695"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To the extent that an Award is granted in the form of Stock Units, no cash consideration shall be required of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recipients.</w:t>
      </w:r>
    </w:p>
    <w:p>
      <w:pPr>
        <w:spacing w:after="0" w:line="62" w:lineRule="exact"/>
        <w:rPr>
          <w:rFonts w:ascii="Arial" w:cs="Arial" w:eastAsia="Arial" w:hAnsi="Arial"/>
          <w:sz w:val="18"/>
          <w:szCs w:val="18"/>
          <w:i w:val="1"/>
          <w:iCs w:val="1"/>
          <w:color w:val="auto"/>
        </w:rPr>
      </w:pPr>
    </w:p>
    <w:p>
      <w:pPr>
        <w:ind w:right="240" w:firstLine="436"/>
        <w:spacing w:after="0" w:line="263" w:lineRule="auto"/>
        <w:tabs>
          <w:tab w:leader="none" w:pos="685"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Vesting Conditions</w:t>
      </w:r>
      <w:r>
        <w:rPr>
          <w:rFonts w:ascii="Arial" w:cs="Arial" w:eastAsia="Arial" w:hAnsi="Arial"/>
          <w:sz w:val="18"/>
          <w:szCs w:val="18"/>
          <w:color w:val="auto"/>
        </w:rPr>
        <w:t>. Each Award of Stock Units may or may not be subject to vesting. Vesting shall occur, in full or in installments, upon</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conditions specified in the Stock Unit Agreement. A Stock Unit Agreement may provide for accelerated vesting in the event of the Participant’s death, Disability or retirement or other events.</w:t>
      </w:r>
    </w:p>
    <w:p>
      <w:pPr>
        <w:spacing w:after="0" w:line="75" w:lineRule="exact"/>
        <w:rPr>
          <w:rFonts w:ascii="Arial" w:cs="Arial" w:eastAsia="Arial" w:hAnsi="Arial"/>
          <w:sz w:val="18"/>
          <w:szCs w:val="18"/>
          <w:i w:val="1"/>
          <w:iCs w:val="1"/>
          <w:color w:val="auto"/>
        </w:rPr>
      </w:pPr>
    </w:p>
    <w:p>
      <w:pPr>
        <w:ind w:right="140" w:firstLine="436"/>
        <w:spacing w:after="0" w:line="277" w:lineRule="auto"/>
        <w:tabs>
          <w:tab w:leader="none" w:pos="695"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Stock Units shall have no voting rights. Prior to settlement or forfeiture, any Stock Unit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may, at the Committee’s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60"/>
          </w:cols>
          <w:pgMar w:left="440" w:top="274" w:right="499" w:bottom="1440" w:gutter="0" w:footer="0" w:header="0"/>
        </w:sectPr>
      </w:pPr>
    </w:p>
    <w:bookmarkStart w:id="86" w:name="page87"/>
    <w:bookmarkEnd w:id="86"/>
    <w:p>
      <w:pPr>
        <w:jc w:val="both"/>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spacing w:after="0" w:line="53" w:lineRule="exact"/>
        <w:rPr>
          <w:sz w:val="20"/>
          <w:szCs w:val="20"/>
          <w:color w:val="auto"/>
        </w:rPr>
      </w:pPr>
    </w:p>
    <w:p>
      <w:pPr>
        <w:ind w:firstLine="436"/>
        <w:spacing w:after="0" w:line="254" w:lineRule="auto"/>
        <w:tabs>
          <w:tab w:leader="none" w:pos="685"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Form and Time of Settlement of Stock Units</w:t>
      </w:r>
      <w:r>
        <w:rPr>
          <w:rFonts w:ascii="Arial" w:cs="Arial" w:eastAsia="Arial" w:hAnsi="Arial"/>
          <w:sz w:val="18"/>
          <w:szCs w:val="18"/>
          <w:color w:val="auto"/>
        </w:rPr>
        <w:t>. Settlement of vested Stock Units may be made in the form of (a) cash, (b) Shares or (c)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w:t>
      </w:r>
    </w:p>
    <w:p>
      <w:pPr>
        <w:spacing w:after="0" w:line="83" w:lineRule="exact"/>
        <w:rPr>
          <w:rFonts w:ascii="Arial" w:cs="Arial" w:eastAsia="Arial" w:hAnsi="Arial"/>
          <w:sz w:val="18"/>
          <w:szCs w:val="18"/>
          <w:i w:val="1"/>
          <w:iCs w:val="1"/>
          <w:color w:val="auto"/>
        </w:rPr>
      </w:pPr>
    </w:p>
    <w:p>
      <w:pPr>
        <w:ind w:right="20" w:firstLine="436"/>
        <w:spacing w:after="0" w:line="257" w:lineRule="auto"/>
        <w:tabs>
          <w:tab w:leader="none" w:pos="655"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Death of Recipient</w:t>
      </w:r>
      <w:r>
        <w:rPr>
          <w:rFonts w:ascii="Arial" w:cs="Arial" w:eastAsia="Arial" w:hAnsi="Arial"/>
          <w:sz w:val="18"/>
          <w:szCs w:val="18"/>
          <w:color w:val="auto"/>
        </w:rPr>
        <w:t>. Any Stock Units Award that becomes payable after the recipient’s death shall be distributed to the recipient’s beneficiary 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79" w:lineRule="exact"/>
        <w:rPr>
          <w:rFonts w:ascii="Arial" w:cs="Arial" w:eastAsia="Arial" w:hAnsi="Arial"/>
          <w:sz w:val="18"/>
          <w:szCs w:val="18"/>
          <w:i w:val="1"/>
          <w:iCs w:val="1"/>
          <w:color w:val="auto"/>
        </w:rPr>
      </w:pPr>
    </w:p>
    <w:p>
      <w:pPr>
        <w:ind w:right="60" w:firstLine="436"/>
        <w:spacing w:after="0" w:line="308" w:lineRule="auto"/>
        <w:tabs>
          <w:tab w:leader="none" w:pos="695" w:val="left"/>
        </w:tabs>
        <w:numPr>
          <w:ilvl w:val="0"/>
          <w:numId w:val="97"/>
        </w:numPr>
        <w:rPr>
          <w:rFonts w:ascii="Arial" w:cs="Arial" w:eastAsia="Arial" w:hAnsi="Arial"/>
          <w:sz w:val="17"/>
          <w:szCs w:val="17"/>
          <w:i w:val="1"/>
          <w:iCs w:val="1"/>
          <w:color w:val="auto"/>
        </w:rPr>
      </w:pPr>
      <w:r>
        <w:rPr>
          <w:rFonts w:ascii="Arial" w:cs="Arial" w:eastAsia="Arial" w:hAnsi="Arial"/>
          <w:sz w:val="17"/>
          <w:szCs w:val="17"/>
          <w:i w:val="1"/>
          <w:iCs w:val="1"/>
          <w:color w:val="auto"/>
        </w:rPr>
        <w:t>Creditors’ Rights</w:t>
      </w:r>
      <w:r>
        <w:rPr>
          <w:rFonts w:ascii="Arial" w:cs="Arial" w:eastAsia="Arial" w:hAnsi="Arial"/>
          <w:sz w:val="17"/>
          <w:szCs w:val="17"/>
          <w:color w:val="auto"/>
        </w:rPr>
        <w:t>. A holder of Stock Units shall have no rights other than those of a general creditor of the Company. Stock Units represent an</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and unsecured obligation of the Company, subject to the terms and conditions of the applicable Stock Unit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ADJUSTMENT OF SHARES.</w:t>
      </w:r>
    </w:p>
    <w:p>
      <w:pPr>
        <w:spacing w:after="0" w:line="121" w:lineRule="exact"/>
        <w:rPr>
          <w:sz w:val="20"/>
          <w:szCs w:val="20"/>
          <w:color w:val="auto"/>
        </w:rPr>
      </w:pPr>
    </w:p>
    <w:p>
      <w:pPr>
        <w:ind w:right="160" w:firstLine="436"/>
        <w:spacing w:after="0" w:line="259" w:lineRule="auto"/>
        <w:tabs>
          <w:tab w:leader="none" w:pos="695"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subdivision of the outstanding Stock, a declaration of a dividend payable in Shares, a declaration of a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78" w:lineRule="exact"/>
        <w:rPr>
          <w:rFonts w:ascii="Arial" w:cs="Arial" w:eastAsia="Arial" w:hAnsi="Arial"/>
          <w:sz w:val="18"/>
          <w:szCs w:val="18"/>
          <w:i w:val="1"/>
          <w:iCs w:val="1"/>
          <w:color w:val="auto"/>
        </w:rPr>
      </w:pPr>
    </w:p>
    <w:p>
      <w:pPr>
        <w:ind w:left="1080" w:hanging="221"/>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class(es) and maximum number of securities available for future Awards under Section 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4" w:right="459" w:bottom="1440" w:gutter="0" w:footer="0" w:header="0"/>
        </w:sectPr>
      </w:pPr>
    </w:p>
    <w:bookmarkStart w:id="87" w:name="page88"/>
    <w:bookmarkEnd w:id="87"/>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class(es) and number of securities that may be issued pursuant to the exercise of ISOs pursuant to Section 5;</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class(es) and number of securities covered by each outstanding Option and SAR;</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Exercise Price under each outstanding Option and SAR;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classes and number of securities subject to any outstanding Award.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79" w:lineRule="exact"/>
        <w:rPr>
          <w:sz w:val="20"/>
          <w:szCs w:val="20"/>
          <w:color w:val="auto"/>
        </w:rPr>
      </w:pPr>
    </w:p>
    <w:p>
      <w:pPr>
        <w:ind w:firstLine="436"/>
        <w:spacing w:after="0" w:line="277" w:lineRule="auto"/>
        <w:tabs>
          <w:tab w:leader="none" w:pos="695"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SARs and Stock Units shall terminate immediately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dissolution or liquidation of the Company.</w:t>
      </w:r>
    </w:p>
    <w:p>
      <w:pPr>
        <w:spacing w:after="0" w:line="62" w:lineRule="exact"/>
        <w:rPr>
          <w:rFonts w:ascii="Arial" w:cs="Arial" w:eastAsia="Arial" w:hAnsi="Arial"/>
          <w:sz w:val="18"/>
          <w:szCs w:val="18"/>
          <w:i w:val="1"/>
          <w:iCs w:val="1"/>
          <w:color w:val="auto"/>
        </w:rPr>
      </w:pPr>
    </w:p>
    <w:p>
      <w:pPr>
        <w:ind w:right="460" w:firstLine="436"/>
        <w:spacing w:after="0" w:line="342" w:lineRule="auto"/>
        <w:tabs>
          <w:tab w:leader="none" w:pos="685"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Reorganizations</w:t>
      </w:r>
      <w:r>
        <w:rPr>
          <w:rFonts w:ascii="Arial" w:cs="Arial" w:eastAsia="Arial" w:hAnsi="Arial"/>
          <w:sz w:val="16"/>
          <w:szCs w:val="16"/>
          <w:color w:val="auto"/>
        </w:rPr>
        <w:t>. In the event that the Company is a party to a merger or other reorganization, outstanding Awards shall be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merger or reorganization. Subject to compliance with Section 409A of the Code, such agreement shall provide for:</w:t>
      </w:r>
    </w:p>
    <w:p>
      <w:pPr>
        <w:spacing w:after="0" w:line="15" w:lineRule="exact"/>
        <w:rPr>
          <w:rFonts w:ascii="Arial" w:cs="Arial" w:eastAsia="Arial" w:hAnsi="Arial"/>
          <w:sz w:val="16"/>
          <w:szCs w:val="16"/>
          <w:i w:val="1"/>
          <w:iCs w:val="1"/>
          <w:color w:val="auto"/>
        </w:rPr>
      </w:pPr>
    </w:p>
    <w:p>
      <w:pPr>
        <w:ind w:left="1080" w:hanging="221"/>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continuation of the outstanding Awards by the Company, if the Company is a surviving corporation;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assumption of the outstanding Awards by the surviving corporation or its parent or subsidiary;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or subsidiary of its own awards for the outstanding Awards;</w:t>
      </w:r>
    </w:p>
    <w:p>
      <w:pPr>
        <w:spacing w:after="0" w:line="117" w:lineRule="exact"/>
        <w:rPr>
          <w:rFonts w:ascii="Arial" w:cs="Arial" w:eastAsia="Arial" w:hAnsi="Arial"/>
          <w:sz w:val="18"/>
          <w:szCs w:val="18"/>
          <w:color w:val="auto"/>
        </w:rPr>
      </w:pPr>
    </w:p>
    <w:p>
      <w:pPr>
        <w:jc w:val="both"/>
        <w:ind w:left="440" w:right="60" w:firstLine="419"/>
        <w:spacing w:after="0" w:line="263" w:lineRule="auto"/>
        <w:tabs>
          <w:tab w:leader="none" w:pos="116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w:t>
      </w:r>
    </w:p>
    <w:p>
      <w:pPr>
        <w:spacing w:after="0" w:line="75" w:lineRule="exact"/>
        <w:rPr>
          <w:rFonts w:ascii="Arial" w:cs="Arial" w:eastAsia="Arial" w:hAnsi="Arial"/>
          <w:sz w:val="18"/>
          <w:szCs w:val="18"/>
          <w:color w:val="auto"/>
        </w:rPr>
      </w:pPr>
    </w:p>
    <w:p>
      <w:pPr>
        <w:ind w:left="440" w:right="600" w:firstLine="419"/>
        <w:spacing w:after="0" w:line="342" w:lineRule="auto"/>
        <w:tabs>
          <w:tab w:leader="none" w:pos="11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Cancellation of the Award, to the extent not vested or not exercised prior to the effective time of the merger or reorganization, in exchange for such cash consideration, if any, as the Committee, in its sole discretion, may consider appropriate; or</w:t>
      </w:r>
    </w:p>
    <w:p>
      <w:pPr>
        <w:spacing w:after="0" w:line="15" w:lineRule="exact"/>
        <w:rPr>
          <w:rFonts w:ascii="Arial" w:cs="Arial" w:eastAsia="Arial" w:hAnsi="Arial"/>
          <w:sz w:val="16"/>
          <w:szCs w:val="16"/>
          <w:color w:val="auto"/>
        </w:rPr>
      </w:pPr>
    </w:p>
    <w:p>
      <w:pPr>
        <w:ind w:left="440" w:right="280" w:firstLine="419"/>
        <w:spacing w:after="0" w:line="342" w:lineRule="auto"/>
        <w:tabs>
          <w:tab w:leader="none" w:pos="116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60"/>
          </w:cols>
          <w:pgMar w:left="440" w:top="274" w:right="499" w:bottom="1440" w:gutter="0" w:footer="0" w:header="0"/>
        </w:sectPr>
      </w:pPr>
    </w:p>
    <w:bookmarkStart w:id="88" w:name="page89"/>
    <w:bookmarkEnd w:id="88"/>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w:t>
      </w:r>
    </w:p>
    <w:p>
      <w:pPr>
        <w:spacing w:after="0" w:line="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need not take the same action or actions with respect to all Awards or portions thereof or with respect to all Participants. The Company may take different actions with respect to the vested and unvested portions of an Award.</w:t>
      </w:r>
    </w:p>
    <w:p>
      <w:pPr>
        <w:spacing w:after="0" w:line="62" w:lineRule="exact"/>
        <w:rPr>
          <w:sz w:val="20"/>
          <w:szCs w:val="20"/>
          <w:color w:val="auto"/>
        </w:rPr>
      </w:pPr>
    </w:p>
    <w:p>
      <w:pPr>
        <w:ind w:right="80" w:firstLine="436"/>
        <w:spacing w:after="0" w:line="293" w:lineRule="auto"/>
        <w:tabs>
          <w:tab w:leader="none" w:pos="695"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11, an Optionee, Offeree or Participant shall have no rights by reason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56" w:lineRule="exact"/>
        <w:rPr>
          <w:rFonts w:ascii="Arial" w:cs="Arial" w:eastAsia="Arial" w:hAnsi="Arial"/>
          <w:sz w:val="16"/>
          <w:szCs w:val="16"/>
          <w:i w:val="1"/>
          <w:iCs w:val="1"/>
          <w:color w:val="auto"/>
        </w:rPr>
      </w:pPr>
    </w:p>
    <w:p>
      <w:pPr>
        <w:ind w:right="60" w:firstLine="436"/>
        <w:spacing w:after="0" w:line="275" w:lineRule="auto"/>
        <w:tabs>
          <w:tab w:leader="none" w:pos="685" w:val="left"/>
        </w:tabs>
        <w:numPr>
          <w:ilvl w:val="0"/>
          <w:numId w:val="101"/>
        </w:numPr>
        <w:rPr>
          <w:rFonts w:ascii="Arial" w:cs="Arial" w:eastAsia="Arial" w:hAnsi="Arial"/>
          <w:sz w:val="17"/>
          <w:szCs w:val="17"/>
          <w:i w:val="1"/>
          <w:iCs w:val="1"/>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its discretion, the Committee pay provide in the Award Agreement governing an Award or at any other time may take</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DEFERRAL OF AWARDS.</w:t>
      </w:r>
    </w:p>
    <w:p>
      <w:pPr>
        <w:spacing w:after="0" w:line="121" w:lineRule="exact"/>
        <w:rPr>
          <w:sz w:val="20"/>
          <w:szCs w:val="20"/>
          <w:color w:val="auto"/>
        </w:rPr>
      </w:pPr>
    </w:p>
    <w:p>
      <w:pPr>
        <w:ind w:right="440" w:firstLine="436"/>
        <w:spacing w:after="0" w:line="277" w:lineRule="auto"/>
        <w:tabs>
          <w:tab w:leader="none" w:pos="695"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Powers</w:t>
      </w:r>
      <w:r>
        <w:rPr>
          <w:rFonts w:ascii="Arial" w:cs="Arial" w:eastAsia="Arial" w:hAnsi="Arial"/>
          <w:sz w:val="18"/>
          <w:szCs w:val="18"/>
          <w:color w:val="auto"/>
        </w:rPr>
        <w:t>. Subject to compliance with Section 409A of the Code, the Committee (in its sole discretion) may permit or require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w:t>
      </w:r>
    </w:p>
    <w:p>
      <w:pPr>
        <w:spacing w:after="0" w:line="62" w:lineRule="exact"/>
        <w:rPr>
          <w:rFonts w:ascii="Arial" w:cs="Arial" w:eastAsia="Arial" w:hAnsi="Arial"/>
          <w:sz w:val="18"/>
          <w:szCs w:val="18"/>
          <w:i w:val="1"/>
          <w:iCs w:val="1"/>
          <w:color w:val="auto"/>
        </w:rPr>
      </w:pPr>
    </w:p>
    <w:p>
      <w:pPr>
        <w:ind w:left="440" w:right="120" w:firstLine="419"/>
        <w:spacing w:after="0" w:line="308" w:lineRule="auto"/>
        <w:tabs>
          <w:tab w:leader="none" w:pos="107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38" w:lineRule="exact"/>
        <w:rPr>
          <w:rFonts w:ascii="Arial" w:cs="Arial" w:eastAsia="Arial" w:hAnsi="Arial"/>
          <w:sz w:val="17"/>
          <w:szCs w:val="17"/>
          <w:color w:val="auto"/>
        </w:rPr>
      </w:pPr>
    </w:p>
    <w:p>
      <w:pPr>
        <w:ind w:left="440" w:right="380" w:firstLine="419"/>
        <w:spacing w:after="0" w:line="277" w:lineRule="auto"/>
        <w:tabs>
          <w:tab w:leader="none" w:pos="112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converted into an equal number of Stock Units;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80"/>
          </w:cols>
          <w:pgMar w:left="440" w:top="274" w:right="479" w:bottom="1440" w:gutter="0" w:footer="0" w:header="0"/>
        </w:sectPr>
      </w:pPr>
    </w:p>
    <w:bookmarkStart w:id="89" w:name="page90"/>
    <w:bookmarkEnd w:id="89"/>
    <w:p>
      <w:pPr>
        <w:ind w:left="440" w:right="80" w:firstLine="419"/>
        <w:spacing w:after="0" w:line="259" w:lineRule="auto"/>
        <w:tabs>
          <w:tab w:leader="none" w:pos="11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78" w:lineRule="exact"/>
        <w:rPr>
          <w:rFonts w:ascii="Arial" w:cs="Arial" w:eastAsia="Arial" w:hAnsi="Arial"/>
          <w:sz w:val="18"/>
          <w:szCs w:val="18"/>
          <w:color w:val="auto"/>
        </w:rPr>
      </w:pPr>
    </w:p>
    <w:p>
      <w:pPr>
        <w:ind w:firstLine="436"/>
        <w:spacing w:after="0" w:line="255" w:lineRule="auto"/>
        <w:tabs>
          <w:tab w:leader="none" w:pos="695"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General Rules</w:t>
      </w:r>
      <w:r>
        <w:rPr>
          <w:rFonts w:ascii="Arial" w:cs="Arial" w:eastAsia="Arial" w:hAnsi="Arial"/>
          <w:sz w:val="18"/>
          <w:szCs w:val="18"/>
          <w:color w:val="auto"/>
        </w:rPr>
        <w:t>. A deferred compensation account established under this Section 12 may be credited with interest or other forms of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AWARDS UNDER OTHER PLANS.</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LEGAL AND REGULATORY REQUIREMENTS.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WITHHOLDING TAXES.</w:t>
      </w:r>
    </w:p>
    <w:p>
      <w:pPr>
        <w:spacing w:after="0" w:line="121" w:lineRule="exact"/>
        <w:rPr>
          <w:sz w:val="20"/>
          <w:szCs w:val="20"/>
          <w:color w:val="auto"/>
        </w:rPr>
      </w:pPr>
    </w:p>
    <w:p>
      <w:pPr>
        <w:ind w:right="240" w:firstLine="436"/>
        <w:spacing w:after="0" w:line="286" w:lineRule="auto"/>
        <w:tabs>
          <w:tab w:leader="none" w:pos="695" w:val="left"/>
        </w:tabs>
        <w:numPr>
          <w:ilvl w:val="0"/>
          <w:numId w:val="105"/>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To the extent required by applicable federal, state, local or foreign law, a Participant or his or her successor shall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90" w:name="page91"/>
    <w:bookmarkEnd w:id="90"/>
    <w:p>
      <w:pPr>
        <w:ind w:firstLine="436"/>
        <w:spacing w:after="0" w:line="257" w:lineRule="auto"/>
        <w:tabs>
          <w:tab w:leader="none" w:pos="695"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Withholding</w:t>
      </w:r>
      <w:r>
        <w:rPr>
          <w:rFonts w:ascii="Arial" w:cs="Arial" w:eastAsia="Arial" w:hAnsi="Arial"/>
          <w:sz w:val="18"/>
          <w:szCs w:val="18"/>
          <w:color w:val="auto"/>
        </w:rPr>
        <w:t>. The Committee may permit a Participant to satisfy all or part of his or her withholding or income tax obligations by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OTHER PROVISIONS APPLICABLE TO AWARDS.</w:t>
      </w:r>
    </w:p>
    <w:p>
      <w:pPr>
        <w:spacing w:after="0" w:line="121" w:lineRule="exact"/>
        <w:rPr>
          <w:sz w:val="20"/>
          <w:szCs w:val="20"/>
          <w:color w:val="auto"/>
        </w:rPr>
      </w:pPr>
    </w:p>
    <w:p>
      <w:pPr>
        <w:ind w:right="120" w:firstLine="436"/>
        <w:spacing w:after="0" w:line="255" w:lineRule="auto"/>
        <w:tabs>
          <w:tab w:leader="none" w:pos="695"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the agreement evidencing an Award (or an amendment thereto authorized by the Committee) expressly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w:t>
      </w:r>
    </w:p>
    <w:p>
      <w:pPr>
        <w:spacing w:after="0" w:line="84" w:lineRule="exact"/>
        <w:rPr>
          <w:rFonts w:ascii="Arial" w:cs="Arial" w:eastAsia="Arial" w:hAnsi="Arial"/>
          <w:sz w:val="18"/>
          <w:szCs w:val="18"/>
          <w:i w:val="1"/>
          <w:iCs w:val="1"/>
          <w:color w:val="auto"/>
        </w:rPr>
      </w:pPr>
    </w:p>
    <w:p>
      <w:pPr>
        <w:ind w:right="140" w:firstLine="436"/>
        <w:spacing w:after="0" w:line="277" w:lineRule="auto"/>
        <w:tabs>
          <w:tab w:leader="none" w:pos="695"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Criteria</w:t>
      </w:r>
      <w:r>
        <w:rPr>
          <w:rFonts w:ascii="Arial" w:cs="Arial" w:eastAsia="Arial" w:hAnsi="Arial"/>
          <w:sz w:val="18"/>
          <w:szCs w:val="18"/>
          <w:color w:val="auto"/>
        </w:rPr>
        <w:t>. The number of Shares or other benefits granted, issued, retainable and/or vested under an Award may be made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attainment of performance goals.</w:t>
      </w:r>
    </w:p>
    <w:p>
      <w:pPr>
        <w:spacing w:after="0" w:line="62" w:lineRule="exact"/>
        <w:rPr>
          <w:rFonts w:ascii="Arial" w:cs="Arial" w:eastAsia="Arial" w:hAnsi="Arial"/>
          <w:sz w:val="18"/>
          <w:szCs w:val="18"/>
          <w:i w:val="1"/>
          <w:iCs w:val="1"/>
          <w:color w:val="auto"/>
        </w:rPr>
      </w:pPr>
    </w:p>
    <w:p>
      <w:pPr>
        <w:ind w:left="440" w:right="320" w:firstLine="419"/>
        <w:spacing w:after="0" w:line="291" w:lineRule="auto"/>
        <w:tabs>
          <w:tab w:leader="none" w:pos="107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Committee may utilize performance criteria including, but not limited to any of the following performance criteria: (a) cash flow (including operating cash flow), (b) earnings per share, (c) earnings before any combination of interest, taxes, depreciation or amortization,</w:t>
      </w:r>
    </w:p>
    <w:p>
      <w:pPr>
        <w:ind w:left="440" w:hanging="4"/>
        <w:spacing w:after="0" w:line="281"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return on equity, (e) total stockholder return, (f) share price performance, (g) return on capital, (h) return on assets or net assets, (i) revenue, (j) income or net income, (k) operating income or net operating income, (l) operating profit or net operating profit, (m) operating margin or profit margin (including as a percentage of revenue), (n) return on operating revenue, (o) return on invested capital, (p) market segment shares, (q) costs,</w:t>
      </w:r>
    </w:p>
    <w:p>
      <w:pPr>
        <w:spacing w:after="0" w:line="1" w:lineRule="exact"/>
        <w:rPr>
          <w:rFonts w:ascii="Arial" w:cs="Arial" w:eastAsia="Arial" w:hAnsi="Arial"/>
          <w:sz w:val="16"/>
          <w:szCs w:val="16"/>
          <w:color w:val="auto"/>
        </w:rPr>
      </w:pPr>
    </w:p>
    <w:p>
      <w:pPr>
        <w:ind w:left="440" w:right="20" w:hanging="4"/>
        <w:spacing w:after="0" w:line="287" w:lineRule="auto"/>
        <w:tabs>
          <w:tab w:leader="none" w:pos="6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expenses, (s) achievement of target levels of discovery and/or development of products or services, including but not limited to research or regulatory achievements, (t) third party coverage and/or reimbursement objectives, (u) test volume metrics, (v) objective customer indicators (including, without limitation, customer satisfaction), (w) improvements in productivity, (x) attainment of objective operating goals, (y) objective employee metrics or (z) any other measures of performance selected by the Committee (“Qualifying Performance Criteria”), any of which may be measured either individually, alternatively or in any combination, applied to either the individual, the Company as a whole or to a business unit or subsidiary of the Company, either individually, alternatively or in any combination, and measured either annually or cumulatively over a period of years, or on the basis of any other specified period, on an absolute basis or relative to a pre-established target, to previous years’ results or to a designated comparison group or index, and subject to specified adjustments, in each case as specified by the Committee in the Award.</w:t>
      </w:r>
    </w:p>
    <w:p>
      <w:pPr>
        <w:spacing w:after="0" w:line="62" w:lineRule="exact"/>
        <w:rPr>
          <w:sz w:val="20"/>
          <w:szCs w:val="20"/>
          <w:color w:val="auto"/>
        </w:rPr>
      </w:pPr>
    </w:p>
    <w:p>
      <w:pPr>
        <w:ind w:left="440" w:right="20" w:firstLine="419"/>
        <w:spacing w:after="0" w:line="277" w:lineRule="auto"/>
        <w:tabs>
          <w:tab w:leader="none" w:pos="1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Unless specified otherwise by the Committee at the time the performance goals are established, the Committee shall appropriately adjust the method of evaluating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80"/>
          </w:cols>
          <w:pgMar w:left="440" w:top="274" w:right="479" w:bottom="1440" w:gutter="0" w:footer="0" w:header="0"/>
        </w:sectPr>
      </w:pPr>
    </w:p>
    <w:bookmarkStart w:id="91" w:name="page92"/>
    <w:bookmarkEnd w:id="91"/>
    <w:p>
      <w:pPr>
        <w:ind w:left="44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under a Qualifying Performance Criteria for a performance period as follows: (a) to exclude asset write-downs, (b) to exclude litigation or claim judgments or settlements, (c) to exclude the effect of changes in tax law, accounting principles or other such laws or provisions affecting reported results, (d) to exclude accruals for reorganization and restructuring programs, (e)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(f) to exclude the dilutive and/or accretive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(j) to exclude costs incurred in connection with potential acquisitions or divestitures that are required to be expensed under generally accepted accounting principles and (k) to make other appropriate adjustments selected by the Committee.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shall establish in writing the applicable performance goals (and any variation to the adjustments specified in the preceding subparagraph (ii)), and an objective method for determining the Award earned by a Participant if the goals are attained, while the outcome is substantially uncertain, and shall determine and certify in writing, for each Participant, the extent to which the performance goals have been met prior to payment or vesting of the Award. The Committee may reserve the right, in its sole discretion, to reduce the amount of compensation otherwise payable under the Plan upon the attainment of the pre-established performance goals.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NO EMPLOYMENT RIGHTS.</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SECTION 409A.</w:t>
      </w:r>
    </w:p>
    <w:p>
      <w:pPr>
        <w:spacing w:after="0" w:line="121"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spacing w:after="0" w:line="49"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00"/>
          </w:cols>
          <w:pgMar w:left="440" w:top="274" w:right="459" w:bottom="1440" w:gutter="0" w:footer="0" w:header="0"/>
        </w:sectPr>
      </w:pPr>
    </w:p>
    <w:bookmarkStart w:id="92" w:name="page93"/>
    <w:bookmarkEnd w:id="92"/>
    <w:p>
      <w:pPr>
        <w:ind w:right="2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DURATION AND AMENDMENTS.</w:t>
      </w:r>
    </w:p>
    <w:p>
      <w:pPr>
        <w:spacing w:after="0" w:line="121" w:lineRule="exact"/>
        <w:rPr>
          <w:sz w:val="20"/>
          <w:szCs w:val="20"/>
          <w:color w:val="auto"/>
        </w:rPr>
      </w:pPr>
    </w:p>
    <w:p>
      <w:pPr>
        <w:ind w:right="60" w:firstLine="436"/>
        <w:spacing w:after="0" w:line="259" w:lineRule="auto"/>
        <w:tabs>
          <w:tab w:leader="none" w:pos="695"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become effective on the Effective Date. No Award may be granted hereunder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The Board of Directors may suspend or terminate the Plan at any time. No ISOs may be granted after the tenth anniversary of the earlier of (i) the date the Plan, as amended and restated herein, is adopted in 2022 by the Board of Directors, or (ii) the date the Plan, as amended and restated herein is approved the stockholders of the Company.</w:t>
      </w:r>
    </w:p>
    <w:p>
      <w:pPr>
        <w:spacing w:after="0" w:line="78" w:lineRule="exact"/>
        <w:rPr>
          <w:rFonts w:ascii="Arial" w:cs="Arial" w:eastAsia="Arial" w:hAnsi="Arial"/>
          <w:sz w:val="18"/>
          <w:szCs w:val="18"/>
          <w:i w:val="1"/>
          <w:iCs w:val="1"/>
          <w:color w:val="auto"/>
        </w:rPr>
      </w:pPr>
    </w:p>
    <w:p>
      <w:pPr>
        <w:ind w:right="60" w:firstLine="436"/>
        <w:spacing w:after="0" w:line="259" w:lineRule="auto"/>
        <w:tabs>
          <w:tab w:leader="none" w:pos="695"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Right to Amend or Terminate the Plan</w:t>
      </w:r>
      <w:r>
        <w:rPr>
          <w:rFonts w:ascii="Arial" w:cs="Arial" w:eastAsia="Arial" w:hAnsi="Arial"/>
          <w:sz w:val="18"/>
          <w:szCs w:val="18"/>
          <w:color w:val="auto"/>
        </w:rPr>
        <w:t>. The Board of Directors may amend or terminate the Plan at any time and from time to time.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78" w:lineRule="exact"/>
        <w:rPr>
          <w:rFonts w:ascii="Arial" w:cs="Arial" w:eastAsia="Arial" w:hAnsi="Arial"/>
          <w:sz w:val="18"/>
          <w:szCs w:val="18"/>
          <w:i w:val="1"/>
          <w:iCs w:val="1"/>
          <w:color w:val="auto"/>
        </w:rPr>
      </w:pPr>
    </w:p>
    <w:p>
      <w:pPr>
        <w:ind w:right="380" w:firstLine="436"/>
        <w:spacing w:after="0" w:line="277" w:lineRule="auto"/>
        <w:tabs>
          <w:tab w:leader="none" w:pos="685"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 No Awards shall be granted under the Plan after the termination thereof. The termination of the Plan shall not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previously granted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AWARDS TO NON-U.S. PARTICIPANTS.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FORFEITURE, CANCELLATION OR CLAWBACK OF AWARDS.</w:t>
      </w:r>
    </w:p>
    <w:p>
      <w:pPr>
        <w:spacing w:after="0" w:line="121" w:lineRule="exact"/>
        <w:rPr>
          <w:sz w:val="20"/>
          <w:szCs w:val="20"/>
          <w:color w:val="auto"/>
        </w:rPr>
      </w:pPr>
    </w:p>
    <w:p>
      <w:pPr>
        <w:ind w:right="360" w:firstLine="436"/>
        <w:spacing w:after="0" w:line="277"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sectPr>
      </w:pPr>
    </w:p>
    <w:bookmarkStart w:id="93" w:name="page94"/>
    <w:bookmarkEnd w:id="93"/>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76" w:lineRule="exact"/>
        <w:rPr>
          <w:sz w:val="20"/>
          <w:szCs w:val="20"/>
          <w:color w:val="auto"/>
        </w:rPr>
      </w:pPr>
    </w:p>
    <w:p>
      <w:pPr>
        <w:ind w:firstLine="436"/>
        <w:spacing w:after="0" w:line="270" w:lineRule="auto"/>
        <w:tabs>
          <w:tab w:leader="none" w:pos="6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In addition, to the extent claw-back or similar provisions applicable to Awards are required by applicable law, listing standards and/or policies adopted by the Company, Awards granted under the Plan shall be subject to such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GOVERNING LAW.</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PLUS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2020 STOCK INCENTIVE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80"/>
          </w:cols>
          <w:pgMar w:left="440" w:top="274" w:right="479" w:bottom="1440"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75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7475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66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746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lowerRoman"/>
      <w:start w:val="1"/>
    </w:lvl>
  </w:abstractNum>
  <w:abstractNum w:abstractNumId="6">
    <w:nsid w:val="741226BB"/>
    <w:multiLevelType w:val="hybridMultilevel"/>
    <w:lvl w:ilvl="0">
      <w:lvlJc w:val="left"/>
      <w:lvlText w:val="(%1)"/>
      <w:numFmt w:val="decimal"/>
      <w:start w:val="737"/>
    </w:lvl>
  </w:abstractNum>
  <w:abstractNum w:abstractNumId="7">
    <w:nsid w:val="D34B6A8"/>
    <w:multiLevelType w:val="hybridMultilevel"/>
    <w:lvl w:ilvl="0">
      <w:lvlJc w:val="left"/>
      <w:lvlText w:val="%1:"/>
      <w:numFmt w:val="upperLetter"/>
      <w:start w:val="1"/>
    </w:lvl>
    <w:lvl w:ilvl="1">
      <w:lvlJc w:val="left"/>
      <w:lvlText w:val="(%2)"/>
      <w:numFmt w:val="lowerRoman"/>
      <w:start w:val="1"/>
    </w:lvl>
  </w:abstractNum>
  <w:abstractNum w:abstractNumId="8">
    <w:nsid w:val="10233C99"/>
    <w:multiLevelType w:val="hybridMultilevel"/>
    <w:lvl w:ilvl="0">
      <w:lvlJc w:val="left"/>
      <w:lvlText w:val="%1"/>
      <w:numFmt w:val="upperLetter"/>
      <w:start w:val="1"/>
    </w:lvl>
    <w:lvl w:ilvl="1">
      <w:lvlJc w:val="left"/>
      <w:lvlText w:val="(%2)"/>
      <w:numFmt w:val="lowerRoman"/>
      <w:start w:val="4"/>
    </w:lvl>
  </w:abstractNum>
  <w:abstractNum w:abstractNumId="9">
    <w:nsid w:val="3F6AB60F"/>
    <w:multiLevelType w:val="hybridMultilevel"/>
    <w:lvl w:ilvl="0">
      <w:lvlJc w:val="left"/>
      <w:lvlText w:val="%1:"/>
      <w:numFmt w:val="upperLetter"/>
      <w:start w:val="17"/>
    </w:lvl>
    <w:lvl w:ilvl="1">
      <w:lvlJc w:val="left"/>
      <w:lvlText w:val="%2"/>
      <w:numFmt w:val="lowerRoman"/>
      <w:start w:val="1"/>
    </w:lvl>
  </w:abstractNum>
  <w:abstractNum w:abstractNumId="10">
    <w:nsid w:val="61574095"/>
    <w:multiLevelType w:val="hybridMultilevel"/>
    <w:lvl w:ilvl="0">
      <w:lvlJc w:val="left"/>
      <w:lvlText w:val="%1:"/>
      <w:numFmt w:val="upperLetter"/>
      <w:start w:val="1"/>
    </w:lvl>
  </w:abstractNum>
  <w:abstractNum w:abstractNumId="11">
    <w:nsid w:val="7E0C57B1"/>
    <w:multiLevelType w:val="hybridMultilevel"/>
    <w:lvl w:ilvl="0">
      <w:lvlJc w:val="left"/>
      <w:lvlText w:val="%1:"/>
      <w:numFmt w:val="upperLetter"/>
      <w:start w:val="1"/>
    </w:lvl>
  </w:abstractNum>
  <w:abstractNum w:abstractNumId="12">
    <w:nsid w:val="77AE35EB"/>
    <w:multiLevelType w:val="hybridMultilevel"/>
    <w:lvl w:ilvl="0">
      <w:lvlJc w:val="left"/>
      <w:lvlText w:val="%1:"/>
      <w:numFmt w:val="upperLetter"/>
      <w:start w:val="1"/>
    </w:lvl>
  </w:abstractNum>
  <w:abstractNum w:abstractNumId="13">
    <w:nsid w:val="579BE4F1"/>
    <w:multiLevelType w:val="hybridMultilevel"/>
    <w:lvl w:ilvl="0">
      <w:lvlJc w:val="left"/>
      <w:lvlText w:val="%1:"/>
      <w:numFmt w:val="upperLetter"/>
      <w:start w:val="1"/>
    </w:lvl>
  </w:abstractNum>
  <w:abstractNum w:abstractNumId="14">
    <w:nsid w:val="310C50B3"/>
    <w:multiLevelType w:val="hybridMultilevel"/>
    <w:lvl w:ilvl="0">
      <w:lvlJc w:val="left"/>
      <w:lvlText w:val="%1:"/>
      <w:numFmt w:val="upperLetter"/>
      <w:start w:val="1"/>
    </w:lvl>
  </w:abstractNum>
  <w:abstractNum w:abstractNumId="15">
    <w:nsid w:val="5FF87E05"/>
    <w:multiLevelType w:val="hybridMultilevel"/>
    <w:lvl w:ilvl="0">
      <w:lvlJc w:val="left"/>
      <w:lvlText w:val="%1:"/>
      <w:numFmt w:val="upperLetter"/>
      <w:start w:val="1"/>
    </w:lvl>
  </w:abstractNum>
  <w:abstractNum w:abstractNumId="16">
    <w:nsid w:val="2F305DEF"/>
    <w:multiLevelType w:val="hybridMultilevel"/>
    <w:lvl w:ilvl="0">
      <w:lvlJc w:val="left"/>
      <w:lvlText w:val="%1:"/>
      <w:numFmt w:val="upperLetter"/>
      <w:start w:val="1"/>
    </w:lvl>
  </w:abstractNum>
  <w:abstractNum w:abstractNumId="17">
    <w:nsid w:val="25A70BF7"/>
    <w:multiLevelType w:val="hybridMultilevel"/>
    <w:lvl w:ilvl="0">
      <w:lvlJc w:val="left"/>
      <w:lvlText w:val="%1:"/>
      <w:numFmt w:val="upperLetter"/>
      <w:start w:val="17"/>
    </w:lvl>
  </w:abstractNum>
  <w:abstractNum w:abstractNumId="18">
    <w:nsid w:val="1DBABF00"/>
    <w:multiLevelType w:val="hybridMultilevel"/>
    <w:lvl w:ilvl="0">
      <w:lvlJc w:val="left"/>
      <w:lvlText w:val="%1:"/>
      <w:numFmt w:val="upperLetter"/>
      <w:start w:val="1"/>
    </w:lvl>
  </w:abstractNum>
  <w:abstractNum w:abstractNumId="19">
    <w:nsid w:val="4AD084E9"/>
    <w:multiLevelType w:val="hybridMultilevel"/>
    <w:lvl w:ilvl="0">
      <w:lvlJc w:val="left"/>
      <w:lvlText w:val="%1:"/>
      <w:numFmt w:val="upperLetter"/>
      <w:start w:val="17"/>
    </w:lvl>
  </w:abstractNum>
  <w:abstractNum w:abstractNumId="20">
    <w:nsid w:val="1F48EAA1"/>
    <w:multiLevelType w:val="hybridMultilevel"/>
    <w:lvl w:ilvl="0">
      <w:lvlJc w:val="left"/>
      <w:lvlText w:val="%1:"/>
      <w:numFmt w:val="upperLetter"/>
      <w:start w:val="17"/>
    </w:lvl>
  </w:abstractNum>
  <w:abstractNum w:abstractNumId="21">
    <w:nsid w:val="1381823A"/>
    <w:multiLevelType w:val="hybridMultilevel"/>
    <w:lvl w:ilvl="0">
      <w:lvlJc w:val="left"/>
      <w:lvlText w:val="%1:"/>
      <w:numFmt w:val="upperLetter"/>
      <w:start w:val="1"/>
    </w:lvl>
  </w:abstractNum>
  <w:abstractNum w:abstractNumId="22">
    <w:nsid w:val="5DB70AE5"/>
    <w:multiLevelType w:val="hybridMultilevel"/>
    <w:lvl w:ilvl="0">
      <w:lvlJc w:val="left"/>
      <w:lvlText w:val="%1:"/>
      <w:numFmt w:val="upperLetter"/>
      <w:start w:val="17"/>
    </w:lvl>
  </w:abstractNum>
  <w:abstractNum w:abstractNumId="23">
    <w:nsid w:val="100F8FCA"/>
    <w:multiLevelType w:val="hybridMultilevel"/>
    <w:lvl w:ilvl="0">
      <w:lvlJc w:val="left"/>
      <w:lvlText w:val="%1:"/>
      <w:numFmt w:val="upperLetter"/>
      <w:start w:val="1"/>
    </w:lvl>
  </w:abstractNum>
  <w:abstractNum w:abstractNumId="24">
    <w:nsid w:val="6590700B"/>
    <w:multiLevelType w:val="hybridMultilevel"/>
    <w:lvl w:ilvl="0">
      <w:lvlJc w:val="left"/>
      <w:lvlText w:val="%1:"/>
      <w:numFmt w:val="upperLetter"/>
      <w:start w:val="17"/>
    </w:lvl>
  </w:abstractNum>
  <w:abstractNum w:abstractNumId="25">
    <w:nsid w:val="15014ACB"/>
    <w:multiLevelType w:val="hybridMultilevel"/>
    <w:lvl w:ilvl="0">
      <w:lvlJc w:val="left"/>
      <w:lvlText w:val="%1:"/>
      <w:numFmt w:val="upperLetter"/>
      <w:start w:val="1"/>
    </w:lvl>
  </w:abstractNum>
  <w:abstractNum w:abstractNumId="26">
    <w:nsid w:val="5F5E7FD0"/>
    <w:multiLevelType w:val="hybridMultilevel"/>
    <w:lvl w:ilvl="0">
      <w:lvlJc w:val="left"/>
      <w:lvlText w:val="%1:"/>
      <w:numFmt w:val="upperLetter"/>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upperLetter"/>
      <w:start w:val="1"/>
    </w:lvl>
  </w:abstractNum>
  <w:abstractNum w:abstractNumId="30">
    <w:nsid w:val="42C296BD"/>
    <w:multiLevelType w:val="hybridMultilevel"/>
    <w:lvl w:ilvl="0">
      <w:lvlJc w:val="left"/>
      <w:lvlText w:val="%1:"/>
      <w:numFmt w:val="upperLetter"/>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1:"/>
      <w:numFmt w:val="upperLetter"/>
      <w:start w:val="1"/>
    </w:lvl>
  </w:abstractNum>
  <w:abstractNum w:abstractNumId="33">
    <w:nsid w:val="661E3F1E"/>
    <w:multiLevelType w:val="hybridMultilevel"/>
    <w:lvl w:ilvl="0">
      <w:lvlJc w:val="left"/>
      <w:lvlText w:val="%1:"/>
      <w:numFmt w:val="upperLetter"/>
      <w:start w:val="1"/>
    </w:lvl>
  </w:abstractNum>
  <w:abstractNum w:abstractNumId="34">
    <w:nsid w:val="5DC79EA8"/>
    <w:multiLevelType w:val="hybridMultilevel"/>
    <w:lvl w:ilvl="0">
      <w:lvlJc w:val="left"/>
      <w:lvlText w:val="%1:"/>
      <w:numFmt w:val="upperLetter"/>
      <w:start w:val="1"/>
    </w:lvl>
  </w:abstractNum>
  <w:abstractNum w:abstractNumId="35">
    <w:nsid w:val="540A471C"/>
    <w:multiLevelType w:val="hybridMultilevel"/>
    <w:lvl w:ilvl="0">
      <w:lvlJc w:val="left"/>
      <w:lvlText w:val="%1:"/>
      <w:numFmt w:val="upperLetter"/>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lowerLetter"/>
      <w:start w:val="29"/>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1)"/>
      <w:numFmt w:val="decimal"/>
      <w:start w:val="1"/>
    </w:lvl>
    <w:lvl w:ilvl="1">
      <w:lvlJc w:val="left"/>
      <w:lvlText w:val="•"/>
      <w:numFmt w:val="bullet"/>
      <w:start w:val="1"/>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1)"/>
      <w:numFmt w:val="decimal"/>
      <w:start w:val="4"/>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2"/>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1)"/>
      <w:numFmt w:val="lowerRoman"/>
      <w:start w:val="5"/>
    </w:lvl>
  </w:abstractNum>
  <w:abstractNum w:abstractNumId="65">
    <w:nsid w:val="74DE0EE3"/>
    <w:multiLevelType w:val="hybridMultilevel"/>
    <w:lvl w:ilvl="0">
      <w:lvlJc w:val="left"/>
      <w:lvlText w:val="(%1)"/>
      <w:numFmt w:val="lowerLetter"/>
      <w:start w:val="19"/>
    </w:lvl>
  </w:abstractNum>
  <w:abstractNum w:abstractNumId="66">
    <w:nsid w:val="68EBC550"/>
    <w:multiLevelType w:val="hybridMultilevel"/>
    <w:lvl w:ilvl="0">
      <w:lvlJc w:val="left"/>
      <w:lvlText w:val="(%1)"/>
      <w:numFmt w:val="lowerLetter"/>
      <w:start w:val="26"/>
    </w:lvl>
  </w:abstractNum>
  <w:abstractNum w:abstractNumId="67">
    <w:nsid w:val="2DF6D648"/>
    <w:multiLevelType w:val="hybridMultilevel"/>
    <w:lvl w:ilvl="0">
      <w:lvlJc w:val="left"/>
      <w:lvlText w:val="(%1)"/>
      <w:numFmt w:val="lowerLetter"/>
      <w:start w:val="24"/>
    </w:lvl>
  </w:abstractNum>
  <w:abstractNum w:abstractNumId="68">
    <w:nsid w:val="46B7D447"/>
    <w:multiLevelType w:val="hybridMultilevel"/>
    <w:lvl w:ilvl="0">
      <w:lvlJc w:val="left"/>
      <w:lvlText w:val="(%1)"/>
      <w:numFmt w:val="lowerLetter"/>
      <w:start w:val="1"/>
    </w:lvl>
    <w:lvl w:ilvl="1">
      <w:lvlJc w:val="left"/>
      <w:lvlText w:val="(%2)"/>
      <w:numFmt w:val="lowerRoman"/>
      <w:start w:val="1"/>
    </w:lvl>
  </w:abstractNum>
  <w:abstractNum w:abstractNumId="69">
    <w:nsid w:val="4A2AC315"/>
    <w:multiLevelType w:val="hybridMultilevel"/>
    <w:lvl w:ilvl="0">
      <w:lvlJc w:val="left"/>
      <w:lvlText w:val="(%1)"/>
      <w:numFmt w:val="lowerLetter"/>
      <w:start w:val="1"/>
    </w:lvl>
    <w:lvl w:ilvl="1">
      <w:lvlJc w:val="left"/>
      <w:lvlText w:val="(%2)"/>
      <w:numFmt w:val="lowerLetter"/>
      <w:start w:val="9"/>
    </w:lvl>
  </w:abstractNum>
  <w:abstractNum w:abstractNumId="70">
    <w:nsid w:val="39EE015C"/>
    <w:multiLevelType w:val="hybridMultilevel"/>
    <w:lvl w:ilvl="0">
      <w:lvlJc w:val="left"/>
      <w:lvlText w:val="%1"/>
      <w:numFmt w:val="lowerRoman"/>
      <w:start w:val="1"/>
    </w:lvl>
    <w:lvl w:ilvl="1">
      <w:lvlJc w:val="left"/>
      <w:lvlText w:val="(%2)"/>
      <w:numFmt w:val="upperLetter"/>
      <w:start w:val="1"/>
    </w:lvl>
  </w:abstractNum>
  <w:abstractNum w:abstractNumId="71">
    <w:nsid w:val="57FC4FBB"/>
    <w:multiLevelType w:val="hybridMultilevel"/>
    <w:lvl w:ilvl="0">
      <w:lvlJc w:val="left"/>
      <w:lvlText w:val="(%1)"/>
      <w:numFmt w:val="lowerRoman"/>
      <w:start w:val="2"/>
    </w:lvl>
    <w:lvl w:ilvl="1">
      <w:lvlJc w:val="left"/>
      <w:lvlText w:val="%2"/>
      <w:numFmt w:val="upperLetter"/>
      <w:start w:val="1"/>
    </w:lvl>
  </w:abstractNum>
  <w:abstractNum w:abstractNumId="72">
    <w:nsid w:val="CC1016F"/>
    <w:multiLevelType w:val="hybridMultilevel"/>
    <w:lvl w:ilvl="0">
      <w:lvlJc w:val="left"/>
      <w:lvlText w:val="(%1)"/>
      <w:numFmt w:val="lowerLetter"/>
      <w:start w:val="7"/>
    </w:lvl>
    <w:lvl w:ilvl="1">
      <w:lvlJc w:val="left"/>
      <w:lvlText w:val="(%2)"/>
      <w:numFmt w:val="lowerRoman"/>
      <w:start w:val="1"/>
    </w:lvl>
  </w:abstractNum>
  <w:abstractNum w:abstractNumId="73">
    <w:nsid w:val="43F18422"/>
    <w:multiLevelType w:val="hybridMultilevel"/>
    <w:lvl w:ilvl="0">
      <w:lvlJc w:val="left"/>
      <w:lvlText w:val="(%1)"/>
      <w:numFmt w:val="lowerRoman"/>
      <w:start w:val="3"/>
    </w:lvl>
  </w:abstractNum>
  <w:abstractNum w:abstractNumId="74">
    <w:nsid w:val="60EF0119"/>
    <w:multiLevelType w:val="hybridMultilevel"/>
    <w:lvl w:ilvl="0">
      <w:lvlJc w:val="left"/>
      <w:lvlText w:val="(%1)"/>
      <w:numFmt w:val="lowerLetter"/>
      <w:start w:val="17"/>
    </w:lvl>
  </w:abstractNum>
  <w:abstractNum w:abstractNumId="75">
    <w:nsid w:val="26F324BA"/>
    <w:multiLevelType w:val="hybridMultilevel"/>
    <w:lvl w:ilvl="0">
      <w:lvlJc w:val="left"/>
      <w:lvlText w:val="(%1)"/>
      <w:numFmt w:val="lowerLetter"/>
      <w:start w:val="27"/>
    </w:lvl>
  </w:abstractNum>
  <w:abstractNum w:abstractNumId="76">
    <w:nsid w:val="7F01579B"/>
    <w:multiLevelType w:val="hybridMultilevel"/>
    <w:lvl w:ilvl="0">
      <w:lvlJc w:val="left"/>
      <w:lvlText w:val="(%1)"/>
      <w:numFmt w:val="lowerLetter"/>
      <w:start w:val="3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3"/>
    </w:lvl>
    <w:lvl w:ilvl="1">
      <w:lvlJc w:val="left"/>
      <w:lvlText w:val="(%2)"/>
      <w:numFmt w:val="lowerRoman"/>
      <w:start w:val="1"/>
    </w:lvl>
  </w:abstractNum>
  <w:abstractNum w:abstractNumId="79">
    <w:nsid w:val="5FB8370B"/>
    <w:multiLevelType w:val="hybridMultilevel"/>
    <w:lvl w:ilvl="0">
      <w:lvlJc w:val="left"/>
      <w:lvlText w:val="(%1)"/>
      <w:numFmt w:val="lowerRoman"/>
      <w:start w:val="9"/>
    </w:lvl>
  </w:abstractNum>
  <w:abstractNum w:abstractNumId="80">
    <w:nsid w:val="50801EE1"/>
    <w:multiLevelType w:val="hybridMultilevel"/>
    <w:lvl w:ilvl="0">
      <w:lvlJc w:val="left"/>
      <w:lvlText w:val="(%1)"/>
      <w:numFmt w:val="lowerLetter"/>
      <w:start w:val="5"/>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2"/>
    </w:lvl>
  </w:abstractNum>
  <w:abstractNum w:abstractNumId="83">
    <w:nsid w:val="6AA78F7F"/>
    <w:multiLevelType w:val="hybridMultilevel"/>
    <w:lvl w:ilvl="0">
      <w:lvlJc w:val="left"/>
      <w:lvlText w:val="%1"/>
      <w:numFmt w:val="lowerRoman"/>
      <w:start w:val="1"/>
    </w:lvl>
    <w:lvl w:ilvl="1">
      <w:lvlJc w:val="left"/>
      <w:lvlText w:val="(%2)"/>
      <w:numFmt w:val="lowerLetter"/>
      <w:start w:val="1"/>
    </w:lvl>
  </w:abstractNum>
  <w:abstractNum w:abstractNumId="84">
    <w:nsid w:val="7672BD23"/>
    <w:multiLevelType w:val="hybridMultilevel"/>
    <w:lvl w:ilvl="0">
      <w:lvlJc w:val="left"/>
      <w:lvlText w:val="(%1)"/>
      <w:numFmt w:val="lowerRoman"/>
      <w:start w:val="6"/>
    </w:lvl>
    <w:lvl w:ilvl="1">
      <w:lvlJc w:val="left"/>
      <w:lvlText w:val="%2"/>
      <w:numFmt w:val="lowerLetter"/>
      <w:start w:val="1"/>
    </w:lvl>
  </w:abstractNum>
  <w:abstractNum w:abstractNumId="85">
    <w:nsid w:val="6FC75AF8"/>
    <w:multiLevelType w:val="hybridMultilevel"/>
    <w:lvl w:ilvl="0">
      <w:lvlJc w:val="left"/>
      <w:lvlText w:val="(%1)"/>
      <w:numFmt w:val="lowerLetter"/>
      <w:start w:val="2"/>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4"/>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5"/>
    </w:lvl>
  </w:abstractNum>
  <w:abstractNum w:abstractNumId="90">
    <w:nsid w:val="7DE67713"/>
    <w:multiLevelType w:val="hybridMultilevel"/>
    <w:lvl w:ilvl="0">
      <w:lvlJc w:val="left"/>
      <w:lvlText w:val="(%1)"/>
      <w:numFmt w:val="lowerLetter"/>
      <w:start w:val="10"/>
    </w:lvl>
  </w:abstractNum>
  <w:abstractNum w:abstractNumId="91">
    <w:nsid w:val="555C55B5"/>
    <w:multiLevelType w:val="hybridMultilevel"/>
    <w:lvl w:ilvl="0">
      <w:lvlJc w:val="left"/>
      <w:lvlText w:val="(%1)"/>
      <w:numFmt w:val="lowerLetter"/>
      <w:start w:val="1"/>
    </w:lvl>
  </w:abstractNum>
  <w:abstractNum w:abstractNumId="92">
    <w:nsid w:val="3FA62ACA"/>
    <w:multiLevelType w:val="hybridMultilevel"/>
    <w:lvl w:ilvl="0">
      <w:lvlJc w:val="left"/>
      <w:lvlText w:val="(%1)"/>
      <w:numFmt w:val="lowerLetter"/>
      <w:start w:val="7"/>
    </w:lvl>
  </w:abstractNum>
  <w:abstractNum w:abstractNumId="93">
    <w:nsid w:val="14FCE74E"/>
    <w:multiLevelType w:val="hybridMultilevel"/>
    <w:lvl w:ilvl="0">
      <w:lvlJc w:val="left"/>
      <w:lvlText w:val="(%1)"/>
      <w:numFmt w:val="lowerLetter"/>
      <w:start w:val="1"/>
    </w:lvl>
  </w:abstractNum>
  <w:abstractNum w:abstractNumId="94">
    <w:nsid w:val="6A3DD3E8"/>
    <w:multiLevelType w:val="hybridMultilevel"/>
    <w:lvl w:ilvl="0">
      <w:lvlJc w:val="left"/>
      <w:lvlText w:val="(%1)"/>
      <w:numFmt w:val="lowerLetter"/>
      <w:start w:val="6"/>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lowerLetter"/>
      <w:start w:val="5"/>
    </w:lvl>
  </w:abstractNum>
  <w:abstractNum w:abstractNumId="97">
    <w:nsid w:val="53299938"/>
    <w:multiLevelType w:val="hybridMultilevel"/>
    <w:lvl w:ilvl="0">
      <w:lvlJc w:val="left"/>
      <w:lvlText w:val="(%1)"/>
      <w:numFmt w:val="lowerLetter"/>
      <w:start w:val="1"/>
    </w:lvl>
    <w:lvl w:ilvl="1">
      <w:lvlJc w:val="left"/>
      <w:lvlText w:val="(%2)"/>
      <w:numFmt w:val="lowerLetter"/>
      <w:start w:val="9"/>
    </w:lvl>
  </w:abstractNum>
  <w:abstractNum w:abstractNumId="98">
    <w:nsid w:val="1FBFE8E0"/>
    <w:multiLevelType w:val="hybridMultilevel"/>
    <w:lvl w:ilvl="0">
      <w:lvlJc w:val="left"/>
      <w:lvlText w:val="(%1)"/>
      <w:numFmt w:val="lowerRoman"/>
      <w:start w:val="2"/>
    </w:lvl>
  </w:abstractNum>
  <w:abstractNum w:abstractNumId="99">
    <w:nsid w:val="5092CA79"/>
    <w:multiLevelType w:val="hybridMultilevel"/>
    <w:lvl w:ilvl="0">
      <w:lvlJc w:val="left"/>
      <w:lvlText w:val="(%1)"/>
      <w:numFmt w:val="lowerLetter"/>
      <w:start w:val="2"/>
    </w:lvl>
    <w:lvl w:ilvl="1">
      <w:lvlJc w:val="left"/>
      <w:lvlText w:val="(%2)"/>
      <w:numFmt w:val="lowerRoman"/>
      <w:start w:val="1"/>
    </w:lvl>
  </w:abstractNum>
  <w:abstractNum w:abstractNumId="100">
    <w:nsid w:val="1D545C4D"/>
    <w:multiLevelType w:val="hybridMultilevel"/>
    <w:lvl w:ilvl="0">
      <w:lvlJc w:val="left"/>
      <w:lvlText w:val="(%1)"/>
      <w:numFmt w:val="lowerLetter"/>
      <w:start w:val="4"/>
    </w:lvl>
  </w:abstractNum>
  <w:abstractNum w:abstractNumId="101">
    <w:nsid w:val="59ADEA3D"/>
    <w:multiLevelType w:val="hybridMultilevel"/>
    <w:lvl w:ilvl="0">
      <w:lvlJc w:val="left"/>
      <w:lvlText w:val="(%1)"/>
      <w:numFmt w:val="lowerLetter"/>
      <w:start w:val="1"/>
    </w:lvl>
    <w:lvl w:ilvl="1">
      <w:lvlJc w:val="left"/>
      <w:lvlText w:val="(%2)"/>
      <w:numFmt w:val="lowerRoman"/>
      <w:start w:val="1"/>
    </w:lvl>
  </w:abstractNum>
  <w:abstractNum w:abstractNumId="102">
    <w:nsid w:val="288F1A34"/>
    <w:multiLevelType w:val="hybridMultilevel"/>
    <w:lvl w:ilvl="0">
      <w:lvlJc w:val="left"/>
      <w:lvlText w:val="%1"/>
      <w:numFmt w:val="lowerLetter"/>
      <w:start w:val="1"/>
    </w:lvl>
    <w:lvl w:ilvl="1">
      <w:lvlJc w:val="left"/>
      <w:lvlText w:val="(%2)"/>
      <w:numFmt w:val="lowerLetter"/>
      <w:start w:val="61"/>
    </w:lvl>
  </w:abstractNum>
  <w:abstractNum w:abstractNumId="103">
    <w:nsid w:val="2A155DBC"/>
    <w:multiLevelType w:val="hybridMultilevel"/>
    <w:lvl w:ilvl="0">
      <w:lvlJc w:val="left"/>
      <w:lvlText w:val="(%1)"/>
      <w:numFmt w:val="lowerLetter"/>
      <w:start w:val="2"/>
    </w:lvl>
    <w:lvl w:ilvl="1">
      <w:lvlJc w:val="left"/>
      <w:lvlText w:val="%2"/>
      <w:numFmt w:val="lowerLetter"/>
      <w:start w:val="1"/>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lowerLetter"/>
      <w:start w:val="2"/>
    </w:lvl>
  </w:abstractNum>
  <w:abstractNum w:abstractNumId="106">
    <w:nsid w:val="51088277"/>
    <w:multiLevelType w:val="hybridMultilevel"/>
    <w:lvl w:ilvl="0">
      <w:lvlJc w:val="left"/>
      <w:lvlText w:val="(%1)"/>
      <w:numFmt w:val="lowerLetter"/>
      <w:start w:val="1"/>
    </w:lvl>
    <w:lvl w:ilvl="1">
      <w:lvlJc w:val="left"/>
      <w:lvlText w:val="(%2)"/>
      <w:numFmt w:val="lowerLetter"/>
      <w:start w:val="9"/>
    </w:lvl>
  </w:abstractNum>
  <w:abstractNum w:abstractNumId="107">
    <w:nsid w:val="1CA0C5FA"/>
    <w:multiLevelType w:val="hybridMultilevel"/>
    <w:lvl w:ilvl="0">
      <w:lvlJc w:val="left"/>
      <w:lvlText w:val="(%1)"/>
      <w:numFmt w:val="lowerLetter"/>
      <w:start w:val="4"/>
    </w:lvl>
    <w:lvl w:ilvl="1">
      <w:lvlJc w:val="left"/>
      <w:lvlText w:val="%2"/>
      <w:numFmt w:val="lowerLetter"/>
      <w:start w:val="1"/>
    </w:lvl>
  </w:abstractNum>
  <w:abstractNum w:abstractNumId="108">
    <w:nsid w:val="53584BCB"/>
    <w:multiLevelType w:val="hybridMultilevel"/>
    <w:lvl w:ilvl="0">
      <w:lvlJc w:val="left"/>
      <w:lvlText w:val="(%1)"/>
      <w:numFmt w:val="lowerLetter"/>
      <w:start w:val="18"/>
    </w:lvl>
    <w:lvl w:ilvl="1">
      <w:lvlJc w:val="left"/>
      <w:lvlText w:val="%2"/>
      <w:numFmt w:val="lowerLetter"/>
      <w:start w:val="1"/>
    </w:lvl>
  </w:abstractNum>
  <w:abstractNum w:abstractNumId="109">
    <w:nsid w:val="415E286C"/>
    <w:multiLevelType w:val="hybridMultilevel"/>
    <w:lvl w:ilvl="0">
      <w:lvlJc w:val="left"/>
      <w:lvlText w:val="(%1)"/>
      <w:numFmt w:val="lowerRoman"/>
      <w:start w:val="2"/>
    </w:lvl>
  </w:abstractNum>
  <w:abstractNum w:abstractNumId="110">
    <w:nsid w:val="7C58FD05"/>
    <w:multiLevelType w:val="hybridMultilevel"/>
    <w:lvl w:ilvl="0">
      <w:lvlJc w:val="left"/>
      <w:lvlText w:val="(%1)"/>
      <w:numFmt w:val="lowerLetter"/>
      <w:start w:val="1"/>
    </w:lvl>
  </w:abstractNum>
  <w:abstractNum w:abstractNumId="111">
    <w:nsid w:val="23D86AAC"/>
    <w:multiLevelType w:val="hybridMultilevel"/>
    <w:lvl w:ilvl="0">
      <w:lvlJc w:val="left"/>
      <w:lvlText w:val="(%1)"/>
      <w:numFmt w:val="lowerLetter"/>
      <w:start w:val="1"/>
    </w:lvl>
  </w:abstractNum>
  <w:abstractNum w:abstractNumId="112">
    <w:nsid w:val="45E6D48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2023-03-07T18:08:42Z</dcterms:created>
  <dcterms:modified xsi:type="dcterms:W3CDTF">2023-03-07T18:08:42Z</dcterms:modified>
</cp:coreProperties>
</file>