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2032635</wp:posOffset>
            </wp:positionH>
            <wp:positionV relativeFrom="paragraph">
              <wp:posOffset>132715</wp:posOffset>
            </wp:positionV>
            <wp:extent cx="305181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2032635</wp:posOffset>
            </wp:positionH>
            <wp:positionV relativeFrom="paragraph">
              <wp:posOffset>139700</wp:posOffset>
            </wp:positionV>
            <wp:extent cx="30518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7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17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Pursuant under § 240.14a-12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PLUS THERAPEUTICS,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2032635</wp:posOffset>
            </wp:positionH>
            <wp:positionV relativeFrom="paragraph">
              <wp:posOffset>116205</wp:posOffset>
            </wp:positionV>
            <wp:extent cx="30518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17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-19685</wp:posOffset>
            </wp:positionH>
            <wp:positionV relativeFrom="paragraph">
              <wp:posOffset>353695</wp:posOffset>
            </wp:positionV>
            <wp:extent cx="7174865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43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525780</wp:posOffset>
            </wp:positionV>
            <wp:extent cx="7174865" cy="7736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3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1005205</wp:posOffset>
            </wp:positionH>
            <wp:positionV relativeFrom="page">
              <wp:posOffset>525780</wp:posOffset>
            </wp:positionV>
            <wp:extent cx="5537835" cy="7166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716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2022-04-07T16:16:40Z</dcterms:created>
  <dcterms:modified xsi:type="dcterms:W3CDTF">2022-04-07T16:16:40Z</dcterms:modified>
</cp:coreProperties>
</file>