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1" w:lineRule="exact"/>
        <w:rPr>
          <w:sz w:val="24"/>
          <w:szCs w:val="24"/>
          <w:color w:val="auto"/>
        </w:rPr>
      </w:pPr>
    </w:p>
    <w:p>
      <w:pPr>
        <w:ind w:left="880" w:hanging="872"/>
        <w:spacing w:after="0"/>
        <w:tabs>
          <w:tab w:leader="none" w:pos="8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w:t>
      </w:r>
    </w:p>
    <w:p>
      <w:pPr>
        <w:spacing w:after="0" w:line="29"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spacing w:after="0"/>
        <w:tabs>
          <w:tab w:leader="none" w:pos="174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b w:val="1"/>
          <w:bCs w:val="1"/>
          <w:color w:val="auto"/>
        </w:rPr>
        <w:t>TRANSITION REPORT PURSUANT TO SECTION 13 OR 15(d) OF THE SECURITIES</w:t>
      </w:r>
    </w:p>
    <w:p>
      <w:pPr>
        <w:spacing w:after="0" w:line="6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79" w:lineRule="exact"/>
        <w:rPr>
          <w:sz w:val="24"/>
          <w:szCs w:val="24"/>
          <w:color w:val="auto"/>
        </w:rPr>
      </w:pPr>
    </w:p>
    <w:p>
      <w:pPr>
        <w:ind w:left="36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PLUS THERAPEUTICS,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5"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4500" w:type="dxa"/>
            <w:vAlign w:val="bottom"/>
            <w:gridSpan w:val="2"/>
          </w:tcPr>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20" w:type="dxa"/>
            <w:vAlign w:val="bottom"/>
          </w:tcPr>
          <w:p>
            <w:pPr>
              <w:jc w:val="right"/>
              <w:ind w:right="2399"/>
              <w:spacing w:after="0"/>
              <w:rPr>
                <w:sz w:val="20"/>
                <w:szCs w:val="20"/>
                <w:color w:val="auto"/>
              </w:rPr>
            </w:pPr>
            <w:r>
              <w:rPr>
                <w:rFonts w:ascii="Times New Roman" w:cs="Times New Roman" w:eastAsia="Times New Roman" w:hAnsi="Times New Roman"/>
                <w:sz w:val="16"/>
                <w:szCs w:val="16"/>
                <w:b w:val="1"/>
                <w:bCs w:val="1"/>
                <w:color w:val="auto"/>
              </w:rPr>
              <w:t>33-0827593</w:t>
            </w:r>
          </w:p>
        </w:tc>
      </w:tr>
      <w:tr>
        <w:trPr>
          <w:trHeight w:val="203"/>
        </w:trPr>
        <w:tc>
          <w:tcPr>
            <w:tcW w:w="4500" w:type="dxa"/>
            <w:vAlign w:val="bottom"/>
            <w:gridSpan w:val="2"/>
          </w:tcPr>
          <w:p>
            <w:pPr>
              <w:jc w:val="center"/>
              <w:ind w:left="680"/>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20" w:type="dxa"/>
            <w:vAlign w:val="bottom"/>
          </w:tcPr>
          <w:p>
            <w:pPr>
              <w:jc w:val="center"/>
              <w:ind w:right="203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500" w:type="dxa"/>
            <w:vAlign w:val="bottom"/>
            <w:gridSpan w:val="2"/>
          </w:tcPr>
          <w:p>
            <w:pPr>
              <w:jc w:val="center"/>
              <w:ind w:left="680"/>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center"/>
              <w:ind w:right="203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95"/>
        </w:trPr>
        <w:tc>
          <w:tcPr>
            <w:tcW w:w="4500" w:type="dxa"/>
            <w:vAlign w:val="bottom"/>
            <w:gridSpan w:val="2"/>
          </w:tcPr>
          <w:p>
            <w:pPr>
              <w:jc w:val="center"/>
              <w:ind w:left="660"/>
              <w:spacing w:after="0"/>
              <w:rPr>
                <w:sz w:val="20"/>
                <w:szCs w:val="20"/>
                <w:color w:val="auto"/>
              </w:rPr>
            </w:pPr>
            <w:r>
              <w:rPr>
                <w:rFonts w:ascii="Times New Roman" w:cs="Times New Roman" w:eastAsia="Times New Roman" w:hAnsi="Times New Roman"/>
                <w:sz w:val="14"/>
                <w:szCs w:val="14"/>
                <w:b w:val="1"/>
                <w:bCs w:val="1"/>
                <w:color w:val="auto"/>
              </w:rPr>
              <w:t>2710 REED ROAD, SUITE 160, HOUSTON, TX</w:t>
            </w: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jc w:val="right"/>
              <w:ind w:right="2579"/>
              <w:spacing w:after="0"/>
              <w:rPr>
                <w:sz w:val="20"/>
                <w:szCs w:val="20"/>
                <w:color w:val="auto"/>
              </w:rPr>
            </w:pPr>
            <w:r>
              <w:rPr>
                <w:rFonts w:ascii="Times New Roman" w:cs="Times New Roman" w:eastAsia="Times New Roman" w:hAnsi="Times New Roman"/>
                <w:sz w:val="16"/>
                <w:szCs w:val="16"/>
                <w:b w:val="1"/>
                <w:bCs w:val="1"/>
                <w:color w:val="auto"/>
              </w:rPr>
              <w:t>77051</w:t>
            </w:r>
          </w:p>
        </w:tc>
      </w:tr>
      <w:tr>
        <w:trPr>
          <w:trHeight w:val="212"/>
        </w:trPr>
        <w:tc>
          <w:tcPr>
            <w:tcW w:w="4500" w:type="dxa"/>
            <w:vAlign w:val="bottom"/>
            <w:gridSpan w:val="2"/>
          </w:tcPr>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center"/>
              <w:ind w:right="203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314"/>
        </w:trPr>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(737) 255-7194</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12"/>
        </w:trPr>
        <w:tc>
          <w:tcPr>
            <w:tcW w:w="7620" w:type="dxa"/>
            <w:vAlign w:val="bottom"/>
            <w:gridSpan w:val="5"/>
          </w:tcPr>
          <w:p>
            <w:pPr>
              <w:jc w:val="center"/>
              <w:ind w:left="35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620" w:type="dxa"/>
            <w:vAlign w:val="bottom"/>
          </w:tcPr>
          <w:p>
            <w:pPr>
              <w:spacing w:after="0"/>
              <w:rPr>
                <w:sz w:val="18"/>
                <w:szCs w:val="18"/>
                <w:color w:val="auto"/>
              </w:rPr>
            </w:pPr>
          </w:p>
        </w:tc>
      </w:tr>
      <w:tr>
        <w:trPr>
          <w:trHeight w:val="87"/>
        </w:trPr>
        <w:tc>
          <w:tcPr>
            <w:tcW w:w="4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20" w:type="dxa"/>
            <w:vAlign w:val="bottom"/>
          </w:tcPr>
          <w:p>
            <w:pPr>
              <w:spacing w:after="0"/>
              <w:rPr>
                <w:sz w:val="7"/>
                <w:szCs w:val="7"/>
                <w:color w:val="auto"/>
              </w:rPr>
            </w:pPr>
          </w:p>
        </w:tc>
      </w:tr>
      <w:tr>
        <w:trPr>
          <w:trHeight w:val="298"/>
        </w:trPr>
        <w:tc>
          <w:tcPr>
            <w:tcW w:w="7620" w:type="dxa"/>
            <w:vAlign w:val="bottom"/>
            <w:gridSpan w:val="5"/>
          </w:tcPr>
          <w:p>
            <w:pPr>
              <w:jc w:val="center"/>
              <w:ind w:left="35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620" w:type="dxa"/>
            <w:vAlign w:val="bottom"/>
          </w:tcPr>
          <w:p>
            <w:pPr>
              <w:spacing w:after="0"/>
              <w:rPr>
                <w:sz w:val="24"/>
                <w:szCs w:val="24"/>
                <w:color w:val="auto"/>
              </w:rPr>
            </w:pPr>
          </w:p>
        </w:tc>
      </w:tr>
      <w:tr>
        <w:trPr>
          <w:trHeight w:val="225"/>
        </w:trPr>
        <w:tc>
          <w:tcPr>
            <w:tcW w:w="4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192"/>
        </w:trPr>
        <w:tc>
          <w:tcPr>
            <w:tcW w:w="4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0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44"/>
        </w:trPr>
        <w:tc>
          <w:tcPr>
            <w:tcW w:w="4200" w:type="dxa"/>
            <w:vAlign w:val="bottom"/>
            <w:tcBorders>
              <w:left w:val="single" w:sz="8" w:color="auto"/>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560" w:type="dxa"/>
            <w:vAlign w:val="bottom"/>
            <w:tcBorders>
              <w:bottom w:val="single" w:sz="8" w:color="auto"/>
              <w:right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90"/>
        </w:trPr>
        <w:tc>
          <w:tcPr>
            <w:tcW w:w="42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300" w:type="dxa"/>
            <w:vAlign w:val="bottom"/>
          </w:tcPr>
          <w:p>
            <w:pPr>
              <w:spacing w:after="0"/>
              <w:rPr>
                <w:sz w:val="16"/>
                <w:szCs w:val="16"/>
                <w:color w:val="auto"/>
              </w:rPr>
            </w:pPr>
          </w:p>
        </w:tc>
        <w:tc>
          <w:tcPr>
            <w:tcW w:w="256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PSTV</w:t>
            </w:r>
          </w:p>
        </w:tc>
        <w:tc>
          <w:tcPr>
            <w:tcW w:w="560" w:type="dxa"/>
            <w:vAlign w:val="bottom"/>
          </w:tcPr>
          <w:p>
            <w:pPr>
              <w:spacing w:after="0"/>
              <w:rPr>
                <w:sz w:val="16"/>
                <w:szCs w:val="16"/>
                <w:color w:val="auto"/>
              </w:rPr>
            </w:pPr>
          </w:p>
        </w:tc>
        <w:tc>
          <w:tcPr>
            <w:tcW w:w="3620" w:type="dxa"/>
            <w:vAlign w:val="bottom"/>
            <w:tcBorders>
              <w:right w:val="single" w:sz="8" w:color="auto"/>
            </w:tcBorders>
          </w:tcPr>
          <w:p>
            <w:pPr>
              <w:jc w:val="center"/>
              <w:ind w:right="499"/>
              <w:spacing w:after="0"/>
              <w:rPr>
                <w:sz w:val="20"/>
                <w:szCs w:val="20"/>
                <w:color w:val="auto"/>
              </w:rPr>
            </w:pPr>
            <w:r>
              <w:rPr>
                <w:rFonts w:ascii="Times New Roman" w:cs="Times New Roman" w:eastAsia="Times New Roman" w:hAnsi="Times New Roman"/>
                <w:sz w:val="16"/>
                <w:szCs w:val="16"/>
                <w:color w:val="auto"/>
              </w:rPr>
              <w:t>Nasdaq Capital Market</w:t>
            </w:r>
          </w:p>
        </w:tc>
      </w:tr>
      <w:tr>
        <w:trPr>
          <w:trHeight w:val="29"/>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199" w:right="339" w:bottom="1440" w:gutter="0" w:footer="0" w:header="0"/>
        </w:sectPr>
      </w:pPr>
    </w:p>
    <w:p>
      <w:pPr>
        <w:spacing w:after="0" w:line="128" w:lineRule="exact"/>
        <w:rPr>
          <w:sz w:val="24"/>
          <w:szCs w:val="24"/>
          <w:color w:val="auto"/>
        </w:rPr>
      </w:pPr>
    </w:p>
    <w:p>
      <w:pPr>
        <w:spacing w:after="0" w:line="184" w:lineRule="exact"/>
        <w:tabs>
          <w:tab w:leader="none" w:pos="2500" w:val="left"/>
          <w:tab w:leader="none" w:pos="842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p>
    <w:p>
      <w:pPr>
        <w:spacing w:after="0" w:line="59" w:lineRule="exact"/>
        <w:rPr>
          <w:sz w:val="24"/>
          <w:szCs w:val="24"/>
          <w:color w:val="auto"/>
        </w:rPr>
      </w:pPr>
    </w:p>
    <w:p>
      <w:pPr>
        <w:spacing w:after="0" w:line="184" w:lineRule="exact"/>
        <w:tabs>
          <w:tab w:leader="none" w:pos="2500" w:val="left"/>
          <w:tab w:leader="none" w:pos="842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19" w:lineRule="exact"/>
        <w:rPr>
          <w:sz w:val="24"/>
          <w:szCs w:val="24"/>
          <w:color w:val="auto"/>
        </w:rPr>
      </w:pPr>
    </w:p>
    <w:p>
      <w:pPr>
        <w:ind w:left="844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3"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financing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08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8, 2025, there were 99,264,526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779780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80" w:space="260"/>
            <w:col w:w="300"/>
          </w:cols>
          <w:pgMar w:left="320" w:top="119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5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420" w:type="dxa"/>
            <w:vAlign w:val="bottom"/>
            <w:gridSpan w:val="17"/>
          </w:tcPr>
          <w:p>
            <w:pPr>
              <w:spacing w:after="0"/>
              <w:rPr>
                <w:sz w:val="20"/>
                <w:szCs w:val="20"/>
                <w:color w:val="auto"/>
              </w:rPr>
            </w:pPr>
            <w:r>
              <w:rPr>
                <w:rFonts w:ascii="Times New Roman" w:cs="Times New Roman" w:eastAsia="Times New Roman" w:hAnsi="Times New Roman"/>
                <w:sz w:val="20"/>
                <w:szCs w:val="20"/>
                <w:color w:val="0000FF"/>
              </w:rPr>
              <w:t>FINANCIAL INFORMATION</w:t>
            </w:r>
          </w:p>
        </w:tc>
        <w:tc>
          <w:tcPr>
            <w:tcW w:w="56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4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Financial Statements (Unaudited)</w:t>
            </w:r>
          </w:p>
        </w:tc>
        <w:tc>
          <w:tcPr>
            <w:tcW w:w="500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48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72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Equity/(Deficit)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1280" w:type="dxa"/>
            <w:vAlign w:val="bottom"/>
            <w:tcBorders>
              <w:top w:val="single" w:sz="8" w:color="0000EE"/>
            </w:tcBorders>
            <w:gridSpan w:val="4"/>
          </w:tcPr>
          <w:p>
            <w:pPr>
              <w:spacing w:after="0"/>
              <w:rPr>
                <w:sz w:val="24"/>
                <w:szCs w:val="24"/>
                <w:color w:val="auto"/>
              </w:rPr>
            </w:pPr>
          </w:p>
        </w:tc>
        <w:tc>
          <w:tcPr>
            <w:tcW w:w="342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42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20" w:type="dxa"/>
            <w:vAlign w:val="bottom"/>
            <w:tcBorders>
              <w:top w:val="single" w:sz="8" w:color="0000EE"/>
            </w:tcBorders>
            <w:gridSpan w:val="6"/>
          </w:tcPr>
          <w:p>
            <w:pPr>
              <w:spacing w:after="0"/>
              <w:rPr>
                <w:sz w:val="24"/>
                <w:szCs w:val="24"/>
                <w:color w:val="auto"/>
              </w:rPr>
            </w:pPr>
          </w:p>
        </w:tc>
        <w:tc>
          <w:tcPr>
            <w:tcW w:w="412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45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2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color w:val="0000FF"/>
                <w:w w:val="98"/>
              </w:rPr>
              <w:t>OTHER INFORMATION</w:t>
            </w:r>
          </w:p>
        </w:tc>
        <w:tc>
          <w:tcPr>
            <w:tcW w:w="7320" w:type="dxa"/>
            <w:vAlign w:val="bottom"/>
            <w:gridSpan w:val="13"/>
          </w:tcPr>
          <w:p>
            <w:pPr>
              <w:spacing w:after="0"/>
              <w:rPr>
                <w:sz w:val="24"/>
                <w:szCs w:val="24"/>
                <w:color w:val="auto"/>
              </w:rPr>
            </w:pPr>
          </w:p>
        </w:tc>
        <w:tc>
          <w:tcPr>
            <w:tcW w:w="560" w:type="dxa"/>
            <w:vAlign w:val="bottom"/>
          </w:tcPr>
          <w:p>
            <w:pPr>
              <w:spacing w:after="0"/>
              <w:rPr>
                <w:sz w:val="24"/>
                <w:szCs w:val="24"/>
                <w:color w:val="auto"/>
              </w:rPr>
            </w:pPr>
          </w:p>
        </w:tc>
      </w:tr>
      <w:tr>
        <w:trPr>
          <w:trHeight w:val="453"/>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08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412"/>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500" w:type="dxa"/>
            <w:vAlign w:val="bottom"/>
            <w:gridSpan w:val="11"/>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4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02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493"/>
        </w:trPr>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669"/>
        </w:trPr>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2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1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and the exhibits incorporated herein by reference contain “forward-looking statements” which are made pursuant to the safe harbor provisions of Section 27A of the Securities Act of 1933, as amended, and Section 21E of the Securities Exchange Act of 1934, as amended. Statements other than statements of historical fact constitute “forward-looking statements.” These forward-looking statements do not constitute guarantees of future performance. These forward-looking statements may be identified by terms such as “intend,” “expect,” “project,” “believe,” “anticipate,” “initiate,” “will,” “should,” “would,” “could,” “may,” “designed,” “potential,” “evaluate,” “hypothesize,” “plan,” “progressing,” “proceeding,” “exploring,” “opportunity,” “hopes,” “suggest,” and similar expressions, or the negative of such expressions. Such statements are based upon certain assumptions and assessments made by our management in light of their experience and their perception of historical trends, current conditions, expected future developments and other factors they believe to be appropriate.</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These statements include, without limitation, statements about our anticipated expenditures, including research and development, and general and administrative expenses; our intent to regain and maintain compliance with Nasdaq listing standards; our strategic collaborations and license agreements, intellectual property, U.S. Food and Drug Administration and European Medicines Agency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competition; future development and/or expansion of our product candidates and therapies in our markets; sources of competition for any of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our ability to satisfy our obligations under the terms of our capital raising transactions including registering shares issuable in such transactions; portions of the “Liquidity and Capital Resources” section of this “Quarterly Report” including our potential need for additional financing and the availability thereof; our ability to integrate into our business and operations, develop, fully utilize and monetize acquired assets; our ability to continue as a going concern; our ability to repay or refinance some or all of our outstanding indebtedness and our ability to raise capital in the future; our ability to transfer the drug and medical device product manufacturing to a contract drug and medical device manufacturing organization; the potential enhancement of our cash position through development, marketing, and licensing arrangements; our ability to timely and efficiently launch our CNSide Cerebrospinal Fluid Tumor Cell Enumeration test (the "CNSide Test"); receipt of grant revenue; and a material security breach or cyber security attack affecting our operations and property.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Our actual results may differ, including materially, from those anticipated in these forward-looking statements as a result of various factors, including, but not limited to, the following: our ability to remain listed on Nasdaq; the early stage of our product candidates and therapies, the results of our research and development activities, including uncertainties relating to the clinical trials of our product candidates and therapies; our liquidity and capital resources and our ability to raise additional cash, the outcome of our partnering/licensing efforts, risks associated with laws or regulatory requirements applicable to us, market conditions, product performance, potential litigation, and competition within the radiotherapeutics, and more generally, oncological medicine fields, among others. The forward-looking statements included in this “Quarterly Report” are also subject to a number of additional material risks and uncertainties, including but not limited to the risks described under “Part I – Item 1A – Risk Factors” in our Annual Report on Form 10-K for the year ended December 31, 2024, filed with the Securities and Exchange Commission (the “SEC”) on March 31, 2025 and under “Part II – Item 1A – Risk Factors” in this Quarterly Report. These risks and uncertainties could cause actual results to differ materially from expectations or those expressed in these forward-looking statements.</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caution you not to place undue reliance on the forward-looking statements contained in this “Quarterly Report”. These statements, like all statements in this report, speak only as of the date of this report (unless an earlier date is indicated) and the Company undertakes no obligation to update or revise the statements except as required by law. Such forward-looking statements are not guarantees of future performance.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data)</w:t>
      </w:r>
    </w:p>
    <w:p>
      <w:pPr>
        <w:spacing w:after="0" w:line="34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Grant receivable</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right-use-of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4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grant liability</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Line of credit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shares authorized; 1,952 shares issued and outstanding</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 of June 30, 2025 and December 31, 2024, respectively</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2,000,000,000 shares authorized; 92,438,432 shares issued; and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92,180,007 shares outstanding as of June 30, 2025, and 100,000,00 shares authorized;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6,154,758 shares issued; and 5,896,333 shares outstanding as of December 31, 2024, respectively</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Treasury stock (at cost), 258,425 shares as of June 30, 2025 and December 31, 2024, respectively</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(505,729)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(493,479)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-3522345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-3522345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-2108200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-2108200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-316865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-316865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4" w:name="page5"/>
    <w:bookmarkEnd w:id="4"/>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(6,996)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Warrant issuance costs</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(7,176)</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4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(12,250)</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Per share information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of common stock – basic</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basic</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48,388,862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6,500,831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24,422,125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5,411,382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diluted</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(0.71)</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diluted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209,154,994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10,742,924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24,422,125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7,532,428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3996690</wp:posOffset>
            </wp:positionH>
            <wp:positionV relativeFrom="paragraph">
              <wp:posOffset>-2686685</wp:posOffset>
            </wp:positionV>
            <wp:extent cx="939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4965065</wp:posOffset>
            </wp:positionH>
            <wp:positionV relativeFrom="paragraph">
              <wp:posOffset>-2686685</wp:posOffset>
            </wp:positionV>
            <wp:extent cx="9398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5934075</wp:posOffset>
            </wp:positionH>
            <wp:positionV relativeFrom="paragraph">
              <wp:posOffset>-2686685</wp:posOffset>
            </wp:positionV>
            <wp:extent cx="9398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6902450</wp:posOffset>
            </wp:positionH>
            <wp:positionV relativeFrom="paragraph">
              <wp:posOffset>-2686685</wp:posOffset>
            </wp:positionV>
            <wp:extent cx="10223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-2382520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-2382520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-2382520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-2382520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-1268095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-1268095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-1268095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-1268095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1" w:right="4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00" w:type="dxa"/>
            <w:vAlign w:val="bottom"/>
            <w:gridSpan w:val="3"/>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4"/>
              </w:rPr>
              <w:t>Convertible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00" w:type="dxa"/>
            <w:vAlign w:val="bottom"/>
            <w:gridSpan w:val="3"/>
          </w:tcPr>
          <w:p>
            <w:pPr>
              <w:jc w:val="center"/>
              <w:ind w:left="177"/>
              <w:spacing w:after="0"/>
              <w:rPr>
                <w:sz w:val="20"/>
                <w:szCs w:val="20"/>
                <w:color w:val="auto"/>
              </w:rPr>
            </w:pPr>
            <w:r>
              <w:rPr>
                <w:rFonts w:ascii="Times New Roman" w:cs="Times New Roman" w:eastAsia="Times New Roman" w:hAnsi="Times New Roman"/>
                <w:sz w:val="13"/>
                <w:szCs w:val="13"/>
                <w:b w:val="1"/>
                <w:bCs w:val="1"/>
                <w:color w:val="auto"/>
                <w:w w:val="95"/>
              </w:rPr>
              <w:t>preferred stock</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4"/>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3"/>
                <w:szCs w:val="13"/>
                <w:color w:val="auto"/>
              </w:rPr>
            </w:pPr>
          </w:p>
        </w:tc>
        <w:tc>
          <w:tcPr>
            <w:tcW w:w="1700" w:type="dxa"/>
            <w:vAlign w:val="bottom"/>
            <w:gridSpan w:val="5"/>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Amoun</w:t>
            </w:r>
          </w:p>
        </w:tc>
        <w:tc>
          <w:tcPr>
            <w:tcW w:w="2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w:t>
            </w:r>
          </w:p>
        </w:tc>
        <w:tc>
          <w:tcPr>
            <w:tcW w:w="220" w:type="dxa"/>
            <w:vAlign w:val="bottom"/>
          </w:tcPr>
          <w:p>
            <w:pPr>
              <w:spacing w:after="0"/>
              <w:rPr>
                <w:sz w:val="13"/>
                <w:szCs w:val="13"/>
                <w:color w:val="auto"/>
              </w:rPr>
            </w:pPr>
          </w:p>
        </w:tc>
        <w:tc>
          <w:tcPr>
            <w:tcW w:w="9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7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(deficit)/equity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2023</w:t>
            </w:r>
          </w:p>
        </w:tc>
        <w:tc>
          <w:tcPr>
            <w:tcW w:w="5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1,952</w:t>
            </w:r>
          </w:p>
        </w:tc>
        <w:tc>
          <w:tcPr>
            <w:tcW w:w="3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4,522,656</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w:t>
            </w:r>
          </w:p>
        </w:tc>
        <w:tc>
          <w:tcPr>
            <w:tcW w:w="1020" w:type="dxa"/>
            <w:vAlign w:val="bottom"/>
            <w:gridSpan w:val="3"/>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(78,559)</w:t>
            </w: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(126)</w:t>
            </w:r>
          </w:p>
        </w:tc>
        <w:tc>
          <w:tcPr>
            <w:tcW w:w="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479,274</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(480,501)</w:t>
            </w: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(1,348)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Purchase of treasury stock</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(179,866)</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(374)</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(3,261)</w:t>
            </w:r>
          </w:p>
        </w:tc>
        <w:tc>
          <w:tcPr>
            <w:tcW w:w="140" w:type="dxa"/>
            <w:vAlign w:val="bottom"/>
          </w:tcPr>
          <w:p>
            <w:pPr>
              <w:spacing w:after="0"/>
              <w:rPr>
                <w:sz w:val="11"/>
                <w:szCs w:val="11"/>
                <w:color w:val="auto"/>
              </w:rPr>
            </w:pPr>
          </w:p>
        </w:tc>
        <w:tc>
          <w:tcPr>
            <w:tcW w:w="12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(3,261)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March 31, 2024</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1,952</w:t>
            </w:r>
          </w:p>
        </w:tc>
        <w:tc>
          <w:tcPr>
            <w:tcW w:w="3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ind w:left="120"/>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4,522,656</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w:t>
            </w:r>
          </w:p>
        </w:tc>
        <w:tc>
          <w:tcPr>
            <w:tcW w:w="2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(258,425)</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479,420</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(483,762)</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(4,837)</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14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Issuance of common stock</w:t>
            </w:r>
          </w:p>
        </w:tc>
        <w:tc>
          <w:tcPr>
            <w:tcW w:w="5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ind w:left="120"/>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spacing w:after="0" w:line="116" w:lineRule="exact"/>
              <w:rPr>
                <w:sz w:val="20"/>
                <w:szCs w:val="20"/>
                <w:color w:val="auto"/>
              </w:rPr>
            </w:pPr>
            <w:r>
              <w:rPr>
                <w:rFonts w:ascii="Times New Roman" w:cs="Times New Roman" w:eastAsia="Times New Roman" w:hAnsi="Times New Roman"/>
                <w:sz w:val="13"/>
                <w:szCs w:val="13"/>
                <w:color w:val="auto"/>
              </w:rPr>
              <w:t>1,439,988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0"/>
                <w:szCs w:val="10"/>
                <w:color w:val="auto"/>
              </w:rPr>
            </w:pPr>
          </w:p>
        </w:tc>
        <w:tc>
          <w:tcPr>
            <w:tcW w:w="80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6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8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98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11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(2,940)</w:t>
            </w:r>
          </w:p>
        </w:tc>
        <w:tc>
          <w:tcPr>
            <w:tcW w:w="140" w:type="dxa"/>
            <w:vAlign w:val="bottom"/>
          </w:tcPr>
          <w:p>
            <w:pPr>
              <w:spacing w:after="0"/>
              <w:rPr>
                <w:sz w:val="11"/>
                <w:szCs w:val="11"/>
                <w:color w:val="auto"/>
              </w:rPr>
            </w:pPr>
          </w:p>
        </w:tc>
        <w:tc>
          <w:tcPr>
            <w:tcW w:w="12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(2,940)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June 30, 2024</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1,952</w:t>
            </w:r>
          </w:p>
        </w:tc>
        <w:tc>
          <w:tcPr>
            <w:tcW w:w="3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ind w:left="120"/>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5,962,644</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6</w:t>
            </w:r>
          </w:p>
        </w:tc>
        <w:tc>
          <w:tcPr>
            <w:tcW w:w="2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(258,425)</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479,571</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(486,702)</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(7,625)</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Balance at December 31, 2024</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1,952</w:t>
            </w:r>
          </w:p>
        </w:tc>
        <w:tc>
          <w:tcPr>
            <w:tcW w:w="3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6,154,758</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020" w:type="dxa"/>
            <w:vAlign w:val="bottom"/>
            <w:gridSpan w:val="3"/>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(258,425)</w:t>
            </w:r>
          </w:p>
        </w:tc>
        <w:tc>
          <w:tcPr>
            <w:tcW w:w="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485,024</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(493,479)</w:t>
            </w:r>
          </w:p>
        </w:tc>
        <w:tc>
          <w:tcPr>
            <w:tcW w:w="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(8,949)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Exercise of pre-funded warrants</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6,535,731</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9"/>
              </w:rPr>
              <w:t>Exercise of Series B Warrants from May</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2024 PIPE</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497,824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Exchange of warrants for notes payable</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(3,694)</w:t>
            </w:r>
          </w:p>
        </w:tc>
        <w:tc>
          <w:tcPr>
            <w:tcW w:w="14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(3,694)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pre-funded</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warrants and warrants for debt repayment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4,069,738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(17,401)</w:t>
            </w:r>
          </w:p>
        </w:tc>
        <w:tc>
          <w:tcPr>
            <w:tcW w:w="14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(17,401)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4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at March 31, 2025</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1,952</w:t>
            </w:r>
          </w:p>
        </w:tc>
        <w:tc>
          <w:tcPr>
            <w:tcW w:w="34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ind w:left="120"/>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CFF0FC"/>
              <w:bottom w:val="single" w:sz="8" w:color="CFF0FC"/>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17,258,051</w:t>
            </w:r>
          </w:p>
        </w:tc>
        <w:tc>
          <w:tcPr>
            <w:tcW w:w="80" w:type="dxa"/>
            <w:vAlign w:val="bottom"/>
            <w:tcBorders>
              <w:top w:val="single" w:sz="8" w:color="CFF0FC"/>
            </w:tcBorders>
          </w:tcPr>
          <w:p>
            <w:pPr>
              <w:spacing w:after="0"/>
              <w:rPr>
                <w:sz w:val="11"/>
                <w:szCs w:val="11"/>
                <w:color w:val="auto"/>
              </w:rPr>
            </w:pPr>
          </w:p>
        </w:tc>
        <w:tc>
          <w:tcPr>
            <w:tcW w:w="12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17</w:t>
            </w:r>
          </w:p>
        </w:tc>
        <w:tc>
          <w:tcPr>
            <w:tcW w:w="220" w:type="dxa"/>
            <w:vAlign w:val="bottom"/>
            <w:tcBorders>
              <w:top w:val="single" w:sz="8" w:color="CFF0FC"/>
              <w:bottom w:val="single" w:sz="8" w:color="CFF0FC"/>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(258,425)</w:t>
            </w:r>
          </w:p>
        </w:tc>
        <w:tc>
          <w:tcPr>
            <w:tcW w:w="8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top w:val="single" w:sz="8" w:color="CFF0FC"/>
              <w:bottom w:val="single" w:sz="8" w:color="CFF0FC"/>
            </w:tcBorders>
          </w:tcPr>
          <w:p>
            <w:pPr>
              <w:spacing w:after="0"/>
              <w:rPr>
                <w:sz w:val="11"/>
                <w:szCs w:val="11"/>
                <w:color w:val="auto"/>
              </w:rPr>
            </w:pPr>
          </w:p>
        </w:tc>
        <w:tc>
          <w:tcPr>
            <w:tcW w:w="12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487,722</w:t>
            </w: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(510,880)</w:t>
            </w:r>
          </w:p>
        </w:tc>
        <w:tc>
          <w:tcPr>
            <w:tcW w:w="8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CFF0FC"/>
              <w:bottom w:val="single" w:sz="8" w:color="CFF0FC"/>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(23,641)</w:t>
            </w:r>
          </w:p>
        </w:tc>
        <w:tc>
          <w:tcPr>
            <w:tcW w:w="120" w:type="dxa"/>
            <w:vAlign w:val="bottom"/>
            <w:tcBorders>
              <w:top w:val="single" w:sz="8" w:color="CFF0FC"/>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14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Stock-based compensation</w:t>
            </w:r>
          </w:p>
        </w:tc>
        <w:tc>
          <w:tcPr>
            <w:tcW w:w="58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shd w:val="clear" w:color="auto" w:fill="CFF0FC"/>
          </w:tcPr>
          <w:p>
            <w:pPr>
              <w:ind w:left="120"/>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152</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11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152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Exercise of March 2025 Series B</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Warrants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56,277,032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Exercise of pre-funded warrants</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9,016,349</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Cancellation of common stock</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(300,000)</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4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w w:val="98"/>
              </w:rPr>
              <w:t>Issuance of common stock under Lincoln</w:t>
            </w:r>
          </w:p>
        </w:tc>
        <w:tc>
          <w:tcPr>
            <w:tcW w:w="5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Park Purchase Agreement, net issuance</w:t>
            </w:r>
          </w:p>
        </w:tc>
        <w:tc>
          <w:tcPr>
            <w:tcW w:w="5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costs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10,187,000</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2,736</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8"/>
              </w:rPr>
              <w:t>Reclassification of 2025 Series B warrant</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liability to equity</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Modification of warrants (Note 12)</w:t>
            </w:r>
          </w:p>
        </w:tc>
        <w:tc>
          <w:tcPr>
            <w:tcW w:w="5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6,801</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6,801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0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5,151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June 30, 2025</w:t>
            </w:r>
          </w:p>
        </w:tc>
        <w:tc>
          <w:tcPr>
            <w:tcW w:w="5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1,952</w:t>
            </w:r>
          </w:p>
        </w:tc>
        <w:tc>
          <w:tcPr>
            <w:tcW w:w="3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ind w:left="120"/>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92,438,432</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92</w:t>
            </w:r>
          </w:p>
        </w:tc>
        <w:tc>
          <w:tcPr>
            <w:tcW w:w="2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(258,425)</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509,171</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(505,729)</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3,034</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-2536825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-2519680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-2536825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-2519680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-2536825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-2519680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-2536825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-2519680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-2536825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-2519680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-2536825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-2519680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-2536825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-2519680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-2536825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-2519680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-2536825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-2519680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-2159635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-2142490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-2159635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-2142490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-2159635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-2142490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-2159635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-2142490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-2159635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-2142490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-2159635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-2142490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-2159635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-2142490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-2159635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-2142490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-2159635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-2142490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-1268095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-1268095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-1268095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-1268095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-1268095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-1268095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-1268095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-1268095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-1268095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3546475</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5346700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6057900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-24765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-8255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1"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used in operating activities:</w:t>
            </w:r>
          </w:p>
        </w:tc>
        <w:tc>
          <w:tcPr>
            <w:tcW w:w="114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140" w:type="dxa"/>
            <w:vAlign w:val="bottom"/>
            <w:gridSpan w:val="2"/>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(12,250)</w:t>
            </w:r>
          </w:p>
        </w:tc>
        <w:tc>
          <w:tcPr>
            <w:tcW w:w="116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and debt discount</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financing expenses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3,061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3,545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fair value of derivative instruments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Accretion of discount on short-term investments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Reduction in the carrying amount of operating lease right-of-use assets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sale of assets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Increases (decreases) in cash caused by changes in operating assets and liabilities: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Grant receivable</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(5,181)</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Change in operating lease liabilities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Borders>
              <w:bottom w:val="single" w:sz="8" w:color="CFF0FC"/>
            </w:tcBorders>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Deferred grant liability</w:t>
            </w:r>
          </w:p>
        </w:tc>
        <w:tc>
          <w:tcPr>
            <w:tcW w:w="114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(11,970)</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(5,663)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used in investing activities: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short-term investments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(7,756)</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Redemption of short-term investments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6,662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intangible assets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14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(1,074)</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(4,166)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provided by financing activities: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term loan obligation</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credit facility</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Repayment of line of credit facility</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(3,292)</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notes payable</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(3,703)</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notes payable and warrants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3,738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Series B Warrants from May 2024 PIPE</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common stock, pre-funded warrants and warrants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common stock under Lincoln Park Purchase Agreement</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Costs from sale of common stock</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top w:val="single" w:sz="8" w:color="CFF0FC"/>
              <w:bottom w:val="single" w:sz="8" w:color="CFF0FC"/>
            </w:tcBorders>
            <w:shd w:val="clear" w:color="auto" w:fill="CFF0FC"/>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140" w:type="dxa"/>
            <w:vAlign w:val="bottom"/>
            <w:tcBorders>
              <w:top w:val="single" w:sz="8" w:color="CFF0FC"/>
              <w:bottom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15,201</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6,187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(3,642)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14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8,554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140" w:type="dxa"/>
            <w:vAlign w:val="bottom"/>
            <w:gridSpan w:val="2"/>
          </w:tcPr>
          <w:p>
            <w:pPr>
              <w:jc w:val="right"/>
              <w:ind w:right="8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2,233</w:t>
            </w:r>
          </w:p>
        </w:tc>
        <w:tc>
          <w:tcPr>
            <w:tcW w:w="160" w:type="dxa"/>
            <w:vAlign w:val="bottom"/>
          </w:tcPr>
          <w:p>
            <w:pPr>
              <w:spacing w:after="0"/>
              <w:rPr>
                <w:sz w:val="12"/>
                <w:szCs w:val="12"/>
                <w:color w:val="auto"/>
              </w:rPr>
            </w:pPr>
          </w:p>
        </w:tc>
        <w:tc>
          <w:tcPr>
            <w:tcW w:w="1160" w:type="dxa"/>
            <w:vAlign w:val="bottom"/>
            <w:gridSpan w:val="2"/>
          </w:tcPr>
          <w:p>
            <w:pPr>
              <w:jc w:val="right"/>
              <w:ind w:right="9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3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cash flows information:</w:t>
            </w: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during period for:</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2140" w:type="dxa"/>
            <w:vAlign w:val="bottom"/>
            <w:gridSpan w:val="2"/>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160" w:type="dxa"/>
            <w:vAlign w:val="bottom"/>
          </w:tcPr>
          <w:p>
            <w:pPr>
              <w:spacing w:after="0"/>
              <w:rPr>
                <w:sz w:val="12"/>
                <w:szCs w:val="12"/>
                <w:color w:val="auto"/>
              </w:rPr>
            </w:pPr>
          </w:p>
        </w:tc>
        <w:tc>
          <w:tcPr>
            <w:tcW w:w="116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schedule of non-cash investing and financing activities:</w:t>
            </w:r>
          </w:p>
        </w:tc>
        <w:tc>
          <w:tcPr>
            <w:tcW w:w="1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Exchange of warrants for notes payable</w:t>
            </w:r>
          </w:p>
        </w:tc>
        <w:tc>
          <w:tcPr>
            <w:tcW w:w="2140" w:type="dxa"/>
            <w:vAlign w:val="bottom"/>
            <w:gridSpan w:val="2"/>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3,694</w:t>
            </w:r>
          </w:p>
        </w:tc>
        <w:tc>
          <w:tcPr>
            <w:tcW w:w="160" w:type="dxa"/>
            <w:vAlign w:val="bottom"/>
          </w:tcPr>
          <w:p>
            <w:pPr>
              <w:spacing w:after="0"/>
              <w:rPr>
                <w:sz w:val="12"/>
                <w:szCs w:val="12"/>
                <w:color w:val="auto"/>
              </w:rPr>
            </w:pPr>
          </w:p>
        </w:tc>
        <w:tc>
          <w:tcPr>
            <w:tcW w:w="116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Redemption of notes by issuance of common stock, pre-funded warrants and warrants</w:t>
            </w:r>
          </w:p>
        </w:tc>
        <w:tc>
          <w:tcPr>
            <w:tcW w:w="2140" w:type="dxa"/>
            <w:vAlign w:val="bottom"/>
            <w:gridSpan w:val="2"/>
            <w:shd w:val="clear" w:color="auto" w:fill="CFF0FC"/>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3,512</w:t>
            </w: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9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Unpaid offering cost</w:t>
            </w:r>
          </w:p>
        </w:tc>
        <w:tc>
          <w:tcPr>
            <w:tcW w:w="2140" w:type="dxa"/>
            <w:vAlign w:val="bottom"/>
            <w:gridSpan w:val="2"/>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60" w:type="dxa"/>
            <w:vAlign w:val="bottom"/>
          </w:tcPr>
          <w:p>
            <w:pPr>
              <w:spacing w:after="0"/>
              <w:rPr>
                <w:sz w:val="16"/>
                <w:szCs w:val="16"/>
                <w:color w:val="auto"/>
              </w:rPr>
            </w:pPr>
          </w:p>
        </w:tc>
        <w:tc>
          <w:tcPr>
            <w:tcW w:w="116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5766435</wp:posOffset>
            </wp:positionH>
            <wp:positionV relativeFrom="paragraph">
              <wp:posOffset>-3221990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-3221990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-2450465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-2450465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-1220470</wp:posOffset>
            </wp:positionV>
            <wp:extent cx="93980" cy="1365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6911340</wp:posOffset>
            </wp:positionH>
            <wp:positionV relativeFrom="paragraph">
              <wp:posOffset>-1220470</wp:posOffset>
            </wp:positionV>
            <wp:extent cx="93980" cy="136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-907415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-907415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1"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left="1080" w:hanging="1072"/>
        <w:spacing w:after="0"/>
        <w:tabs>
          <w:tab w:leader="none" w:pos="10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New Accounting Standards</w:t>
      </w:r>
    </w:p>
    <w:p>
      <w:pPr>
        <w:spacing w:after="0" w:line="121"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for the three and six months ended June 30, 2025 and 2024 have been prepared in accordance with accounting principles generally accepted in the United States of America ("US GAAP") for interim financial information. Accordingly, they do not include all of the information and footnotes required by US GAAP for annual financial statements. The condensed consolidated balance sheet at December 31, 2024 has been derived from the audited consolidated financial statements at December 31, 2024, but does not include all of the information and footnotes required by US GAAP for complete financial statements. In the opinion of management, all adjustments (consisting of normal recurring adjustments) considered necessary for a fair presentation of the financial position and results of operations of Plus Therapeutics, Inc. (the “Company”) have been included. Operating results for the three and six months ended June 30, 2025 are not necessarily indicative of the results that may be expected for the year ending December 31, 2025. These condensed consolidated financial statements should be read in conjunction with the consolidated financial statements and notes therein included in the Company’s Annual Report on Form 10-K for the year ended December 31, 2024, filed with the Securities and Exchange Commission on March 31, 2025.</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Grant Revenue Recognition</w:t>
      </w:r>
    </w:p>
    <w:p>
      <w:pPr>
        <w:spacing w:after="0" w:line="119"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 Company does not consider there to be a transfer of control of goods or services. With respect to each grant, the Company determines if it has a collaboration in accordance with ASC Topic 808, Collaborative Arrangements (“ASC 808”). For grants outside the scope of ASC 808, the Company applies International Accounting Standards No. 20 ("IAS 20"), Accounting for Government Grants and Disclosure of Government Assistance, by analogy, and revenue is recognized when the Company incurs expenses related to the grant for the amount the Company is entitled to under the provisions of the contract.</w:t>
      </w:r>
    </w:p>
    <w:p>
      <w:pPr>
        <w:spacing w:after="0" w:line="8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also considers the guidance in ASC Topic 730, Research and Development, which requires an assessment, at the inception of each grant, of whether each grant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spacing w:after="0" w:line="72"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Deferred grant liability represents grant funds received or receivable for which the allowable expenses have not yet been incurred as of the balance sheet date. Grant receivable represents grant funds not yet received for which the allowable expenses have been incurred as of the balance sheet date.</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Warrants are accounted for as either derivative liabilities or as equity instruments depending on the specific terms of the agreement in accordance with applicable accounting guidance provided in ASC Topic 815, Derivatives and Hedging. Equity-classified instruments are recorded in additional paid-in capital at issuance and are not subject to remeasurement. Liability-classified warrants are recorded at fair value at each reporting period with any change in fair value recognized as a component of change in fair value of derivative liabilities in the condensed consolidated statements of operations. The Company periodically evaluates changes in facts and circumstances that could impact the classification of warrants.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Available-for-Sale Securities</w:t>
      </w:r>
    </w:p>
    <w:p>
      <w:pPr>
        <w:spacing w:after="0" w:line="119"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The Company’s available-for-sale securities consist of U.S. government and agency securities. Securities with maturities from the date of purchase of less than three months are included in cash equivalents. The Company classifies its marketable securities as available-for-sale and records such assets at estimated fair value in the condensed consolidated balance sheets, with unrealized gains and losses, if any, reported as a component of other comprehensive income (loss) within the condensed consolidated statements of operations and comprehensive income (loss) and as a separate component of stockholders’ equity. Realized gains and losses are calculated on the specific identification method and recorded as interest income (expense). 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There has been no allowance for expected credit losses recorded during any of the periods presented.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left="520" w:right="440"/>
        <w:spacing w:after="0" w:line="282" w:lineRule="auto"/>
        <w:rPr>
          <w:sz w:val="20"/>
          <w:szCs w:val="20"/>
          <w:color w:val="auto"/>
        </w:rPr>
      </w:pPr>
      <w:r>
        <w:rPr>
          <w:rFonts w:ascii="Times New Roman" w:cs="Times New Roman" w:eastAsia="Times New Roman" w:hAnsi="Times New Roman"/>
          <w:sz w:val="18"/>
          <w:szCs w:val="18"/>
          <w:color w:val="auto"/>
        </w:rPr>
        <w:t>Any premium arising at purchase is amortized to the earliest call date and any discount arising at purchase is accreted to maturity. Accretion of discounts are recorded in interest income in the condensed consolidated statements of operations and comprehensive income (loss).</w:t>
      </w:r>
    </w:p>
    <w:p>
      <w:pPr>
        <w:spacing w:after="0" w:line="54"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the unrealized gain on the Company’s available-for-sale securities was immaterial, and not presented separately in the condensed consolidated statement of operations.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No. 2023-09 Income Taxes (Topic 740): Improvements to Income Tax Disclosure. This ASU includes amendments that further enhance income tax disclosures, primarily through standardization and disaggregation of rate reconciliation categories and income taxes paid by jurisdiction. The ASU is effective for years beginning after December 15, 2024, but early adoption is permitted. This ASU should be applied on a prospective basis, although retrospective application is permitted. The Company adopted this ASU as of January 1, 2025 which did not have a material impact on the Company’s consolidated financial statements and related disclosures.</w:t>
      </w:r>
    </w:p>
    <w:p>
      <w:pPr>
        <w:spacing w:after="0" w:line="7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(Topic 220): Reporting Comprehensive Income - Expense Disaggregation Disclosures, which requires an entity to disclose on an annual and interim basis, disaggregated information about specific income statement expense categories. The guidance should be applied prospectively with the option to apply the standard retrospectively. The standard becomes effective for the annual period starting on January 1, 2027 and interim periods starting on January 1, 2028. The Company is in the process of analyzing the impact that the adoption of ASU 2024-03 will have on its disclosures.</w:t>
      </w:r>
    </w:p>
    <w:p>
      <w:pPr>
        <w:spacing w:after="0" w:line="287" w:lineRule="exact"/>
        <w:rPr>
          <w:sz w:val="20"/>
          <w:szCs w:val="20"/>
          <w:color w:val="auto"/>
        </w:rPr>
      </w:pPr>
    </w:p>
    <w:p>
      <w:pPr>
        <w:ind w:left="900" w:hanging="891"/>
        <w:spacing w:after="0"/>
        <w:tabs>
          <w:tab w:leader="none" w:pos="9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affecting the reported amounts of assets and liabilities and disclosure of contingent assets and liabilities at the date of the financial statements, and the reported amounts of revenue and expenses during the reporting period. The Company’s most significant estimates and critical accounting policies involve estimating fair value of its derivative instruments, reviewing assets for impairment and determining the assumptions used in measuring stock-based compensation expense.</w:t>
      </w:r>
    </w:p>
    <w:p>
      <w:pPr>
        <w:spacing w:after="0" w:line="287" w:lineRule="exact"/>
        <w:rPr>
          <w:sz w:val="20"/>
          <w:szCs w:val="20"/>
          <w:color w:val="auto"/>
        </w:rPr>
      </w:pPr>
    </w:p>
    <w:p>
      <w:pPr>
        <w:ind w:left="900" w:hanging="892"/>
        <w:spacing w:after="0"/>
        <w:tabs>
          <w:tab w:leader="none" w:pos="9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Going Concern</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incurred a net loss of $12.3 million for the six months ended June 30, 2025. The Company had an accumulated deficit of $505.7 million as of June 30, 2025. Additionally, the Company used net cash of $12.0 million to fund its operating activities for the six months ended June 30, 2025.</w:t>
      </w:r>
    </w:p>
    <w:p>
      <w:pPr>
        <w:spacing w:after="0" w:line="68"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To date, the Company’s operating losses have been funded primarily from outside sources of invested capital from issuance of its common stock, preferred stock, convertible notes and warrants, proceeds from its term loan, line of credit and grant funding. However, the Company has had, and will continue to have, an ongoing need to raise additional cash from outside sources to fund its future clinical development programs, launch CNSide, and fund other operations. There can be no assurance that the Company will be able to continue to raise additional capital in the future. The Company’s inability to raise additional cash would have a material and adverse impact on its operations. These factors raise substantial doubt about the Company’s ability to continue as a going concern.</w:t>
      </w:r>
    </w:p>
    <w:p>
      <w:pPr>
        <w:spacing w:after="0" w:line="7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 xml:space="preserve">As disclosed in more detail in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the Company has entered into various financing agreements and raised capital by issuing convertible notes, its common stock, preferred stock and warrants to purchase its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-185420</wp:posOffset>
            </wp:positionV>
            <wp:extent cx="3651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5125" cy="8255"/>
                    </a:xfrm>
                    <a:prstGeom prst="rect">
                      <a:avLst/>
                    </a:prstGeom>
                    <a:noFill/>
                  </pic:spPr>
                </pic:pic>
              </a:graphicData>
            </a:graphic>
          </wp:anchor>
        </w:drawing>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Nasdaq Listing Compliance</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On March 8, 2024, the Company received a written notice (the “Notice”) from the Listing Qualifications staff (the “Staff”) of The Nasdaq Stock Market LLC (the “Nasdaq)”), notifying the Company that it no longer complied with the requirement under Nasdaq Listing Rule 5550(b)(1) to maintain a minimum of $2.5 million in stockholders’ equity (the “Minimum Stockholders’ Equity Requirement”) for continued listing on The Nasdaq Capital Market or the alternative requirements of having a market value of listed securities of $35 million or net income from continuing operations of $500,000 in the most recently completed fiscal year or two of the last three most recently completed fiscal years.</w:t>
      </w:r>
    </w:p>
    <w:p>
      <w:pPr>
        <w:spacing w:after="0" w:line="75"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September 5, 2024, Nasdaq notified the Company that it had not regained compliance with Nasdaq Listing Rule 5550(b)(1). The Company requested a hearing before the Nasdaq hearing panel, and on October 30, 2024, the Company received a decision from the panel, notifying the Company that it had until March 4, 2025, to demonstrate compliance with the Minimum Stockholders’ Equity Requirement.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On March 7, 2025, the Company received notification from Nasdaq that it had regained compliance with the Minimum Stockholders’ Equity Requirement.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Nasdaq Listing Rule 5815(d)(4)(B), the Company will be subject to a Mandatory Panel Monitor until March 7, 2026. If the Staff finds the Company again out of compliance with the Minimum Stockholders’ Equity Requirement before that date, the Company would not be permitted to provide the Staff with a plan of compliance with respect to that deficiency and the Staff would not be permitted to grant additional time for the Company to regain compliance with respect to that deficiency, nor would the Company be afforded an applicable cure or compliance period. Instead, the Staff would issue a “Delist Determination Letter” and the Company would have an opportunity to request a Nasdaq hearing panel regarding its continued listing.</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on May 16, 2025, the Company received notice from Nasdaq that, because the closing bid price for the Company’s common stock has fallen below $1.00 per share for 30 consecutive business days, the Company no longer complies with the minimum bid price requirement pursuant to Nasdaq Listing Rule 5550(a)(2) (the “Minimum Bid Requirement”).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Nasdaq’s Minimum Bid Requirement notice has no immediate effect on the listing or trading of the Company’s common stock. Pursuant to Nasdaq Listing Rule 5810(c)(3)(A), the Company is provided an initial compliance period of 180 calendar days, or until November 12, 2025, to regain compliance with the Minimum Bid Requirement. To regain compliance, the closing bid price of the Company’s common stock must meet or exceed $1.00 per share for a minimum of 10 consecutive business days prior to November 12, 2025.</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does not achieve compliance with the Minimum Bid Requirement by November 12, 2025, the Company may be eligible for an additional 180 calendar days to regain compliance. To qualify, the Company would be required to meet the continued listing requirement for market value of publicly held shares and all other Nasdaq initial listing standards, with the exception of the Minimum Bid Requirement, and provide written notice of its intention to cure the minimum bid price deficiency during the second compliance period by effecting a reverse stock split if necessary. If the Staff determines that the Company will not be able to cure the deficiency, or if the Company is otherwise not eligible for such additional compliance period, Nasdaq will provide notice that the Company’s common stock will be subject to delisting. In the event the Company receives notice that its common stock is being delisted, Nasdaq rules permit the Company to appeal any delisting determination by the Staff.</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 2025, the stockholders granted discretionary authority to the Company’s board of directors to (i) amend the Company’s Certificate of Incorporation to combine outstanding shares of the Company’s common stock into a lesser number of outstanding shares, or a “reverse stock split,” at a specific ratio within a range of one-for twenty five (1-for-25) to a maximum of one-for-two hundred fifty (1-for-250), with the exact ratio to be determined by the board of directors in its sole discretion; and (ii) effect the reverse stock split, if at all, within twelve (12) months of the date the proposal is approved by stockholders.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2025, the Company received a notice from the Staff that, as a result of the Company’s delay in filing its Quarterly Report on Form 10-Q for the period ended March 31, 2025, the Company was not in compliance with Nasdaq Listing Rule 5250(c)(1) (the “Rule”), which requires Nasdaq-listed companies to timely file all required periodic financial reports with the U.S. Securities and Exchange Commission (the “SEC”).</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notice stated that the Company had until July 21, 2025, to submit to Nasdaq an update to its plan to regain compliance with the Rule. The notice also indicated that any additional exception to allow the Company to regain compliance with all delinquent filings will be limited to up to 180 calendar days from the due date of the filing, or until November 17, 2025. The notice had no immediate effect on the listing of the Company’s securities on Nasdaq.</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 2025, the Company received a letter from the Staff stating that the Company had regained compliance with the Rule 5250(c)(1) due to filing its Quarterly Report on Form 10-Q for the period ended March 31, 2025 with the SEC on May 30, 2025.</w:t>
      </w:r>
    </w:p>
    <w:p>
      <w:pPr>
        <w:spacing w:after="0" w:line="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June 3, 2025, the Staff notified the Company that it was not in compliance with the Minimum Stockholders’ Equity Requirement (the “June 3 Letter”). The Company reported stockholders’ equity (deficit) of ($23,641,000) in its Quarterly Report on Form 10-Q for the period ended March 31, 2025, and, as a result, did not satisfy the Minimum Stockholders’ Equity Requirement pursuant to Listing Rule 5550(b)(1). As a result, the Staff determined to delist the Company’s securities from Nasdaq, unless the Company timely requests an appeal of the Staff’s determination to a Hearings Panel (the “Panel”), pursuant to the procedures set forth in the Nasdaq Listing Rule 5800 Series. The Company must request a hearing no later than 4:00 p.m. Eastern Time on June 10, 2025. The Company timely requested a hearing, which hearing took place as scheduled on July 15, 2025.</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22, 2025, the Panel issued a decision (the "July 2025 Decision") granting the Company’s request for continued listing on Nasdaq, subject to the Company demonstrating compliance with (1) the Minimum Stockholders’ Equity Requirement pursuant to Listing Rule 5550 (b)(1) by August 14, 2025 by filing a timely public disclosure describing the transactions undertaken by the Company to achieve compliance and demonstrate long-term compliance of the Minimum Stockholders’ Equity Requirement, and by providing an indication of its equity following those transactions, with the option by including in the public filing a balance sheet not older than 60 days with pro forma adjustments for any significant transactions or events occurring on or before the report date; and (2) the Minimum Bid Requirement by September 8, 2025.</w:t>
      </w:r>
    </w:p>
    <w:p>
      <w:pPr>
        <w:spacing w:after="0" w:line="18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93" w:right="339" w:bottom="1440" w:gutter="0" w:footer="0" w:header="0"/>
        </w:sectPr>
      </w:pPr>
    </w:p>
    <w:bookmarkStart w:id="10" w:name="page11"/>
    <w:bookmarkEnd w:id="10"/>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regain compliance with the Minimum Stockholders' Equity Requirement or the Minimum Bid Requirement.</w:t>
      </w:r>
    </w:p>
    <w:p>
      <w:pPr>
        <w:spacing w:after="0" w:line="54"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continues to seek additional capital from other financing alternatives and other sources in order to ensure adequate funding is available to allow the Company to continue research and product development activities. If sufficient capital is not raised, the Company will at a minimum need to significantly reduce or curtail its research and development and other operations, and this would negatively affect its ability to achieve corporate growth goals.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the Company fail to raise additional cash, it would have a material adverse impact on its operations.</w:t>
      </w:r>
    </w:p>
    <w:p>
      <w:pPr>
        <w:spacing w:after="0" w:line="117"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284" w:lineRule="exact"/>
        <w:rPr>
          <w:sz w:val="20"/>
          <w:szCs w:val="20"/>
          <w:color w:val="auto"/>
        </w:rPr>
      </w:pPr>
    </w:p>
    <w:p>
      <w:pPr>
        <w:ind w:left="860" w:hanging="852"/>
        <w:spacing w:after="0"/>
        <w:tabs>
          <w:tab w:leader="none" w:pos="8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Fair value measurements are market-based measurements, not entity-specific measurements. Therefore, fair value measurements are determined based on the assumptions that market participants would use in pricing the asset or liability. The Company follows a three-level hierarchy to prioritize the inputs used in the valuation techniques to derive fair values. The basis for fair value measurements for each level within the hierarchy is described below:</w:t>
      </w:r>
    </w:p>
    <w:p>
      <w:pPr>
        <w:spacing w:after="0" w:line="72"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Valuations derived from valuation techniques in which one or more significant inputs are unobservable in active markets.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Assets recorded at fair value</w:t>
      </w:r>
    </w:p>
    <w:p>
      <w:pPr>
        <w:spacing w:after="0" w:line="11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has investments in money market accounts and U.S. treasury securities, which are included in cash and cash equivalents and investments, respectively, on the condensed consolidated balance sheets. Money market accounts are considered Level 1 measurements within the fair value hierarchy since money market account fair values are known and observable through daily published floating net asset values.</w:t>
      </w:r>
    </w:p>
    <w:p>
      <w:pPr>
        <w:spacing w:after="0" w:line="68"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total investments of $4.6 million of treasury bills with total amortized cost and fair value of $4.6 million. These investments are collateralized marketable securities. As of June 30, 2025, the Company classified available-for-sales as short-term investments in the condensed consolidated balance sheet because the maturity dates were less than one year from the date of the purchase.</w:t>
      </w:r>
    </w:p>
    <w:p>
      <w:pPr>
        <w:spacing w:after="0" w:line="68"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total investments of $3.5 million of money market accounts, treasury bills, and government agency bonds, with total amortized cost and fair value of $3.5 million. These investments are collateralized marketable securities. As of December 31, 2024, the Company classified available-for-sales as short-term investments in the condensed consolidated balance sheet because the maturity dates were less than one year from the date of the purchase.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52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fair value hierarchy for its financial assets measured at fair value on a recurring basis as of June 30, 2025 and December 31, 2024, respectively (in thousands):</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5"/>
                <w:szCs w:val="15"/>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Treasury bills and treasury note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Investments</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61"/>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bills</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Government agency bonds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w:t>
            </w: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53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Total Investments</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-1508125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-1490980</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-1508125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-1490980</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-1508125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-1490980</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-1508125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-1490980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-162560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-162560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-162560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Liabilities recorded at fair value</w:t>
      </w:r>
    </w:p>
    <w:p>
      <w:pPr>
        <w:spacing w:after="0" w:line="11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 xml:space="preserve">As detailed in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below, the Company elected to account for convertible notes (consisting of funding notes and exchange notes) issued on February 13, 2025 at fair value as of the issuance date and immediately before their settlement date of March 4, 2025. The convertible notes are valued using the binomial lattice model with the following key level 3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-313055</wp:posOffset>
            </wp:positionV>
            <wp:extent cx="3733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spacing w:after="0" w:line="41"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At issuance</w:t>
            </w:r>
          </w:p>
        </w:tc>
        <w:tc>
          <w:tcPr>
            <w:tcW w:w="3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At settlement</w:t>
            </w:r>
          </w:p>
        </w:tc>
        <w:tc>
          <w:tcPr>
            <w:tcW w:w="180" w:type="dxa"/>
            <w:vAlign w:val="bottom"/>
            <w:gridSpan w:val="2"/>
          </w:tcPr>
          <w:p>
            <w:pPr>
              <w:spacing w:after="0"/>
              <w:rPr>
                <w:sz w:val="15"/>
                <w:szCs w:val="15"/>
                <w:color w:val="auto"/>
              </w:rPr>
            </w:pPr>
          </w:p>
        </w:tc>
      </w:tr>
      <w:tr>
        <w:trPr>
          <w:trHeight w:val="209"/>
        </w:trPr>
        <w:tc>
          <w:tcPr>
            <w:tcW w:w="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 - 4.28%</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119.2%</w:t>
            </w:r>
          </w:p>
        </w:tc>
      </w:tr>
      <w:tr>
        <w:trPr>
          <w:trHeight w:val="234"/>
        </w:trPr>
        <w:tc>
          <w:tcPr>
            <w:tcW w:w="6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6"/>
        </w:trPr>
        <w:tc>
          <w:tcPr>
            <w:tcW w:w="8300" w:type="dxa"/>
            <w:vAlign w:val="bottom"/>
            <w:gridSpan w:val="7"/>
          </w:tcPr>
          <w:p>
            <w:pPr>
              <w:jc w:val="right"/>
              <w:ind w:right="1140"/>
              <w:spacing w:after="0"/>
              <w:rPr>
                <w:sz w:val="20"/>
                <w:szCs w:val="20"/>
                <w:color w:val="auto"/>
              </w:rPr>
            </w:pPr>
            <w:r>
              <w:rPr>
                <w:rFonts w:ascii="Times New Roman" w:cs="Times New Roman" w:eastAsia="Times New Roman" w:hAnsi="Times New Roman"/>
                <w:sz w:val="18"/>
                <w:szCs w:val="18"/>
                <w:color w:val="auto"/>
                <w:w w:val="99"/>
              </w:rPr>
              <w:t>The following table provides a roll forward of the fair value of the convertible notes (in thousands):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60" w:type="dxa"/>
            <w:vAlign w:val="bottom"/>
          </w:tcPr>
          <w:p>
            <w:pPr>
              <w:spacing w:after="0"/>
              <w:rPr>
                <w:sz w:val="22"/>
                <w:szCs w:val="22"/>
                <w:color w:val="auto"/>
              </w:rPr>
            </w:pPr>
          </w:p>
        </w:tc>
        <w:tc>
          <w:tcPr>
            <w:tcW w:w="6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Funding Notes</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Exchange Notes</w:t>
            </w:r>
          </w:p>
        </w:tc>
        <w:tc>
          <w:tcPr>
            <w:tcW w:w="100" w:type="dxa"/>
            <w:vAlign w:val="bottom"/>
          </w:tcPr>
          <w:p>
            <w:pPr>
              <w:spacing w:after="0"/>
              <w:rPr>
                <w:sz w:val="22"/>
                <w:szCs w:val="22"/>
                <w:color w:val="auto"/>
              </w:rPr>
            </w:pPr>
          </w:p>
        </w:tc>
      </w:tr>
      <w:tr>
        <w:trPr>
          <w:trHeight w:val="210"/>
        </w:trPr>
        <w:tc>
          <w:tcPr>
            <w:tcW w:w="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as of January 1, 2025</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(3,512)</w:t>
            </w:r>
          </w:p>
        </w:tc>
      </w:tr>
      <w:tr>
        <w:trPr>
          <w:trHeight w:val="20"/>
        </w:trPr>
        <w:tc>
          <w:tcPr>
            <w:tcW w:w="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 as of June 30, 2025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 w:type="dxa"/>
            <w:vAlign w:val="bottom"/>
          </w:tcPr>
          <w:p>
            <w:pPr>
              <w:spacing w:after="0" w:line="20" w:lineRule="exact"/>
              <w:rPr>
                <w:sz w:val="1"/>
                <w:szCs w:val="1"/>
                <w:color w:val="auto"/>
              </w:rPr>
            </w:pPr>
          </w:p>
        </w:tc>
        <w:tc>
          <w:tcPr>
            <w:tcW w:w="6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 xml:space="preserve">As detailed in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below, the Company issued March 2025 Series A and March 2025 Series B common stock warrants in connection with the March 2025 Private Placement. The March 2025 Series A and March 2025 Series B common stock warrants are accounted for as liabilities at fair value at issuance date, and immediately prior to their extinguishment and modification, respectively, on June 17, 2025. The March 2025 Series A and March 2025 Series B common stock warrants were valued using the Monte Carlo simulation, with the following key level 3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-448310</wp:posOffset>
            </wp:positionV>
            <wp:extent cx="3651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2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At issuance</w:t>
            </w:r>
          </w:p>
        </w:tc>
        <w:tc>
          <w:tcPr>
            <w:tcW w:w="180" w:type="dxa"/>
            <w:vAlign w:val="bottom"/>
            <w:vMerge w:val="restart"/>
          </w:tcPr>
          <w:p>
            <w:pPr>
              <w:spacing w:after="0"/>
              <w:rPr>
                <w:sz w:val="13"/>
                <w:szCs w:val="13"/>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At modification and</w:t>
            </w:r>
          </w:p>
        </w:tc>
        <w:tc>
          <w:tcPr>
            <w:tcW w:w="0" w:type="dxa"/>
            <w:vAlign w:val="bottom"/>
          </w:tcPr>
          <w:p>
            <w:pPr>
              <w:spacing w:after="0"/>
              <w:rPr>
                <w:sz w:val="1"/>
                <w:szCs w:val="1"/>
                <w:color w:val="auto"/>
              </w:rPr>
            </w:pPr>
          </w:p>
        </w:tc>
      </w:tr>
      <w:tr>
        <w:trPr>
          <w:trHeight w:val="173"/>
        </w:trPr>
        <w:tc>
          <w:tcPr>
            <w:tcW w:w="706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4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extinguishment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(years)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123.7%</w:t>
            </w: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March 2025 Series B Warrants were valued immediately prior to exercise, using the Monte Carlo simulation with the following inputs for the exercises that occurred before the modification on June 17,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6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At exercise</w:t>
            </w:r>
          </w:p>
        </w:tc>
        <w:tc>
          <w:tcPr>
            <w:tcW w:w="560" w:type="dxa"/>
            <w:vAlign w:val="bottom"/>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6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 - 4.06%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(years)</w:t>
            </w:r>
          </w:p>
        </w:tc>
        <w:tc>
          <w:tcPr>
            <w:tcW w:w="6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4.9 - 5.0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6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 - 135.8%</w:t>
            </w:r>
          </w:p>
        </w:tc>
        <w:tc>
          <w:tcPr>
            <w:tcW w:w="560" w:type="dxa"/>
            <w:vAlign w:val="bottom"/>
          </w:tcPr>
          <w:p>
            <w:pPr>
              <w:spacing w:after="0"/>
              <w:rPr>
                <w:sz w:val="18"/>
                <w:szCs w:val="18"/>
                <w:color w:val="auto"/>
              </w:rPr>
            </w:pPr>
          </w:p>
        </w:tc>
      </w:tr>
      <w:tr>
        <w:trPr>
          <w:trHeight w:val="648"/>
        </w:trPr>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60" w:type="dxa"/>
            <w:vAlign w:val="bottom"/>
          </w:tcPr>
          <w:p>
            <w:pPr>
              <w:jc w:val="right"/>
              <w:ind w:right="3250"/>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In addition, the February 2025 Warrants issued in connection with the Funding Notes were required to be classified as liabilities and recorded at fair value. The Company estimated the fair value of the February 2025 Warrants using the Black Scholes model at issuance as of February 13, 2025 and as of their redemption date of March 4, 2025, using the following level 3 inputs:</w:t>
      </w:r>
    </w:p>
    <w:p>
      <w:pPr>
        <w:spacing w:after="0" w:line="6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At issuance</w:t>
            </w:r>
          </w:p>
        </w:tc>
        <w:tc>
          <w:tcPr>
            <w:tcW w:w="3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At settlement</w:t>
            </w:r>
          </w:p>
        </w:tc>
        <w:tc>
          <w:tcPr>
            <w:tcW w:w="180" w:type="dxa"/>
            <w:vAlign w:val="bottom"/>
          </w:tcPr>
          <w:p>
            <w:pPr>
              <w:spacing w:after="0"/>
              <w:rPr>
                <w:sz w:val="15"/>
                <w:szCs w:val="15"/>
                <w:color w:val="auto"/>
              </w:rPr>
            </w:pPr>
          </w:p>
        </w:tc>
      </w:tr>
      <w:tr>
        <w:trPr>
          <w:trHeight w:val="20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2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(years)</w:t>
            </w:r>
          </w:p>
        </w:tc>
        <w:tc>
          <w:tcPr>
            <w:tcW w:w="2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102.1%</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334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spacing w:after="0"/>
              <w:rPr>
                <w:sz w:val="20"/>
                <w:szCs w:val="20"/>
                <w:color w:val="auto"/>
              </w:rPr>
            </w:pPr>
          </w:p>
        </w:tc>
      </w:tr>
    </w:tbl>
    <w:p>
      <w:pPr>
        <w:spacing w:after="0" w:line="71"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 forward of the fair value of liability classified common stock warrants during the six months ended June 30, 2025 (in thousands):</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February 2025</w:t>
            </w:r>
          </w:p>
        </w:tc>
        <w:tc>
          <w:tcPr>
            <w:tcW w:w="12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2025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2025</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220" w:type="dxa"/>
            <w:vAlign w:val="bottom"/>
          </w:tcPr>
          <w:p>
            <w:pPr>
              <w:spacing w:after="0"/>
              <w:rPr>
                <w:sz w:val="12"/>
                <w:szCs w:val="12"/>
                <w:color w:val="auto"/>
              </w:rPr>
            </w:pPr>
          </w:p>
        </w:tc>
        <w:tc>
          <w:tcPr>
            <w:tcW w:w="7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80" w:type="dxa"/>
            <w:vAlign w:val="bottom"/>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as of January 1, 2025</w:t>
            </w:r>
          </w:p>
        </w:tc>
        <w:tc>
          <w:tcPr>
            <w:tcW w:w="130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Modification and extinguishment</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(4,461)</w:t>
            </w:r>
          </w:p>
        </w:tc>
        <w:tc>
          <w:tcPr>
            <w:tcW w:w="8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(6,801)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Reclassified to equity</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(10,967)</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 as of June 30, 2025</w:t>
            </w:r>
          </w:p>
        </w:tc>
        <w:tc>
          <w:tcPr>
            <w:tcW w:w="130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calculates basic and diluted net income (loss) per share attributable to common stockholders in conformity with the two-class method required for participating securities. Certain warrants participate in distributions of the Company. The Pre-Funded Warrants totaling 19,396,099 are considered outstanding shares in the basic earnings per share calculation given their nominal exercise price (as of the beginning of the period or the date of the grant, whichever is earlier).</w:t>
      </w:r>
    </w:p>
    <w:p>
      <w:pPr>
        <w:spacing w:after="0" w:line="72"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two-class method. Potential common shares were related to outstanding but unexercised options, multiple series of convertible preferred stock, and warrants for all periods presented.</w:t>
      </w:r>
    </w:p>
    <w:p>
      <w:pPr>
        <w:spacing w:after="0" w:line="7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 xml:space="preserve">The March 2025 Series A Warrants and March 2025 Series B Warrants (and for the period in which the February 2025 Warrants, Funding Notes, and Exchange Notes, as defined in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were outstanding) are participating securities because holders of such instruments participate in the event a dividend is paid on common stock, however such holders do not have a contractual obligation to share in the Company’s losses. As such, losses are attributed entirely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2005330</wp:posOffset>
            </wp:positionH>
            <wp:positionV relativeFrom="paragraph">
              <wp:posOffset>-311150</wp:posOffset>
            </wp:positionV>
            <wp:extent cx="3733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3380" cy="8255"/>
                    </a:xfrm>
                    <a:prstGeom prst="rect">
                      <a:avLst/>
                    </a:prstGeom>
                    <a:noFill/>
                  </pic:spPr>
                </pic:pic>
              </a:graphicData>
            </a:graphic>
          </wp:anchor>
        </w:drawing>
      </w:r>
    </w:p>
    <w:p>
      <w:pPr>
        <w:spacing w:after="0" w:line="6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following tables provides a summary of instruments where underlying shares issuable upon exercise or conversion were excluded from the diluted loss per share calculation for the periods presented because their effect would be anti-dilutive. Additionally, the shares underlying the February 2025 Warrants, Funding Notes and Exchange Notes, each outstanding during the six months ended June 30, 2025, were excluded from diluted loss per share as their effect would be anti-dilutive.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48"/>
        </w:trPr>
        <w:tc>
          <w:tcPr>
            <w:tcW w:w="5180" w:type="dxa"/>
            <w:vAlign w:val="bottom"/>
            <w:gridSpan w:val="2"/>
          </w:tcPr>
          <w:p>
            <w:pPr>
              <w:spacing w:after="0"/>
              <w:rPr>
                <w:sz w:val="12"/>
                <w:szCs w:val="12"/>
                <w:color w:val="auto"/>
              </w:rPr>
            </w:pPr>
          </w:p>
        </w:tc>
        <w:tc>
          <w:tcPr>
            <w:tcW w:w="1740" w:type="dxa"/>
            <w:vAlign w:val="bottom"/>
            <w:tcBorders>
              <w:bottom w:val="single" w:sz="8" w:color="auto"/>
            </w:tcBorders>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934"/>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0"/>
        </w:trPr>
        <w:tc>
          <w:tcPr>
            <w:tcW w:w="580" w:type="dxa"/>
            <w:vAlign w:val="bottom"/>
          </w:tcPr>
          <w:p>
            <w:pPr>
              <w:spacing w:after="0"/>
              <w:rPr>
                <w:sz w:val="18"/>
                <w:szCs w:val="18"/>
                <w:color w:val="auto"/>
              </w:rPr>
            </w:pPr>
          </w:p>
        </w:tc>
        <w:tc>
          <w:tcPr>
            <w:tcW w:w="6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3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1,230,272</w:t>
            </w:r>
          </w:p>
        </w:tc>
        <w:tc>
          <w:tcPr>
            <w:tcW w:w="5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336,928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28,190</w:t>
            </w:r>
          </w:p>
        </w:tc>
        <w:tc>
          <w:tcPr>
            <w:tcW w:w="54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28,190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warrants (Note 12)</w:t>
            </w:r>
          </w:p>
        </w:tc>
        <w:tc>
          <w:tcPr>
            <w:tcW w:w="14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3,883,833</w:t>
            </w:r>
          </w:p>
        </w:tc>
        <w:tc>
          <w:tcPr>
            <w:tcW w:w="3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142,733</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5,142,295</w:t>
            </w:r>
          </w:p>
        </w:tc>
        <w:tc>
          <w:tcPr>
            <w:tcW w:w="3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507,851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520" w:type="dxa"/>
            <w:vAlign w:val="bottom"/>
            <w:gridSpan w:val="3"/>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9"/>
        </w:trPr>
        <w:tc>
          <w:tcPr>
            <w:tcW w:w="6920" w:type="dxa"/>
            <w:vAlign w:val="bottom"/>
            <w:gridSpan w:val="4"/>
          </w:tcPr>
          <w:p>
            <w:pPr>
              <w:jc w:val="right"/>
              <w:ind w:right="120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-1079500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left="5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net loss per common share for the periods indicated, in thousands except share and per share data:</w:t>
      </w:r>
    </w:p>
    <w:p>
      <w:pPr>
        <w:spacing w:after="0" w:line="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loss per common share calculation:</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(12,250)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attributable to 2025 Series A Warrants</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(1,665)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attributable to 2025 Series B Warrants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 basic</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(2,940)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48,388,862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6,500,831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24,422,125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5,411,382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of common stock – basic</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Due to the warrants being participating securities, the two-class method is used for the earnings per share calculation. The following table sets forth the computation of diluted net loss per common share for the periods indicated, in thousands except share and per share data:</w:t>
      </w:r>
    </w:p>
    <w:p>
      <w:pPr>
        <w:spacing w:after="0" w:line="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loss per common share calculation:</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(12,250)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attributable to 2025 Series A Warrants</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Income attributable to 2025 Series B Warrants</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(2,940)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(12,250)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Earnings attributable to March 2025 Series A and Series B Warrants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(6,512)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(4,694)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diluted</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(1,362)</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(7,634)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(12,250)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209,154,994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10,742,924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24,422,125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diluted</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(0.71)</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-582295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-582295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-582295</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-582295</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2" w:lineRule="exact"/>
        <w:rPr>
          <w:sz w:val="20"/>
          <w:szCs w:val="20"/>
          <w:color w:val="auto"/>
        </w:rPr>
      </w:pPr>
    </w:p>
    <w:p>
      <w:pPr>
        <w:ind w:left="820" w:hanging="812"/>
        <w:spacing w:after="0"/>
        <w:tabs>
          <w:tab w:leader="none" w:pos="8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CPRIT Grant</w:t>
      </w:r>
    </w:p>
    <w:p>
      <w:pPr>
        <w:spacing w:after="0" w:line="119"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 xml:space="preserve">On September 19, 2022, the Company entered into that certain </w:t>
      </w:r>
      <w:r>
        <w:rPr>
          <w:rFonts w:ascii="Times New Roman" w:cs="Times New Roman" w:eastAsia="Times New Roman" w:hAnsi="Times New Roman"/>
          <w:sz w:val="18"/>
          <w:szCs w:val="18"/>
          <w:color w:val="231F20"/>
        </w:rPr>
        <w:t>Cancer Research Grant Contract (the “CPRIT Contract”), effective as of August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2022, </w:t>
      </w:r>
      <w:r>
        <w:rPr>
          <w:rFonts w:ascii="Times New Roman" w:cs="Times New Roman" w:eastAsia="Times New Roman" w:hAnsi="Times New Roman"/>
          <w:sz w:val="18"/>
          <w:szCs w:val="18"/>
          <w:color w:val="000000"/>
        </w:rPr>
        <w:t>with the</w:t>
      </w:r>
      <w:r>
        <w:rPr>
          <w:rFonts w:ascii="Times New Roman" w:cs="Times New Roman" w:eastAsia="Times New Roman" w:hAnsi="Times New Roman"/>
          <w:sz w:val="18"/>
          <w:szCs w:val="18"/>
          <w:color w:val="231F20"/>
        </w:rPr>
        <w:t xml:space="preserve"> Cancer Prevention and Research Institute of Texas (“CPRIT”)</w:t>
      </w:r>
      <w:r>
        <w:rPr>
          <w:rFonts w:ascii="Times New Roman" w:cs="Times New Roman" w:eastAsia="Times New Roman" w:hAnsi="Times New Roman"/>
          <w:sz w:val="18"/>
          <w:szCs w:val="18"/>
          <w:color w:val="000000"/>
        </w:rPr>
        <w:t>, pursuant to which CPRIT provides the Company with a CPRIT Grant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(“CPRIT Grant”) over a three-year period to fund the continued development of REYOBIQ for the treatment of patients with leptomeningeal metastases. The CPRIT Grant is subject to customary CPRIT funding conditions, including, but not limited to, a matching fund requirement (one dollar for every two dollars awarded by CPRIT), revenue sharing obligations upon commercialization of REYOBIQ based on specific dollar thresholds and tiered low single digit royalty rates until CPRIT receives the aggregate amount of 400% of the proceeds awarded under the CPRIT Grant, and certain reporting requirements.</w:t>
      </w:r>
    </w:p>
    <w:p>
      <w:pPr>
        <w:spacing w:after="0" w:line="81"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The CPRIT Contract will terminate on August 30, 2025, unless terminated earlier by (a) the mutual written consent of all parties to the CPRIT Contract, (b) CPRIT for an event of default by the Company, (c) CPRIT, if the funds allocated to the CPRIT Grant become legally unavailable during the term of the CPRIT Contract and CPRIT is unable to obtain additional funds for such 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 or if the Company relocates its principal place of business outside of the state of Texas during the CPRIT Contract term or within three years after the final payment of the grant funds.</w:t>
      </w:r>
    </w:p>
    <w:p>
      <w:pPr>
        <w:spacing w:after="0" w:line="8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The Company retains ownership over any intellectual property developed under the CPRIT Contract (each, a “Project Result”). With respect to non-commercial use of any Project Result, the Company granted to CPRIT a nonexclusive, irrevocable, royalty-free, perpetual, worldwide license with right to sublicense any necessary additional intellectual property rights to exploit all Project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left="520"/>
        <w:spacing w:after="0" w:line="282" w:lineRule="auto"/>
        <w:rPr>
          <w:sz w:val="20"/>
          <w:szCs w:val="20"/>
          <w:color w:val="auto"/>
        </w:rPr>
      </w:pPr>
      <w:r>
        <w:rPr>
          <w:rFonts w:ascii="Times New Roman" w:cs="Times New Roman" w:eastAsia="Times New Roman" w:hAnsi="Times New Roman"/>
          <w:sz w:val="18"/>
          <w:szCs w:val="18"/>
          <w:color w:val="auto"/>
        </w:rPr>
        <w:t>Results by CPRIT, other governmental entities and agencies of the State of Texas, and private or independent institutions of higher education located in Texas, for education, research and other non-commercial purposes.</w:t>
      </w:r>
    </w:p>
    <w:p>
      <w:pPr>
        <w:spacing w:after="0" w:line="54" w:lineRule="exact"/>
        <w:rPr>
          <w:sz w:val="20"/>
          <w:szCs w:val="20"/>
          <w:color w:val="auto"/>
        </w:rPr>
      </w:pPr>
    </w:p>
    <w:p>
      <w:pPr>
        <w:ind w:left="520" w:right="260"/>
        <w:spacing w:after="0" w:line="261" w:lineRule="auto"/>
        <w:rPr>
          <w:sz w:val="20"/>
          <w:szCs w:val="20"/>
          <w:color w:val="auto"/>
        </w:rPr>
      </w:pPr>
      <w:r>
        <w:rPr>
          <w:rFonts w:ascii="Times New Roman" w:cs="Times New Roman" w:eastAsia="Times New Roman" w:hAnsi="Times New Roman"/>
          <w:sz w:val="18"/>
          <w:szCs w:val="18"/>
          <w:color w:val="auto"/>
        </w:rPr>
        <w:t>The Company recognized $1.4 million and $1.3 million, and $2.5 million and $3.0 million in grant revenue from the CPRIT Contract during the three and six months ended June 30, 2025 and 2024, respectively. As of June 30, 2025, the Company had no deferred grant liability related to the CPRIT Grant. As of June 30, 2025 and December 31, 2024, the Company had $1.0 million and $0.6 million, respectively, of grant revenue receivable related to the CPRIT Grant.</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Department of Defense Award</w:t>
      </w:r>
    </w:p>
    <w:p>
      <w:pPr>
        <w:spacing w:after="0" w:line="119"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Effective September 1, 2024, the Company entered into an agreement with the Department of Defense office of the Congressionally Directed Medical Research Programs to receive a $3.0 million award for research and development purposes (“DoD Award”) over a three year period. The DoD Award will be used to support the planned expansion of the Company’s clinical trial for pediatric brain cancer. On October 4, 2024, the Company received its first payment under the DoD Award in the amount of $0.9 million, which was recorded as deferred grant liability as of June 30, 2025 and December 31, 2024. As of June 30, 2025 and December 31, 2024, no amount of grant revenue was recognized related to the DoD Award.</w:t>
      </w:r>
    </w:p>
    <w:p>
      <w:pPr>
        <w:spacing w:after="0" w:line="291" w:lineRule="exact"/>
        <w:rPr>
          <w:sz w:val="20"/>
          <w:szCs w:val="20"/>
          <w:color w:val="auto"/>
        </w:rPr>
      </w:pPr>
    </w:p>
    <w:p>
      <w:pPr>
        <w:ind w:left="720" w:hanging="712"/>
        <w:spacing w:after="0"/>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Company leases certain office space in Charlottesville, Virginia (the “Charlottesville Lease”). The Charlottesville Lease expires on March 31, 2026.</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Agreement with SpectronRX</w:t>
      </w:r>
    </w:p>
    <w:p>
      <w:pPr>
        <w:spacing w:after="0" w:line="119"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On November 5, 2024, the Company entered into a manufacturing services agreement with SpectronRx for drug product development and manufacturing, which includes an initial commitment fee of $0.3 million. Under this agreement, the Company owns all rights to intellectual property related to the products developed, while SpectronRx retains rights to its own technology. SpectronRx is required to negotiate a commercial supply agreement upon six months' written notice before the Company's first commercial manufacturing needs. The agreement will remain in place for five years, automatically renewing for successive one-year terms unless terminated with six months' notice. During the six months ended June 30, 2025 and year ended December 31, 2024, the Company did not recognize any expenses related to this agreement.</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study progress. As of June 30, 2025, the Company did not have any clinical research study obligations.</w:t>
      </w:r>
    </w:p>
    <w:p>
      <w:pPr>
        <w:spacing w:after="0" w:line="75"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Company has entered into service and subscription-based agreements, which are recorded in accounts payable and accrued expenses, with an offsetting amount included in deferred costs within other current assets.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legal proceedings and claims, whether asserted or unasserted, that arise in the ordinary course of business.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w:t>
      </w:r>
    </w:p>
    <w:p>
      <w:pPr>
        <w:spacing w:after="0" w:line="284" w:lineRule="exact"/>
        <w:rPr>
          <w:sz w:val="20"/>
          <w:szCs w:val="20"/>
          <w:color w:val="auto"/>
        </w:rPr>
      </w:pPr>
    </w:p>
    <w:p>
      <w:pPr>
        <w:ind w:left="720" w:hanging="712"/>
        <w:spacing w:after="0"/>
        <w:tabs>
          <w:tab w:leader="none" w:pos="7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Financial Statement Captions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and December 31, 2024, other current assets were comprised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3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Deferred costs (Note 7)</w:t>
            </w: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4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-1148080</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-1148080</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left="820" w:hanging="812"/>
        <w:spacing w:after="0"/>
        <w:tabs>
          <w:tab w:leader="none" w:pos="8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 Facility</w:t>
      </w:r>
    </w:p>
    <w:p>
      <w:pPr>
        <w:spacing w:after="0" w:line="121"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On May 31, 2024, the Company drew down $3.3 million on a margin loan facility under a line of credit (the “Pershing Credit Facility”) with Pershing LLC (“Pershing”), an affiliate of The Bank of New York Mellon Corporation. The available credit line limit under the Pershing Credit Facility fluctuated based on the Company’s request for extensions from time to time, subject to the value of the collateralized marketable securities the Company holds with Pershing, provided that the amount available to draw under the Pershing Credit Facility cannot exceed 91.5% of the value of the collateralized marketable securities deposited with Pershing. Depending on the value of the marketable securities the Company held with Pershing, Pershing could have required the Company from time-to-time to deposit additional funds or marketable securities in order to restore the level of collateral to an acceptable level. The amounts borrowed under the Pershing Credit Facility were due on demand. As of December 31, 2024, and June 30, 2025, the Company held collateralized marketable securities with Pershing with a total value of $3.5 million and zero, respectively.</w:t>
      </w:r>
    </w:p>
    <w:p>
      <w:pPr>
        <w:spacing w:after="0" w:line="84"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Borrowings under the Pershing Credit Facility bore interest at the target interest rate set by the Federal Open Market Committee, subject to a floor of 5.5%, plus a spread of 1.75% and applicable fees of 0.5%, subject to a maximum interest rate of the then applicable Prime Rate as published in The Wall Street Journal, plus 3.0%. Interest payments thereunder were calculated on a monthly basis and, unless paid, were added to the outstanding balance under the Pershing Credit Facility. The proceeds under the Pershing Credit Facility are available for working capital needs and other general corporate purposes. Volatility in the global markets could cause the interest rate to fluctuate from time to time increasing the Company’s costs, or could cause Pershing to terminate the Company’s ability to borrow funds. In addition, borrowings under the Pershing Credit Facility have the effect of limiting the Company’s use of cash and marketable securities.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3, 2025, the Pershing Credit Facility was fully repaid and the collateralized marketable securities were fully redeemed.</w:t>
      </w:r>
    </w:p>
    <w:p>
      <w:pPr>
        <w:spacing w:after="0" w:line="329" w:lineRule="exact"/>
        <w:rPr>
          <w:sz w:val="20"/>
          <w:szCs w:val="20"/>
          <w:color w:val="auto"/>
        </w:rPr>
      </w:pPr>
    </w:p>
    <w:p>
      <w:pPr>
        <w:ind w:left="720" w:hanging="712"/>
        <w:spacing w:after="0"/>
        <w:tabs>
          <w:tab w:leader="none" w:pos="7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UT Health Science Center at San Antonio (“UTHSCSA”) License Agreement</w:t>
      </w:r>
    </w:p>
    <w:p>
      <w:pPr>
        <w:spacing w:after="0" w:line="119"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On December 31, 2021, the Company entered into a Patent and Know-How License Agreement (the “UTHSCSA License Agreement”) with The University of Texas Health Science Center at San Antonio (“UTHSCSA”), pursuant to which UTHSCSA granted the Company an irrevocable, perpetual, exclusive, fully paid-up license, with the right to sublicense and to make, develop, commercialize and otherwise exploit certain patents, know-how and technology related to the development of biodegradable alginate microspheres (“BAM”) containing nanoliposomes loaded with imaging and/or therapeutic payloads.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NanoTx License Agreement</w:t>
      </w:r>
    </w:p>
    <w:p>
      <w:pPr>
        <w:spacing w:after="0" w:line="119"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On March 29, 2020, the Company and NanoTx, Corp. (“NanoTx”) entered into a Patent and Know-How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w:t>
      </w:r>
    </w:p>
    <w:p>
      <w:pPr>
        <w:spacing w:after="0" w:line="68"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 xml:space="preserve">The transaction terms included an upfront payment of $0.4 million in cash and $0.3 million in the Company's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CPRIT. As of June 30, 2025, the Company accrued $0.3 million of payments due to NanoTx as a result of the CPRIT Grant proceeds received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Grant Revenue of the condensed consolidated financial statements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4152265</wp:posOffset>
            </wp:positionH>
            <wp:positionV relativeFrom="paragraph">
              <wp:posOffset>-168910</wp:posOffset>
            </wp:positionV>
            <wp:extent cx="3162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6230" cy="8890"/>
                    </a:xfrm>
                    <a:prstGeom prst="rect">
                      <a:avLst/>
                    </a:prstGeom>
                    <a:noFill/>
                  </pic:spPr>
                </pic:pic>
              </a:graphicData>
            </a:graphic>
          </wp:anchor>
        </w:drawing>
      </w:r>
    </w:p>
    <w:p>
      <w:pPr>
        <w:spacing w:after="0" w:line="271" w:lineRule="exact"/>
        <w:rPr>
          <w:sz w:val="20"/>
          <w:szCs w:val="20"/>
          <w:color w:val="auto"/>
        </w:rPr>
      </w:pPr>
    </w:p>
    <w:p>
      <w:pPr>
        <w:ind w:left="860" w:hanging="852"/>
        <w:spacing w:after="0"/>
        <w:tabs>
          <w:tab w:leader="none" w:pos="8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Biocept Asset Acquisitions</w:t>
      </w:r>
    </w:p>
    <w:p>
      <w:pPr>
        <w:spacing w:after="0" w:line="121"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On April 26, 2024, the Company, after having its bid accepted by the United States Bankruptcy Court for the District of Delaware, acquired from Biocept, Inc. (“Biocept”), for a total cash payment of $400,000, substantially all of the right, title and interest in a cerebrospinal fluid cancer diagnostic portfolio (the “CNSide® Platform”), including (i) intellectual property, (ii) inventory and raw materials, and (iii) data, information, results and reports pertaining to the completed and on-going clinical studies involving the use of the CNSide Platform (including, but not limited to, the FORESEE clinical study that was being conducted by Biocept), related to the development, making, selling, and exporting or importing of the CNSide proprietary cell enumeration test (the “CNSide Test”).</w:t>
      </w:r>
    </w:p>
    <w:p>
      <w:pPr>
        <w:spacing w:after="0" w:line="7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The Company concluded that the acquisition of the Biocept assets was not a business combination, as Biocept did not meet the definition of a business in ASC 805, Business Combination. The Company accounted for the asset purchase transaction under the authoritative guidance for asset acquisitions, and allocated the costs of acquisitions of approximately $45,000 among the assets acquired based on the relative fair value of such assets, which is predominately concentrated in the intellectual property acquired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including patents and trademarks. The intangible assets acquired from Biocept are capitalized and amortized over a useful life of four years.</w:t>
      </w:r>
    </w:p>
    <w:p>
      <w:pPr>
        <w:spacing w:after="0" w:line="329" w:lineRule="exact"/>
        <w:rPr>
          <w:sz w:val="20"/>
          <w:szCs w:val="20"/>
          <w:color w:val="auto"/>
        </w:rPr>
      </w:pPr>
    </w:p>
    <w:p>
      <w:pPr>
        <w:ind w:left="860" w:hanging="852"/>
        <w:spacing w:after="0"/>
        <w:tabs>
          <w:tab w:leader="none" w:pos="8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The Company has authorized 5,000,000 shares of preferred stock, par value $0.001 per share. The Company’s board of directors is authorized to designate the terms and conditions of any preferred stock the Company issues without further action by the common stockholders.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Series B and C Preferred Stock</w:t>
      </w:r>
    </w:p>
    <w:p>
      <w:pPr>
        <w:spacing w:after="0" w:line="11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As of June 30, 2025, there were 938 outstanding shares of Series C Preferred Stock that can be converted into an aggregate of 27,792 shares of common stock, and 1,014 shares of Series B Convertible Preferred Stock that can be converted into an aggregate of 398 shares of common stock.</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February 2025 SPEA Agreements</w:t>
      </w:r>
    </w:p>
    <w:p>
      <w:pPr>
        <w:spacing w:after="0" w:line="119"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On February 13, 2025 (the “February 2025 Closing Date”), the Company entered into a Securities Purchase and Exchange Agreement (the “February 2025 SPEA”) with certain existing accredited investors (the “February 2025 Purchasers”). Pursuant to the February 2025 SPEA, on the February 2025 Closing Date the Company issued secured convertible promissory notes (the “Funding Notes”) in the aggregate principal amount of $3.3 million together with common stock purchase warrants (the “February 2025 Warrants”) to purchase 3,002,009 shares of the Company common stock, par value $0.001 and exercise price of $1.12 per share (the “February 2025 Warrant Exercise Price”). The aggregate purchase price for the Funding Notes and the February 2025 Warrants was approximately $3.7 million (the “Aggregate Purchase Price”) and included proceeds from the February 2025 Purchasers of $0.125 per February 2025 Warrant in accordance with Nasdaq listing rules. The Funding Notes would mature on February 13, 2026, and bore interest at a rate of 10% per annum, subject to increase upon events of default. The February 2025 Warrants were exercisable for five-years from the date of issuance.</w:t>
      </w:r>
    </w:p>
    <w:p>
      <w:pPr>
        <w:spacing w:after="0" w:line="80"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The Funding Notes, accrued interest and February 2025 warrants were repurchased by the Company subsequent to consummation of the March 2025 Private Placement for proceeds of $4.2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Security Interest</w:t>
      </w:r>
    </w:p>
    <w:p>
      <w:pPr>
        <w:spacing w:after="0" w:line="119"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The obligations of the Company under the February 2025 SPEA, Funding Notes and Exchange Notes (as defined below) were secured by a pledge of substantially all of the assets of the Company pursuant to a security agreement, dated as of the February 2025 Closing Date, among the Company, CNSide Diagnostics, LLC (a subsidiary of the Company, “CNSide Diagnostics”), and Iroquois Master Fund Ltd., as collateral agent for the February 2025 Purchasers (the “Security Agreement”), subject to certain exceptions. The Security Agreement contained certain customary affirmative and negative covenants, including limitations on the Company’s and CNSide Diagnostic’s ability to dispose of assets, subject to customary exceptions. The repayment of the Company’s obligations under the February 2025 SPEA and Notes were guaranteed pursuant to a subsidiary guarantee, dated as of the February 2025 Closing Date (the “Subsidiary Guarantee”), by and among CNSide Diagnostics and the February 2025 Purchasers. The Security Agreement and the Subsidiary Guarantee were subsequently terminated after the closing of the private placement pursuant to the March 2025 SPA (as defined below).</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Exchange Notes</w:t>
      </w:r>
    </w:p>
    <w:p>
      <w:pPr>
        <w:spacing w:after="0" w:line="119" w:lineRule="exact"/>
        <w:rPr>
          <w:sz w:val="20"/>
          <w:szCs w:val="20"/>
          <w:color w:val="auto"/>
        </w:rPr>
      </w:pPr>
    </w:p>
    <w:p>
      <w:pPr>
        <w:jc w:val="both"/>
        <w:ind w:left="520"/>
        <w:spacing w:after="0" w:line="253" w:lineRule="auto"/>
        <w:rPr>
          <w:sz w:val="20"/>
          <w:szCs w:val="20"/>
          <w:color w:val="auto"/>
        </w:rPr>
      </w:pPr>
      <w:r>
        <w:rPr>
          <w:rFonts w:ascii="Times New Roman" w:cs="Times New Roman" w:eastAsia="Times New Roman" w:hAnsi="Times New Roman"/>
          <w:sz w:val="18"/>
          <w:szCs w:val="18"/>
          <w:color w:val="auto"/>
        </w:rPr>
        <w:t>As disclosed below, the Company entered into the May 2024 Purchase Agreement (defined below), with the May 2024 Purchasers for the private placement of securities, including the May 2024 Series A Warrants to purchase an aggregate of up to 3,591,532 shares of common stock. The May 2024 Purchase Agreement included certain limitations and restrictions on the Company’s ability to issue securities and provided the May 2024 Purchasers and the other investors signatories to the May 2024 Purchase Agreement participation rights in future equity and equity-linked offerings of securities, subject to certain limited exceptions (the “Financing Restrictions”). On the February 2025 Closing Date, pursuant to the February 2025 SPEA, the Company issued to the May 2024 Purchasers secured convertible promissory notes in the aggregate amount of $3.2 million (the “Exchange Notes”) in exchange for cancellation of the May 2024 Series A Warrants held by the May 2024 Purchasers, and the May 2024 Purchasers entered into a second amendment to the May 2024 Purchase Agreement to eliminate the Financing Restrictions. The terms and conditions of the Exchange Notes were substantially identical in all material respects to the Funding Notes. The Security Agreement and Subsidiary Guarantee also applied to the obligations under the Exchange Notes. The Exchange Notes were exchanged after the closing of the March 2025 Private Placement as defined below.</w:t>
      </w:r>
    </w:p>
    <w:p>
      <w:pPr>
        <w:spacing w:after="0" w:line="84"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Both the Funding Notes and the Exchange Notes contained embedded conversion features that were required to be bifurcated and accounted for as derivative liabilities. The Company evaluated authoritative guidance for accounting for convertible debt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instruments and elected to account for the Funding Notes and Exchange Notes at fair value. Consequently, the Company recorded the Funding Notes and Exchange Notes in their entirety at fair value at issuance and immediately before settlement, with changes in fair value recorded as change in fair value of derivative instruments in the condensed consolidated statements of operations between the issuance date and the settlement date.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the transaction due to immediate funding requirements. Under authoritative guidance, if the fair value of a warrant liability exceeds the proceeds received in an arm’s length transaction with no rights or privileges that require separate accounting recognition as an asset identified, then the warrant liability is recorded at fair value with the excess of fair value over proceeds recognized as a loss in earnings. The Exchange Notes, Funding Notes and associated warrants were recorded at fair value on the issuance date at $3.8 million, $4.0 million and $2.7 million, respectively. The excess of the fair value of the instruments issued over cash received of $3.7 million and the carrying value of the May 2024 Series A Warrants exchanged of $3.7 million, in the amount of $3.1 million was recorded as a financing expense in the statement of operations for the six months ended June 30, 2025.</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fair value of Exchange Notes, Funding Notes and February 2025 Warrants between issuance date and settlement date, in the amount of a gain of $0.3 million, a gain of $0.3 million and a gain of $2.2 million, respectively, were recorded as change in the fair value of derivative instruments in the statement of operations for the three and six months ended June 30,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2025 Private Placement</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4, 2025, the Company entered into a securities purchase agreement (the “March 2025 SPA”) with accredited investors, including certain existing stockholders of the Company (collectively, the “March 2025 Private Placement Purchasers”) for a private placement of securities (the “March 2025 Private Placement”). The March 2025 SPA, provides for the sale and issuance by the Company of an aggregate of 28,042,140 shares (the “March 2025 Private Placement Shares”) of the Company’s common stock, or, at the election of each March 2025 Private Placement Purchaser, pre-funded warrants to purchase Common Stock (the “March 2025 Pre-Funded Warrants”), exercisable immediately at an exercise price of $0.001 per share (the “March 2025 Pre-Funded Warrant Shares”), with each March 2025 Private Placement Share or March 2025 Pre-Funded Warrant accompanied by (i) a Series A common warrant (the “March 2025 Series A Warrants”) to purchase one share of common stock (the “March 2025 Series A Warrant Shares”), and (ii) one Series B common warrant (the “March 2025 Series B Warrants”) to purchase one share of common stock (see below for additional details on the Series B Warrants cashless exercise provisions) (the “March 2025 Series B Warrant Shares,” and together with the March 2025 Series A Warrant Shares, the “March 2025 Common Warrant Shares”). The March 2025 Private Placement Shares, March 2025 Pre-Funded Warrants, March 2025 Pre-Funded Warrant Shares, March 2025 Series A Warrants, March 2025 Series B Warrants, and the March 2025 Common Warrant Shares are collectively referred to herein as the “March 2025 Securities.” Pursuant to the March 2025 SPA, the Company issued to the March 2025 Private Placement Purchasers 4,069,738 March 2025 Private Placement Shares, 23,972,400 March 2025 Pre-Funded Warrants, 28,042,138 March 2025 Series A Warrants and 28,042,138 March 2025 Series B Warrants.</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purchase price of $0.66 for each March 2025 Private Placement Share or $0.659 for each March 2025 Pre-Funded Warrant in the March 2025 Private Placement, together with one accompanying March 2025 Series A Warrant and one accompanying March 2025 Series B Warrant, represents the applicable “Minimum Price” in accordance with Nasdaq Rule 5635(d).</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initial exercise price of each March 2025 Series A Warrant issued in the March 2025 Private Placement is $1.32 per share of common stock. The March 2025 Series A Warrants are exercisable only following stockholder approval and expire five (5) years thereafter. The March 2025 Series A Warrants are subject to certain price reset, share combination event and anti-dilution provisions which, if triggered, provide that the number of shares issuable upon exercise of the March 2025 Series A Warrants will downward adjust, subject to a floor price of $0.132 (the “Floor Price”), and the number of shares issuable upon exercise therefor will increase such that the aggregate exercise price remains unchanged. The March 2025 Series A Warrants were extinguished as part of the Letter Agreement on June 17, 2025 as discussed below.</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initial exercise price of each March 2025 Series B Warrant issued in the March 2025 Private Placement is $1.98 per share of common stock. The March 2025 Series B Warrants are exercisable only following stockholder approval and expire two and one-half (2.5) years thereafter. The March 2025 Series B Warrants are subject to certain price reset and share combination event provisions which, if triggered, provide that the number of shares issuable upon exercise of the March 2025 Series B Warrants will downward adjust, subject to the Floor Price, and the number of shares issuable upon exercise therefor will increase such that the aggregate exercise price remains unchanged. In addition, the March 2025 Series B Warrant alternative cashless exercise provision provides that the March 2025 Series B Warrant can be exercised without further payment to the Company and for three times the number of shares of common stock then subject to the March 2025 Series B Warrant.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March 2025 Pre-Funded Warrants will be exercisable from the date of issuance until exercised in full. The March 2025 Pre-Funded Warrants, March 2025 Series A Warrants and March 2025 Series B Warrants may not be exercised to the extent that immediately following such exercise, the holder would beneficially own greater than 4.99% (or, at the election of the holder, greater than 9.99%) of the Company’s outstanding common stock.</w:t>
      </w:r>
    </w:p>
    <w:p>
      <w:pPr>
        <w:spacing w:after="0" w:line="18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93"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March 2025 Private Placement, the Company issued 3,077,270 shares of common stock, 19,650,000 shares of March 2025 Pre-Funded Warrants in lieu thereof, and accompanying 22,727,270 March 2025 Series A Warrants and 22,727,270 March 2025 Series B Warrants in consideration of new capital subscriptions. In addition, the Company issued 992,468 shares of common stock, 4,322,400 March 2025 Pre-Funded Warrants in lieu thereof, and accompanying 5,314,870 March 2025 Series A Warrants and 5,314,870 March 2025 Series B Warrants, were issued in exchange for the cancelation of approximately $3.2 million in aggregate principal amount of the Exchange Notes.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evaluated the terms of the February 2025 Warrants, March 2025 Series A Warrants and March 2025 Series B Warrants under authoritative guidance and concluded that each of the instruments should be accounted for as a liability instrument at fair value at issuance and each subsequent balance sheet date until settlement, with changes in the fair value recorded in the condensed consolidated statement of operations. The March 2025 Pre-Funded Warrants meet the criteria to be recorded as equity in the Company's condensed consolidated balance sheet.</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March 2025 Private Placement closed on March 7, 2025 (the “March 2025 Closing Date”). The aggregate gross proceeds at the March 2025 Closing Date totaled approximately $15.0 million. The gross proceeds, along with the fair value of the February 2025 Warrants of $0.5 million and Exchange Notes of $3.5 million as of the settlement date of March 4, 2025, were first allocated to the warrant liability instruments at their full fair value, totaling $13.2 million, with the remainder of $5.8 million recorded to common stock and additional paid-in capital in equity of the condensed consolidated balance sheet. Total offering expenses of $1.4 million were allocated based on the allocated amount of proceeds to warrant liabilities and equity, with $1.0 million recorded as warrant issuance expenses and expensed as incurred, and the remaining $0.4 million recorded as common stock issuance costs in additional paid-in capital.</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March 2025 Private Placement transaction, the Company entered into a registration rights agreement with the March 2025 Private Placement Purchasers (the “Registration Rights Agreement”). In accordance with the Registration Rights Agreement, the Company is required to file a registration statement to register the common stock, pre-funded warrants and warrants issued in connection with the March 2025 Private Placement. If the Company fails to do so within certain specified criteria, the Company could be obligated to pay 1% (and up to 6% under certain circumstances) of proceeds raised as liquidated damages to the March 2025 Private Placement Purchasers. The Company recorded no liability as of June 30, 2025 for such potential liquidated damages payment.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 2025, the Company’s stockholders approved, among other things, the March 2025 Series A Warrants and March 2025 Series B Warrants, and an amendment to the Company’s Certificate of Incorporation, as amended, to increase the authorized share capital of the Company to an amount sufficient to cover the shares of common stock issuable upon the exercise of the March 2025 Series A Warrants and March 2025 Series B Warrants. As part of the March 2025 Series A Warrants and March 2025 Series B Warrants agreement, the exercise price of the March 2025 Series A Warrants and March 2025 Series B Warrants were both reset on May 19, 2025 to $0.4373 per share. Prior to modification of the March 2025 Series B Warrants as part of the Letter Agreement (as further described below), certain March 2025 Series B Warrants were cashless exercised for the issuance of 21,482,492 shares of common stock The liability classified March 2025 Series B Warrants were remeasured immediately prior to exercise, which resulted in a $3.8 million gain on change in fair value for the three and six months ended June 30, 2025, and a $0.8 million credit to additional paid-in capital.</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2025, the Company and the March 2025 Private Placement Purchasers entered into a letter agreement (the “Letter Agreement”) with each of the March 2025 Private Placement Purchasers in an effort to, among other items, minimize the dilutive impact of the March 2025 Private Placement. The Letter Agreement extinguished the March 2025 Series A Warrants, modified the March 2025 Series B Warrants, and provided for the return and cancellation of Private Placement Shares and Pre-Funded Warrants, as further discussed in the following paragraphs.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Letter Agreement, all March 2025 Series A Warrants were cancelled. As of March 31, 2025, the fair value of the March 2025 Series A Warrant liability was $5.0 million. On June 17, 2025, the March 2025 Series A Warrants were immediately remeasured to fair value prior to their cancellation, which resulted in a $2.7 million gain on change in fair value attributable to the March 2025 Series A Warrants for the three and six months ended June 30, 2025. The extinguishment of the March 2025 Series A Warrants was recognized as a $2.3 million capital contribution and recorded to additional paid-in capital, as the extinguishment was deemed equivalent to a capital contribution by existing shareholders of the Company.</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same transaction, the March 2025 Series B Warrants were amended (the "Amended March 2025 Series B Warrants"), to (a) reduce the overall number of March 2025 Series B Warrant Shares issuable upon exercise of the Series B Warrants to an aggregate of up to 35,536,380 Series B Warrant Shares, (b) reduce the alternative cashless exercise ratio in such March 2025 Series B Warrants from 3:1 to 1:1, (c) remove provisions contained in the March 2025 Series B Warrants that would otherwise reduce the Company’s stockholders’ equity, and (d) reset the exercise price of the Amended March 2025 Series B Warrants back to $1.98 per share. As a result of the Letter Agreement, the Amended March 2025 Series B Warrants no longer fail the indexation guidance under ASC 815, Derivatives and Hedging, resulting in a reclassification from liability to equity. Immediately prior to</w:t>
      </w:r>
    </w:p>
    <w:p>
      <w:pPr>
        <w:spacing w:after="0" w:line="18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93"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reclassification, the March 2025 Series B Warrant liability was remeasured, and $4.5 million was recognized as a capital contribution and recorded to additional paid-in capital, as the modification of the March 2025 Series B Warrants was deemed equivalent to a capital contribution by existing shareholders of the Company. The remeasured fair value of the March 2025 Series B warrant liability, in the amount of $11.0 million was reclassified to equity. After the June 17, 2025 modification, 34,794,540 of the Amended March 2025 Series B Warrants were cashless exercised resulting in the issuance of 34,794,540 shares of common stock.</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Lastly, in conjunction with the Letter Agreement, each of the March 2025 Private Placement Purchasers agreed to return an aggregate of 12,241,986 Private Placement Shares and Pre-Funded Warrants issuable for an aggregate of 10,633,650 Pre-Funded Warrant Shares, held by them as of the date of the Letter Agreement, upon request of the Company (the "Letter Agreement Repurchase Option"), which were issued pursuant to the March 2025 Private Placement Purchase Agreement for a value of $0.66 per Private Placement Share and $0.659 per Pre-Funded Warrant. In exchange therefor, the Company agreed to repay the March 2025 Private Placement Purchasers holding such securities 115% of such value, using 90% of the proceeds from any capital raised by the Company subsequent to July 1, 2025. The Company and each of the March 2025 Private Placement Purchasers also agreed to waive any restrictions on subsequent equity sales and variable rate transactions contained in March 2025 Private Placement Purchase Agreement to allow for such repayment. As of June 30, 2025, the Company had not elected to repurchase any shares from the March 2025 Private Placement Purchasers under the terms of the Letter Agreement and therefore, there is no liability recorded as of June 30, 2025 related to this Letter Agreement Repurchase Option.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Amendment to the February 2025 SPEA</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entering into the March 2025 SPA, the Company entered into that certain First Amendment to the February 2025 SPEA (the “First Amendment”). The February 2025 SPEA included certain limitations and restrictions on the Company’s ability to issue securities and provided the investors with participation rights in future equity and equity-linked offerings of securities, subject to certain limited exceptions (the “New Financing Restrictions”). Pursuant to the First Amendment, subject to consummation of the March 2025 Private Placement, the Company agreed to repurchase from the Investors $3.4 million in principal amount of the Company’s Funding Notes and accrued interest, along with the February 2025 Warrants issued pursuant to the February 2025 SPEA for an aggregate purchase price of $4.2 million. In exchange for the repurchase by the Company of the Funding Notes and SPEA Warrants, the February 2025 Purchasers agreed to consent to the March 2025 Private Placement and eliminate the New Financing Restrictions.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5, 2024, the Company entered into a securities purchase agreement (the “May 2024 Securities Purchase Agreement”) with certain investors, including certain of the Company’s directors and executive officers (“Company Insiders”) (collectively, the “May 2024 Purchasers”), for the sale and issuance by the Company of its securities (the “Initial Subscription”). On May 8, 2024, the Company entered into a first amendment to the May 2024 Securities Purchase Agreement (together with the May 2024 Securities Purchase Agreement, the “May 2024 Purchase Agreement”), for the sale and issuance by the Company of additional securities to two of the May 2024 Purchasers (the “Additional Subscription,” and together with the Initial Subscription, the “May 2024 Private Placement”). The May 2024 Purchase Agreement provides for the sale and issuance by the Company of an aggregate of 3,591,532 shares (the “May 2024 Private Placement Shares”) of the Company’s common stock or, at the election of each May 2024 Purchaser, Pre-Funded warrants (the “May 2024 Pre-Funded Warrants”), exercisable immediately at an exercise price of $0.001 per share, with each May 2024 Private Placement Share or May 2024 Pre-Funded Warrant accompanied by (i) a May 2024 Series A common warrant (“May 2024 Series A Warrants”) to purchase one share of common stock, for an aggregate of 3,591,532 May 2024 Series A Warrants, and (ii) one May 2024 Series B common warrant (“May 2024 Series B Warrants”) to purchase one share of common stock, for an aggregate of 3,591,532 May 2024 Series B Warrants.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combined purchase price for each May 2024 Private Placement Share and May 2024 Pre-Funded Warrant from the Initial Subscription was $2.022, and $2.158 from the Additional Subscription, in each case together with one accompanying May 2024 Series A Warrant and one accompanying May 2024 Series B Warrant provided, that the Company Insiders participated in the Initial Subscription at an offering price of $2.04 per May 2024 Private Placement Share and accompanying May 2024 Series A Warrant and May 2024 Series B Warrant.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price of May 2024 Series A Warrants and May 2024 Series B Warrants from the Initial Subscription is $1.772 per share from the Initial Subscription and $1.908 per share from the Additional Subscription, provided that the exercise price for the May 2024 Series A Warrants and May 2024 Series B Warrants issued to the Company Insiders is $1.79 per share. Subject to certain ownership limitations, the May 2024 Series A Warrants will be exercisable until May 9, 2029, which is the five-year anniversary of issuance. Subject to certain ownership limitations, the May 2024 Series B Warrants will be exercisable until May 9, 2029. The May 2024 Pre-Funded Warrant will not expire until exercised in full.</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Amendment and Restatements (as defined below), if a holder of a May 2024 Series A Warrant or a May 2024 Series B Warrant was unable to exercise the warrant due to the limitation contained in the warrant that restricts the holder from owning above a specified beneficial ownership level (generally 4.99% or 9.99%) as the result of exercise of the warrant, then the holder</w:t>
      </w:r>
    </w:p>
    <w:p>
      <w:pPr>
        <w:spacing w:after="0" w:line="28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93"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had the right to elect upon exercise of the warrant to receive a May 2024 Pre-Funded Warrant for the same number of shares of common stock that would otherwise have been received upon exercise of the warrant. In addition, prior to the Amendment and Restatements, the May 2024 Series A Warrants and May 2024 Series B Warrants provided for a call right starting June 24, 2025, in favor of the Company, if the volume-weighted average price of the shares of common stock exceeds specified prices.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May 2024 Private Offering closed on May 9, 2024. The Company issued 1,439,988 shares of common stock, 2,151,544 May 2024 Pre-Funded Warrants, 3,591,532 May 2024 Series A Warrants and 3,591,532 May 2024 Series B Warrants to purchase shares of its common stock in connection with the May 2024 Private Placement. The net proceeds from the May 2024 Private Placement were approximately $7.3 million.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reviewed the terms of the May 2024 Pre-Funded Warrants, May 2024 Series A Warrants and May 2024 Series B Warrants under the authoritative accounting guidance as of the issuance date.</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described above, the May 2024 Series A Warrants and May 2024 Series B Warrants were initially classified as liabilities for the reason that they could have been exercised into either shares of common stock or May 2024 Pre-Funded Warrants at the holder’s option and thus failed the indexation guidance under ASC 815, Derivatives and Hedging. </w:t>
      </w:r>
      <w:r>
        <w:rPr>
          <w:rFonts w:ascii="Times New Roman" w:cs="Times New Roman" w:eastAsia="Times New Roman" w:hAnsi="Times New Roman"/>
          <w:sz w:val="18"/>
          <w:szCs w:val="18"/>
          <w:color w:val="222222"/>
        </w:rPr>
        <w:t>The</w:t>
      </w:r>
      <w:r>
        <w:rPr>
          <w:rFonts w:ascii="Times New Roman" w:cs="Times New Roman" w:eastAsia="Times New Roman" w:hAnsi="Times New Roman"/>
          <w:sz w:val="18"/>
          <w:szCs w:val="18"/>
          <w:color w:val="auto"/>
        </w:rPr>
        <w:t xml:space="preserve"> May 2024 </w:t>
      </w:r>
      <w:r>
        <w:rPr>
          <w:rFonts w:ascii="Times New Roman" w:cs="Times New Roman" w:eastAsia="Times New Roman" w:hAnsi="Times New Roman"/>
          <w:sz w:val="18"/>
          <w:szCs w:val="18"/>
          <w:color w:val="222222"/>
        </w:rPr>
        <w:t>Series A Warrant and</w:t>
      </w:r>
      <w:r>
        <w:rPr>
          <w:rFonts w:ascii="Times New Roman" w:cs="Times New Roman" w:eastAsia="Times New Roman" w:hAnsi="Times New Roman"/>
          <w:sz w:val="18"/>
          <w:szCs w:val="18"/>
          <w:color w:val="auto"/>
        </w:rPr>
        <w:t xml:space="preserve"> May 2024 </w:t>
      </w:r>
      <w:r>
        <w:rPr>
          <w:rFonts w:ascii="Times New Roman" w:cs="Times New Roman" w:eastAsia="Times New Roman" w:hAnsi="Times New Roman"/>
          <w:sz w:val="18"/>
          <w:szCs w:val="18"/>
          <w:color w:val="222222"/>
        </w:rPr>
        <w:t>Series B Warrant liability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initially recorded at fair value as of the issuance date, and under the terms of the </w:t>
      </w:r>
      <w:r>
        <w:rPr>
          <w:rFonts w:ascii="Times New Roman" w:cs="Times New Roman" w:eastAsia="Times New Roman" w:hAnsi="Times New Roman"/>
          <w:sz w:val="18"/>
          <w:szCs w:val="18"/>
          <w:color w:val="000000"/>
        </w:rPr>
        <w:t>May 2024</w:t>
      </w:r>
      <w:r>
        <w:rPr>
          <w:rFonts w:ascii="Times New Roman" w:cs="Times New Roman" w:eastAsia="Times New Roman" w:hAnsi="Times New Roman"/>
          <w:sz w:val="18"/>
          <w:szCs w:val="18"/>
          <w:color w:val="222222"/>
        </w:rPr>
        <w:t xml:space="preserve"> Series A Warrants and </w:t>
      </w:r>
      <w:r>
        <w:rPr>
          <w:rFonts w:ascii="Times New Roman" w:cs="Times New Roman" w:eastAsia="Times New Roman" w:hAnsi="Times New Roman"/>
          <w:sz w:val="18"/>
          <w:szCs w:val="18"/>
          <w:color w:val="000000"/>
        </w:rPr>
        <w:t>May 2024</w:t>
      </w:r>
      <w:r>
        <w:rPr>
          <w:rFonts w:ascii="Times New Roman" w:cs="Times New Roman" w:eastAsia="Times New Roman" w:hAnsi="Times New Roman"/>
          <w:sz w:val="18"/>
          <w:szCs w:val="18"/>
          <w:color w:val="222222"/>
        </w:rPr>
        <w:t xml:space="preserve"> Series B Warrants when issued that liability was subject to adjustment to estimated fair value at each balance sheet date until the warrants were settled. R</w:t>
      </w:r>
      <w:r>
        <w:rPr>
          <w:rFonts w:ascii="Times New Roman" w:cs="Times New Roman" w:eastAsia="Times New Roman" w:hAnsi="Times New Roman"/>
          <w:sz w:val="18"/>
          <w:szCs w:val="18"/>
          <w:color w:val="000000"/>
        </w:rPr>
        <w:t>efer below for</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additional information regarding the amendment of the May 2024 Series A Warrants and May 2024 Series B Warrants that eliminated the ability of the May 2024 Series A Warrants and May 2024 Series B Warrants to be exercised into Pre-Funded Warrants, and as a result, the reclassification of the May 2024 Series A and B Warrants from liability to equity section of the consolidated balance sheet.</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May 2024 Pre-Funded Warrants are equity classified because they (1) are freestanding financial instruments that are legally detachable and separately exercisable from the common stock, (2) are immediately exercisable, (3) do not embody an obligation for the Company to repurchase its shares, (4) permit the holder to receive a fixed number of shares of common stock upon exercise, (5) are indexed to the Company’s common stock and (6) meet the equity classification criteria.</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22222"/>
        </w:rPr>
        <w:t>he proceeds from the May 2024 Private Placement were first allocated to the full fair value of the</w:t>
      </w:r>
      <w:r>
        <w:rPr>
          <w:rFonts w:ascii="Times New Roman" w:cs="Times New Roman" w:eastAsia="Times New Roman" w:hAnsi="Times New Roman"/>
          <w:sz w:val="18"/>
          <w:szCs w:val="18"/>
          <w:color w:val="auto"/>
        </w:rPr>
        <w:t xml:space="preserve"> May 2024 Series A Warrants and May 2024 Series B Warrants </w:t>
      </w:r>
      <w:r>
        <w:rPr>
          <w:rFonts w:ascii="Times New Roman" w:cs="Times New Roman" w:eastAsia="Times New Roman" w:hAnsi="Times New Roman"/>
          <w:sz w:val="18"/>
          <w:szCs w:val="18"/>
          <w:color w:val="222222"/>
        </w:rPr>
        <w:t>due to the initial liability classification. As disclosed in Note 4, Fair Value Measurements, the fair value of the</w:t>
      </w:r>
      <w:r>
        <w:rPr>
          <w:rFonts w:ascii="Times New Roman" w:cs="Times New Roman" w:eastAsia="Times New Roman" w:hAnsi="Times New Roman"/>
          <w:sz w:val="18"/>
          <w:szCs w:val="18"/>
          <w:color w:val="auto"/>
        </w:rPr>
        <w:t xml:space="preserve"> May 2024 </w:t>
      </w:r>
      <w:r>
        <w:rPr>
          <w:rFonts w:ascii="Times New Roman" w:cs="Times New Roman" w:eastAsia="Times New Roman" w:hAnsi="Times New Roman"/>
          <w:sz w:val="18"/>
          <w:szCs w:val="18"/>
          <w:color w:val="222222"/>
        </w:rPr>
        <w:t>Series</w:t>
      </w:r>
      <w:r>
        <w:rPr>
          <w:rFonts w:ascii="Times New Roman" w:cs="Times New Roman" w:eastAsia="Times New Roman" w:hAnsi="Times New Roman"/>
          <w:sz w:val="18"/>
          <w:szCs w:val="18"/>
          <w:color w:val="auto"/>
        </w:rPr>
        <w:t xml:space="preserve"> A Warrants and May 2024 Series B Warra</w:t>
      </w:r>
      <w:r>
        <w:rPr>
          <w:rFonts w:ascii="Times New Roman" w:cs="Times New Roman" w:eastAsia="Times New Roman" w:hAnsi="Times New Roman"/>
          <w:sz w:val="18"/>
          <w:szCs w:val="18"/>
          <w:color w:val="222222"/>
        </w:rPr>
        <w:t>nts at issuance was $10.9 million. Under authoritative guidance, if the fair value of a warrant 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exceeds the proceeds received in an arm’s length transaction with no rights or privileges that require separate accounting recognition as an asset identified, then the warrant liability is recorded at fair value with the excess of fair value over proceeds recognized as a loss in earnings. The Company recognized approximately $3.5 million in financing expense in the consolidated statement of operations during year ended December 31, 2024, which represents the excess of the fair value of the </w:t>
      </w:r>
      <w:r>
        <w:rPr>
          <w:rFonts w:ascii="Times New Roman" w:cs="Times New Roman" w:eastAsia="Times New Roman" w:hAnsi="Times New Roman"/>
          <w:sz w:val="18"/>
          <w:szCs w:val="18"/>
          <w:color w:val="000000"/>
        </w:rPr>
        <w:t>May 2024</w:t>
      </w:r>
      <w:r>
        <w:rPr>
          <w:rFonts w:ascii="Times New Roman" w:cs="Times New Roman" w:eastAsia="Times New Roman" w:hAnsi="Times New Roman"/>
          <w:sz w:val="18"/>
          <w:szCs w:val="18"/>
          <w:color w:val="222222"/>
        </w:rPr>
        <w:t xml:space="preserve"> Series A Warrants and </w:t>
      </w:r>
      <w:r>
        <w:rPr>
          <w:rFonts w:ascii="Times New Roman" w:cs="Times New Roman" w:eastAsia="Times New Roman" w:hAnsi="Times New Roman"/>
          <w:sz w:val="18"/>
          <w:szCs w:val="18"/>
          <w:color w:val="000000"/>
        </w:rPr>
        <w:t>May 2024</w:t>
      </w:r>
      <w:r>
        <w:rPr>
          <w:rFonts w:ascii="Times New Roman" w:cs="Times New Roman" w:eastAsia="Times New Roman" w:hAnsi="Times New Roman"/>
          <w:sz w:val="18"/>
          <w:szCs w:val="18"/>
          <w:color w:val="222222"/>
        </w:rPr>
        <w:t xml:space="preserve"> Series B Warrants at issuance over the proceeds. During the year ended December 31, 2024, the Company recognized a fair value gain on warrant liability of $5.7 million. Proceeds from the May 2024 Private Placement are shown as cash from financing transactions and the gain on warrant liability is included as an adjustment to reconcile the net loss to net cash used in operating activities in the consolidated statements of cash flows for the year ended December 31, 2024.</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total offering expenses related to the May 2024 Private Placement of $0.4 million were recorded as a component of other expenses as the entire proceeds were allocated to the warrant liability, which, prior to the amendment described below, could be settled with either the Company’s shares of common stock or May 2024 Pre-Funded Warrants, which are exercisable into the Company’s shares of common stock at any time at the holders’ option, but not in cash payment to the holders.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Restatement of May 2024 Series A Warrants and May 2024 Series B Warrants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9, 2024, the Company amended and restated the May 2024 Series A Warrants and May 2024 Series B Warrants (the “Amendment and Restatements”) issued in the May 2024 Private Placement. The Amendment and Restatements eliminated the ability of the holders of the May 2024 Series A Warrants and May 2024 Series B Warrants to elect to purchase Pre-Funded Warrants upon exercise of the May 2024 Series A Warrants and May 2024 Series B Warrants in lieu of shares of common stock if the holder would have been restricted because of the specified beneficial ownership level in the May 2024 Series A Warrants and May 2024 Series B Warrants.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Amendment and Restatements eliminated the Company’s call right under the terms of the May 2024 Series A Warrants to call the May 2024 Series A Warrants after June 24, 2025, if the volume-weighted average price of shares of common stock exceeded specified prices. There were no other changes in the terms of the May 2024 Series A Warrants and May 2024 Series B Warrants.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Amendment and Restatements, the May 2024 Series A Warrants and May 2024 Series B Warrants, as amended, no longer fail the indexation guidance under ASC 815, Derivatives and Hedging, and the fair value of the warrant liability at the amendment date, in the amount of $5.2 million, was reclassified to equity.</w:t>
      </w:r>
    </w:p>
    <w:p>
      <w:pPr>
        <w:spacing w:after="0" w:line="28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Lincoln Park Purchase Agreement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17, 2025, the Company entered into a purchase agreement (the “Lincoln Park Purchase Agreement”) and a registration rights agreement (the “Registration Rights Agreement”) with Lincoln Park Capital Fund, LLC (“Lincoln Park”), pursuant to which the Company has the right, but not the obligation, to sell to Lincoln Park, and Lincoln Park committed to purchase up to $50.0 million of shares of the Company’s common stock, $0.001 par value per share. Such sales of common stock by the Company are subject to certain limitations and conditions set forth in the Lincoln Park Purchase Agreement including, but not limited to, the filing and effectiveness of a registration statement (a "Lincoln Park Registration Statement"). On June 23, 2025, the initial Lincoln Park Registration Statement was declared effective to cover the resale of up to 17,000,000 shares reserved for issuance and sale under the Lincoln Park Purchase Agreement.</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Lincoln Park Purchase Agreement, on any business day selected by the Company over the 36-month period commencing on June 23, 2025 (the "Purchase Date"), the Company may direct Lincoln Park to purchase up to 300,000 shares of common stock on such Purchase Date, so long as the closing stock price on The Nasdaq Capital Market is not below $0.10 on the applicable Purchase Date (a “Regular Purchase”); provided, however, that (i) a Regular Purchase may be increased to up to 400,000 shares, if the closing sale price per share of the common stock on The Nasdaq Capital Market is not below $0.50 on the applicable Purchase Date; and (ii) a Regular Purchase may be increased to up to 500,000 shares, if the closing sale price per share of the common stock on The Nasdaq Capital Market is not below $0.75 on the applicable Purchase Date. In any case, Lincoln Park’s maximum obligation under any single Regular Purchase will not exceed $1.0 million. The above-referenced share amount limitations and closing sale price thresholds are subject to adjustment for any reorganization, recapitalization, non-cash dividend, stock split, reverse stock split or other similar transaction as provided in the Purchase Agreement. The purchase price per share for each such Regular Purchase will be 97% of the lesser of: (i) the lowest sale price for the common stock on The Nasdaq Capital Market on the date of sale, and (ii) the average of the three lowest closing sale prices for the common stock on The Nasdaq Capital Market during the 10 consecutive business days ending on the business day immediately preceding the purchase date.</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has the right to direct Lincoln Park, on any business day on which the Company has properly submitted a Regular Purchase notice for the maximum amount the Company is then permitted to sell to Lincoln Park in such Regular Purchase, to purchase an additional amount of the common stock (an “Accelerated Purchase”) of additional shares based on criteria established in the Lincoln Park Purchase Agreement. The purchase price per share for each such Accelerated Purchase will be 96.5% of the lesser of: (i) the volume weighted average price ("VWAP") during a specific time window on the Accelerated Purchase date as defined in the Lincoln Park Purchase Agreement, and (ii) the closing sale price of the Company’s common stock on The Nasdaq Capital Market on the same Accelerated Purchase date.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Regular Purchase and Accelerated Purchase, the Company can sell to Lincoln Park an additional amount of common stock (an "Additional Accelerated Purchases"), which can be initiated multiple times on the same Additional Accelerated Purchase date. The purchase price per share for each such Additional Accelerated Purchase will be 96.5% of the lesser of: (i) the VWAP during a specific time windows on the Additional Accelerated Purchase date as defined in the Lincoln Park Purchase Agreement, and (ii) the closing sale price of the Company’s common stock on The Nasdaq Capital Market on the same Additional Accelerated Purchase date.</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sales of shares of common stock to Lincoln Park through a Regular Purchase, an Accelerated Purchase and an Additional Accelerated Purchases, depend upon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Lincoln Park Purchase Agreement to the Company depend on the frequency and prices at which the Company sells shares of its stock to Lincoln Park.</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Lincoln Park Purchase Agreement, the Company is required to pay Lincoln Park an initial commitment fee of $0.5 million, which it may elect to pay in cash or shares of its common stock, or a combination of cash and shares of its common stock. The initial commitment fee will be recorded as a financing commitment when paid, and subsequently allocated to the issuance of shares in future sales of common stock under the Lincoln Park Purchase Agreement. The Company has agreed to pay an additional commitment fee of $0.5 million, which it may elect to pay in cash or shares of its common stock, or a combination of cash and shares of its common stock, upon receipt of $25.0 million aggregate gross proceeds from sales of common stock to Lincoln Park under the Lincoln Park Purchase Agreement.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Company issued 10,187,000 shares under the Lincoln Park Purchase Agreement for gross proceeds of approximately $2.8 million. The Company incurred approximately $50,000 for legal fees in connection with the Lincoln Park Purchase Agreement.</w:t>
      </w:r>
    </w:p>
    <w:p>
      <w:pPr>
        <w:spacing w:after="0" w:line="27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91"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i w:val="1"/>
          <w:iCs w:val="1"/>
          <w:color w:val="auto"/>
        </w:rPr>
        <w:t>Outstanding Warrants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six months ended June 30, 2025, 15,552,080 of Pre-Funded Warrants and 497,824 of May 2024 Series B Warrants were exercised. As of</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June 30, 2025, the Company had the following warrants outstanding:</w:t>
      </w:r>
    </w:p>
    <w:p>
      <w:pPr>
        <w:spacing w:after="0" w:line="9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21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10"/>
        </w:trPr>
        <w:tc>
          <w:tcPr>
            <w:tcW w:w="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2024</w:t>
            </w:r>
          </w:p>
        </w:tc>
        <w:tc>
          <w:tcPr>
            <w:tcW w:w="7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Warrants</w:t>
            </w: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48,285</w:t>
            </w:r>
          </w:p>
        </w:tc>
        <w:tc>
          <w:tcPr>
            <w:tcW w:w="100" w:type="dxa"/>
            <w:vAlign w:val="bottom"/>
            <w:shd w:val="clear" w:color="auto" w:fill="CFF0FC"/>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May 2024</w:t>
            </w: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B Warrants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3,093,708</w:t>
            </w:r>
          </w:p>
        </w:tc>
        <w:tc>
          <w:tcPr>
            <w:tcW w:w="100" w:type="dxa"/>
            <w:vAlign w:val="bottom"/>
          </w:tcPr>
          <w:p>
            <w:pPr>
              <w:spacing w:after="0"/>
              <w:rPr>
                <w:sz w:val="18"/>
                <w:szCs w:val="18"/>
                <w:color w:val="auto"/>
              </w:rPr>
            </w:pPr>
          </w:p>
        </w:tc>
      </w:tr>
      <w:tr>
        <w:trPr>
          <w:trHeight w:val="216"/>
        </w:trPr>
        <w:tc>
          <w:tcPr>
            <w:tcW w:w="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2025</w:t>
            </w:r>
          </w:p>
        </w:tc>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B Warrants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741,840</w:t>
            </w:r>
          </w:p>
        </w:tc>
        <w:tc>
          <w:tcPr>
            <w:tcW w:w="100" w:type="dxa"/>
            <w:vAlign w:val="bottom"/>
            <w:shd w:val="clear" w:color="auto" w:fill="CFF0FC"/>
          </w:tcPr>
          <w:p>
            <w:pPr>
              <w:spacing w:after="0"/>
              <w:rPr>
                <w:sz w:val="18"/>
                <w:szCs w:val="18"/>
                <w:color w:val="auto"/>
              </w:rPr>
            </w:pP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2025</w:t>
            </w:r>
          </w:p>
        </w:tc>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Pre-Funded Warrants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10,676,486</w:t>
            </w:r>
          </w:p>
        </w:tc>
        <w:tc>
          <w:tcPr>
            <w:tcW w:w="100" w:type="dxa"/>
            <w:vAlign w:val="bottom"/>
          </w:tcPr>
          <w:p>
            <w:pPr>
              <w:spacing w:after="0"/>
              <w:rPr>
                <w:sz w:val="18"/>
                <w:szCs w:val="18"/>
                <w:color w:val="auto"/>
              </w:rPr>
            </w:pPr>
          </w:p>
        </w:tc>
      </w:tr>
      <w:tr>
        <w:trPr>
          <w:trHeight w:val="250"/>
        </w:trPr>
        <w:tc>
          <w:tcPr>
            <w:tcW w:w="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FF0FC"/>
            </w:tcBorders>
            <w:shd w:val="clear" w:color="auto" w:fill="CFF0FC"/>
          </w:tcPr>
          <w:p>
            <w:pPr>
              <w:spacing w:after="0"/>
              <w:rPr>
                <w:sz w:val="21"/>
                <w:szCs w:val="21"/>
                <w:color w:val="auto"/>
              </w:rPr>
            </w:pPr>
          </w:p>
        </w:tc>
        <w:tc>
          <w:tcPr>
            <w:tcW w:w="7060" w:type="dxa"/>
            <w:vAlign w:val="bottom"/>
            <w:tcBorders>
              <w:bottom w:val="single" w:sz="8" w:color="CFF0FC"/>
            </w:tcBorders>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14,560,319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share of common stock is issuable for each warrant upon exercise.</w:t>
      </w:r>
    </w:p>
    <w:p>
      <w:pPr>
        <w:spacing w:after="0" w:line="329" w:lineRule="exact"/>
        <w:rPr>
          <w:sz w:val="20"/>
          <w:szCs w:val="20"/>
          <w:color w:val="auto"/>
        </w:rPr>
      </w:pPr>
    </w:p>
    <w:p>
      <w:pPr>
        <w:ind w:left="780" w:hanging="772"/>
        <w:spacing w:after="0"/>
        <w:tabs>
          <w:tab w:leader="none" w:pos="7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3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Under the Company’s 2015 New Employee Incentive Plan (the “2015 Plan”), awards may only be granted to employees who were not previously an employee or director of the Company, or following a bona fide period of non-employment, as a material inducement to entering into employment with the Company. As of June 30, 2025, there were 76,025 shares of common stock remaining and available for future issuances under the 2015 Plan.</w:t>
      </w:r>
    </w:p>
    <w:p>
      <w:pPr>
        <w:spacing w:after="0" w:line="72"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The Company’s 2020 Stock Incentive Plan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The 2020 Plan, as amended, provides for the issuance of up to 236,667 shares of common stock, plus the number of shares available for issuance is increased to the extent that awards granted under the 2020 Plan and the Company’s 2014 Equity Incentive Plan are forfeited or expire (except as otherwise provided in the 2020 Plan). As of June 30, 2025, there were 47,742 shares remaining and available for future issuances under the 2020 Plan.</w:t>
      </w:r>
    </w:p>
    <w:p>
      <w:pPr>
        <w:spacing w:after="0" w:line="7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Generally, options issued under the 2020 Plan are subject to a two-year or four-year vesting schedule with 25% of the options vesting on the one year anniversary of the grant date followed by equal monthly installment vesting, and have a contractual term of 10 years.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for the six months ended June 30, 2025 is as follows:</w:t>
      </w:r>
    </w:p>
    <w:p>
      <w:pPr>
        <w:spacing w:after="0" w:line="9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598,540</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707,088</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Cancelled/forfeited</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(75,356)</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1,230,272</w:t>
            </w: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1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32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FF0FC"/>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June 30, 2025</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1,138,602</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3.96</w:t>
            </w:r>
          </w:p>
        </w:tc>
        <w:tc>
          <w:tcPr>
            <w:tcW w:w="11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9.10</w:t>
            </w:r>
          </w:p>
        </w:tc>
        <w:tc>
          <w:tcPr>
            <w:tcW w:w="3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ind w:lef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June 30, 2025</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308,724</w:t>
            </w:r>
          </w:p>
        </w:tc>
        <w:tc>
          <w:tcPr>
            <w:tcW w:w="12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10.96</w:t>
            </w:r>
          </w:p>
        </w:tc>
        <w:tc>
          <w:tcPr>
            <w:tcW w:w="11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8.29</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-496570</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-187960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-170815</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-187960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-187960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-170815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520"/>
        <w:spacing w:after="0" w:line="312" w:lineRule="auto"/>
        <w:rPr>
          <w:sz w:val="20"/>
          <w:szCs w:val="20"/>
          <w:color w:val="auto"/>
        </w:rPr>
      </w:pPr>
      <w:r>
        <w:rPr>
          <w:rFonts w:ascii="Times New Roman" w:cs="Times New Roman" w:eastAsia="Times New Roman" w:hAnsi="Times New Roman"/>
          <w:sz w:val="17"/>
          <w:szCs w:val="17"/>
          <w:color w:val="auto"/>
        </w:rPr>
        <w:t>As of June 30, 2025, the total compensation cost related to non-vested stock options not yet recognized for all the Company’s plans is approximately $0.9 million, which is expected to be recognized as a result of vesting under service conditions over a weighted average period of 2.82 years.</w:t>
      </w:r>
    </w:p>
    <w:p>
      <w:pPr>
        <w:spacing w:after="0" w:line="244" w:lineRule="exact"/>
        <w:rPr>
          <w:sz w:val="20"/>
          <w:szCs w:val="20"/>
          <w:color w:val="auto"/>
        </w:rPr>
      </w:pPr>
    </w:p>
    <w:p>
      <w:pPr>
        <w:ind w:left="860" w:hanging="852"/>
        <w:spacing w:after="0"/>
        <w:tabs>
          <w:tab w:leader="none" w:pos="8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ind w:left="520"/>
        <w:spacing w:after="0" w:line="255" w:lineRule="auto"/>
        <w:rPr>
          <w:sz w:val="20"/>
          <w:szCs w:val="20"/>
          <w:color w:val="auto"/>
        </w:rPr>
      </w:pPr>
      <w:r>
        <w:rPr>
          <w:rFonts w:ascii="Times New Roman" w:cs="Times New Roman" w:eastAsia="Times New Roman" w:hAnsi="Times New Roman"/>
          <w:sz w:val="18"/>
          <w:szCs w:val="18"/>
          <w:color w:val="auto"/>
        </w:rPr>
        <w:t>The Company operates under one reportable business segment to advance the development, manufacturing and commercialization of complex and innovative treatments for patients battling cancer and other life-threatening diseases. The determination of a single reportable business segment is consistent with the consolidated financial information regularly provided to the Company’s CODM. All of the Company's long-term assets and operations are located in the United States, and the measure of segment assets is reported on the condensed consolidated balance sheets as total assets. The Company’s CODM is its Chief Executive Officer, who reviews financial information presented on a consolidated basis for purposes of making operating decisions, allocating resources, and evaluating financial performance, including comparing actual results to budgets and forecasts to assess variances, identify trends, and guide strategic planning.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3" w:name="page24"/>
    <w:bookmarkEnd w:id="23"/>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the consolidated statements of operations, the below disaggregated amounts comprise significant research and development and general and administrative expenses. These expenses consist of (1) clinical, manufacturing and research contracts for research and development programs, (2) personnel-related expenses, including salaries, benefits and share-based compensation, (3) professional fees, including third-party costs for goods and services such as lab supplies and contract research, and legal and other professional expenses, and (4) facility and other overhead expenses, including depreciation, occupancy, travel, insurance and other costs. Depreciation and amortization expense is consistent with those presented in the condensed consolidated statements of cash flows.</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220" w:type="dxa"/>
            <w:vAlign w:val="bottom"/>
          </w:tcPr>
          <w:p>
            <w:pPr>
              <w:spacing w:after="0"/>
              <w:rPr>
                <w:sz w:val="13"/>
                <w:szCs w:val="13"/>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30,</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Clinical, development and licensing expenses</w:t>
            </w:r>
          </w:p>
        </w:tc>
        <w:tc>
          <w:tcPr>
            <w:tcW w:w="11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Personnel related expenses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Facility and other overhead expenses</w:t>
            </w:r>
          </w:p>
        </w:tc>
        <w:tc>
          <w:tcPr>
            <w:tcW w:w="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Personnel related expenses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expenses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Facility and other overhead expenses</w:t>
            </w:r>
          </w:p>
        </w:tc>
        <w:tc>
          <w:tcPr>
            <w:tcW w:w="9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-156845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-156845</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-156845</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-156845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63" w:lineRule="exact"/>
        <w:rPr>
          <w:sz w:val="20"/>
          <w:szCs w:val="20"/>
          <w:color w:val="auto"/>
        </w:rPr>
      </w:pPr>
    </w:p>
    <w:p>
      <w:pPr>
        <w:ind w:left="780" w:hanging="772"/>
        <w:spacing w:after="0"/>
        <w:tabs>
          <w:tab w:leader="none" w:pos="7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Support Letters</w:t>
      </w:r>
    </w:p>
    <w:p>
      <w:pPr>
        <w:spacing w:after="0" w:line="119" w:lineRule="exact"/>
        <w:rPr>
          <w:sz w:val="20"/>
          <w:szCs w:val="20"/>
          <w:color w:val="auto"/>
        </w:rPr>
      </w:pPr>
    </w:p>
    <w:p>
      <w:pPr>
        <w:jc w:val="both"/>
        <w:ind w:left="520"/>
        <w:spacing w:after="0" w:line="252" w:lineRule="auto"/>
        <w:rPr>
          <w:sz w:val="20"/>
          <w:szCs w:val="20"/>
          <w:color w:val="auto"/>
        </w:rPr>
      </w:pPr>
      <w:r>
        <w:rPr>
          <w:rFonts w:ascii="Times New Roman" w:cs="Times New Roman" w:eastAsia="Times New Roman" w:hAnsi="Times New Roman"/>
          <w:sz w:val="18"/>
          <w:szCs w:val="18"/>
          <w:color w:val="auto"/>
        </w:rPr>
        <w:t>On July 11, 2025, the Company and certain March 2025 Private Placement Purchasers party to the Letter Agreement entered into that certain letter of support (the “Support Letters”) to modify certain portions of the Letter Agreement as between the Company and each of such March 2025 Private Placement Purchasers. In the event that the Company reasonably believes that, within the 30 days (the “Modification Period”) prior to the end of any fiscal quarter, the Company will have stockholders’ equity in an amount below $3.0 million as of the end of such fiscal quarter (the “Potential Equity Deficiency”), the Subsequent Financing Percentage (as defined in the Letter Agreement) shall be modified from 90% to 50% for any Subsequent Financing (as defined in the Letter Agreement) that occurs during the Modification Period pursuant to the Lincoln Park Purchase Agreement. Upon the end of the Modification Period, the Subsequent Financing Percentage shall be reverted to 90%, and such percentage shall apply to all Subsequent Financings, including all Subsequent Financings pursuant to the Lincoln Park Purchase Agreement. In the event the Company desires to trigger the modification of the Subsequent Financing Percentage, the Company agrees to supply the purchaser who executed a Support Letter with a pro forma balance sheet to evidence its reasonable belief of the Potential Equity Deficiency approximately 30 days prior to each end of fiscal quarter once the books for prior months are closed. The Company also agreed to make a cash payment of $0.3 million (or such lesser amount if a lesser amount is required for such purchaser to have received its Maximum Amount (as defined in the Letter Agreement) in cash after giving effect to such payment) to such purchaser. Such payment counts as cash received by the purchaser towards its Maximum Amount. Each Support Letter also grants the purchaser party to the letter a participation right in certain future financings of the Company for a period of 12 months.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Nasdaq Panel Decision</w:t>
      </w:r>
    </w:p>
    <w:p>
      <w:pPr>
        <w:spacing w:after="0" w:line="119" w:lineRule="exact"/>
        <w:rPr>
          <w:sz w:val="20"/>
          <w:szCs w:val="20"/>
          <w:color w:val="auto"/>
        </w:rPr>
      </w:pPr>
    </w:p>
    <w:p>
      <w:pPr>
        <w:jc w:val="both"/>
        <w:ind w:left="520"/>
        <w:spacing w:after="0" w:line="256" w:lineRule="auto"/>
        <w:rPr>
          <w:sz w:val="20"/>
          <w:szCs w:val="20"/>
          <w:color w:val="auto"/>
        </w:rPr>
      </w:pPr>
      <w:r>
        <w:rPr>
          <w:rFonts w:ascii="Times New Roman" w:cs="Times New Roman" w:eastAsia="Times New Roman" w:hAnsi="Times New Roman"/>
          <w:sz w:val="18"/>
          <w:szCs w:val="18"/>
          <w:color w:val="auto"/>
        </w:rPr>
        <w:t>On July 22, 2025, the Panel issued the July 2025 Decision granting the Company’s request for continued listing on Nasdaq, subject to the Company demonstrating compliance with (1) the Minimum Stockholders’ Equity Requirement pursuant to Listing Rule 5550 (b)(1) by August 14, 2025 by filing a timely public disclosure describing the transactions undertaken by the Company to achieve compliance and demonstrate long-term compliance of the Minimum Stockholders’ Equity Requirement, and by providing an indication of its equity following those transactions, with the option by including in the public filing a balance sheet not older than 60 days with pro forma adjustments for any significant transactions or events occurring on or before the report date; and (2) the Minimum Bid Requirement by September 8, 2025.</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CPRIT Grant Advance</w:t>
      </w:r>
    </w:p>
    <w:p>
      <w:pPr>
        <w:spacing w:after="0" w:line="11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On July 23, 2025, the Company received notice of an advance payment of $1.6 million from CPRIT. On July 31, 2025, the Company received the $1.6 million payment.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Lincoln Park Purchase Agreement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Between July 1, 2025 and August 13, 2025, the Company has issued 2,000,000 shares of common stock under the Lincoln Park Purchase Agreement for cash proceeds of $1.1 million.</w:t>
      </w:r>
    </w:p>
    <w:p>
      <w:pPr>
        <w:spacing w:after="0" w:line="27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98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financial information and the notes thereto included herein, as well as the “Management’s Discussion and Analysis of Financial Condition and Results of Operations” and our audited consolidated financial statements and notes thereto contained in our Annual Report on Form 10-K for the year ended December 31, 2024, as filed on March 31, 2025.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the caption “Cautionary Note Regarding Forward-Looking Statements” in this Quarterly Report, as well as under “Part I – Item 1A - Risk Factors” in our Annual Report on Form 10-K for the year ended December 31, 2024, in other subsequent filings with the Securities and Exchange Commission, and elsewhere in this Quarterly Report. These statements, like all statements in this Quarterly Report, speak only as of the date of this Quarterly Report (unless another date is indicated), and the Company undertakes no obligation to update or revise these statements in light of future developments.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includes the following sections:</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 that discusses our operating results and some of the trends that affect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includes a more detailed discussion of our revenue and expenses.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 that discusses key aspects of our consolidated statements of cash flows, changes in our financial position and our financial commitments.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Plus Therapeutics is a U.S. pharmaceutical company developing targeted radiotherapeutics with advanced platform technologies for central nervous system (“CNS”) cancers. Our novel radioactive drug formulations and medical devices and therapeutic candidates are designed to deliver safe and effective doses of radiation to tumors. To achieve this, we have developed innovative approaches to drug formulation, including encapsulating radionuclides such as rhenium isotopes with nanoliposomes and microspheres. Our formulations are intended to achieve elevated patient-absorbed radiation doses and extend retention times such that the clearance of the isotope occurs after significant and essentially complete radiation decay, which will contribute and provide less normal tissue/organ exposure and improved safety margins.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spacing w:after="0" w:line="8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Our lead radiotherapeutic candidate, REYOBIQ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is designed to treat many solid organ cancers including primary and secondary liver cancers by intra-arterial injection.</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26, 2024, we acquired all of the right, title and interest in a cerebrospinal fluid cancer diagnostic portfolio known as the CNSide Platform from Biocept, Inc. (“Biocept”), which is currently being utilized in the ReSPECT-LM clinical trial funded by the Cancer Prevention and Research Institute of Texas (“CPRIT”). In connection with our business plan for developing the CNSide Platform, we formed CNSide Diagnostics, LLC (“CNSide Diagnostics”), a wholly owned subsidiary of the Company, and our board of directors appointed a board of managers for CNSide Diagnostics. We are planning for the CNSide Cerebrospinal Fluid Tumor Cell Enumeration test (the “CNSide Test”), which is a laboratory developed test (“LDT”), to be re-introduced to the U.S. market starting in the second half of 2025 after we complete a number of steps related to certifications, state licensure, payor coverages, reimbursement codes and financing.</w:t>
      </w:r>
    </w:p>
    <w:p>
      <w:pPr>
        <w:spacing w:after="0" w:line="81" w:lineRule="exact"/>
        <w:rPr>
          <w:sz w:val="20"/>
          <w:szCs w:val="20"/>
          <w:color w:val="auto"/>
        </w:rPr>
      </w:pPr>
    </w:p>
    <w:p>
      <w:pPr>
        <w:ind w:right="2120"/>
        <w:spacing w:after="0" w:line="375" w:lineRule="auto"/>
        <w:rPr>
          <w:sz w:val="20"/>
          <w:szCs w:val="20"/>
          <w:color w:val="auto"/>
        </w:rPr>
      </w:pPr>
      <w:r>
        <w:rPr>
          <w:rFonts w:ascii="Times New Roman" w:cs="Times New Roman" w:eastAsia="Times New Roman" w:hAnsi="Times New Roman"/>
          <w:sz w:val="18"/>
          <w:szCs w:val="18"/>
          <w:color w:val="auto"/>
        </w:rPr>
        <w:t xml:space="preserve">In March 2025, we moved our headquarters to Houston, Texas, in proximity to world-class cancer institutions and researchers. </w:t>
      </w:r>
      <w:r>
        <w:rPr>
          <w:rFonts w:ascii="Times New Roman" w:cs="Times New Roman" w:eastAsia="Times New Roman" w:hAnsi="Times New Roman"/>
          <w:sz w:val="18"/>
          <w:szCs w:val="18"/>
          <w:i w:val="1"/>
          <w:iCs w:val="1"/>
          <w:color w:val="auto"/>
        </w:rPr>
        <w:t>Pipeline</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most advanced investigational drug, REYOBIQ, is a patented radiotherapy potentially useful for patients with CNS and other cancers. We announced in March 2025 that the U.S. Food and Drug Administration (“FDA”) conditionally accepted the proprietary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6" w:name="page27"/>
    <w:bookmarkEnd w:id="26"/>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name REYOBIQ to be used by us for our proprietary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Preclinical study data describing the use of REYOBIQ for several cancer targets have been published in peer-reviewed journals and reported at a variety of medical society peer-reviewed meetings. Besides GBM, LM and PBC, REYOBIQ has been reported to have potential applications for head and neck cancer, ovarian cancer, breast cancer and peritoneal metastases.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REYOBIQ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REYOBIQ for recurrent GBM through the completion of a Phase 2 clinical trial, including enrollment of up to 55 patients.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29, 2022, we announced feedback from a Type C meeting with the FDA regarding Chemistry, Manufacturing and Controls practices.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indicated agreement with our proposed application of cGMP guidance for radiotherapeutics, small molecule drug products and liposome drug products for REYOBIQ in support of ongoing and future GBM clinical trials, manufacturing scale up, and commercialization. Alignment with the FDA includes support of our proposed controls and release strategy for new drug substance and new drug product. Because this product is identical for recurrent GBM, LM, and PBC, we believe alignment will be consistent for REYOBIQ used in other clinical development programs, including LM and PBC.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REYOBIQ versus External Beam Radiation Therapy for Recurrent GBM</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REYOBIQ is a novel injectable radiotherapy designed to deliver targeted, high dose radiation directly into GBM tumors in a safe, effective, and convenient manner that may ultimately prolong patient survival. REYOBIQ is composed of the radionuclide Rhenium-186 and a nanoliposomal carrier, and is infused in a highly targeted, controlled fashion, directly into the tumor via precision brain mapping and CED catheters. Potential benefits of REYOBIQ compared to standard external beam radiotherapy or external beam radiation therapy (“EBRT”) include:</w:t>
      </w:r>
    </w:p>
    <w:p>
      <w:pPr>
        <w:spacing w:after="0" w:line="72" w:lineRule="exact"/>
        <w:rPr>
          <w:sz w:val="20"/>
          <w:szCs w:val="20"/>
          <w:color w:val="auto"/>
        </w:rPr>
      </w:pPr>
    </w:p>
    <w:p>
      <w:pPr>
        <w:ind w:left="520" w:right="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REYOBIQ radiation dose delivered to patients may be up to 20 times greater than what is possible with commonly used EBRT, which, unlike EBRT and proton beam devices, spares normal tissue and the brain from radiation exposure.</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REYOBIQ can be visualized in real-time during administration, possibly giving clinicians better control of radiation dosing, distribution and retention.</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REYOBIQ potentially more effectively treats a bulk tumor and microscopic disease that has already invaded healthy tissue.</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REYOBIQ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w:t>
      </w:r>
    </w:p>
    <w:p>
      <w:pPr>
        <w:spacing w:after="0" w:line="7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REYOBIQ is given during a single, short, in-patient hospital visit, and is available in all hospitals with nuclear medicine and neurosurgery, while EBRT requires out-patient visits five days a week for approximately four to six weeks.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ReSPECT-GBM Trial for Recurrent GBM</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GBM affects approximately 15,000 patients annually in the U.S. and is the most common and lethal form of brain cancer. The average life expectancy with GBM is less than 24 months, with a one-year survival rate of 40% and a five-year survival rate of around 5%. There is no clear standard of care for recurrent GBM and the few currently approved treatments provide only marginal survival benefit and are associated with significant side effects, which limit dosing and prolonged use. Approximately 90% of patients experience GBM tumor recurrence at or near the original tumor location, yet there are no FDA-approved treatments in the recurrent or progressive setting that can significantly extend a patient’s life.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Complete surgical removal of GBM is usually not possible and GBM is often resistant or quickly develops resistance to most available current and investigational therapies. Today, the treatment of GBM remains a significant challenge and it has been nearly a decade since the FDA approved a new therapy for this disease, and these more recent approvals have not improved the overall survival (“OS”) for GBM patients over past decades, and a significant unmet medical need persists.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long-term control of GBM and GBM always recurs within months after EBRT. In contrast, locally delivered and targeted radiopharmaceuticals that precisely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deliver radiation in the form of beta particles such as Iodine-131 for thyroid cancer, are known to be safe and effective and minimize exposure to normal cells and tissues especially with optimal administered dose and minimizing exposure to normal tissue. The locally delivered REYOBIQ is designed for and provides patient tolerability and safety. Though no REYOBIQ head-to-head trial with chemo, immune, EBRT or systemic radiopharmaceutical products have been conducted, patient tolerability and safety considerations have been reported as expected.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2020, the FDA granted both orphan drug designation and Fast Track designations to REYOBIQ for the treatment of patients with GBM.</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REYOBIQ is under clinical investigation in a Phase 1/2 multicenter, sequential cohort, open-label, volume and dose escalation study (“ReSPECT-GBM”) of the safety, tolerability, and distribution of REYOBIQ given by CED catheters to patients with recurrent or progressive malignant glioma after standard surgical, radiation, and/or chemotherapy treatment. The trial is funded through Phase 2 in large part by a National Institute of Health/National Cancer Institute grant.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18, 2023, we announced that the first patient was dosed in Phase 2 of the ReSPECT-GBM Phase 1/2 trial evaluating REYOBIQ for the treatment of recurrent GBM. Phase 2 of the trial is expected to enroll up to 34 total patients with small- to medium-sized tumors and is targeted for full enrollment by the end of 2025. We currently have four clinical sites, and expect a data read-out by the end of 2025.</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September 30, 2024, we showcased new interim ReSPECT-GBM Phase 2 Trial Data at the 2024 Congress of Neurological Surgeons Annual Meeting that included the following findings as of that date:</w:t>
      </w:r>
    </w:p>
    <w:p>
      <w:pPr>
        <w:spacing w:after="0" w:line="54" w:lineRule="exact"/>
        <w:rPr>
          <w:sz w:val="20"/>
          <w:szCs w:val="20"/>
          <w:color w:val="auto"/>
        </w:rPr>
      </w:pPr>
    </w:p>
    <w:p>
      <w:pPr>
        <w:ind w:left="1020" w:right="120" w:hanging="503"/>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total patients enrolled in ReSPECT-GBM trial at 3 sites, with 19 out of 42 patients having been treated at the recommended Phase 2 dose (22.3 mCi in 8.8 mL) in tumors of approximately 20 cm</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or less.</w:t>
      </w:r>
    </w:p>
    <w:p>
      <w:pPr>
        <w:spacing w:after="0" w:line="1" w:lineRule="exact"/>
        <w:rPr>
          <w:rFonts w:ascii="Times New Roman" w:cs="Times New Roman" w:eastAsia="Times New Roman" w:hAnsi="Times New Roman"/>
          <w:sz w:val="18"/>
          <w:szCs w:val="18"/>
          <w:color w:val="auto"/>
        </w:rPr>
      </w:pPr>
    </w:p>
    <w:p>
      <w:pPr>
        <w:ind w:left="1020" w:right="140" w:hanging="503"/>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Phase 2 patients have recurrent, histologically confirmed glioblastoma; 1 recurrence, bevacizumab naïve, single tumor of approximately 20 cm</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or less (small-to-medium sized tumors).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tumor size in Phase 2 was 7.5 mL (range 0.9-22.8 mL).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absorbed dose correlated with specific drug delivery parameters such as infused dose and volume, maximal convection flow rate, and number of catheters.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REYOBIQ continues to show a favorable safety profile in the 42 enrolled patients; one dose-limiting toxicity (hemiplegia) has been reported, which was observed in Cohort 8 (41.5 mCi and 16.3 mL).</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2, most adverse events were mild (73.5%) or moderate (18.8%), and largely unrelated (37.7%), or unlikely related (27.1%) to the drug. Of the 9 severe adverse events, only 2 were related to the study drug.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absorbed radiation dose to the tumor in Phase 2 was 300 Gy (n=18, 1 patient still under analysis).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88.9% of Phase 2 patients met key CED drug delivery parameters shown to correlate with overall survival, achieving a tumor absorbed dose &gt;100 Gy and radiation coverage of &gt;70%.</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out of 42 patients treated thus far participated in the Phase 1 dose escalation phase of the trial (as per protocol, 6 out of 42 patients were included in both the Phase 1 and Phase 2 trial arms and related analyses).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dose-escalation increased administered doses from 1.0 mCi to 41.5 mCi and volumes from 0.66 mL to 16.3 mL.</w:t>
      </w:r>
    </w:p>
    <w:p>
      <w:pPr>
        <w:spacing w:after="0" w:line="117"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objective tumor response based on quantitative image analysis, a statistically significant reduction in tumor volume rate change was seen in tumors receiving &gt; 100 Gy absorbed dose (n=11 patients analyzed to date, p&lt;0.005). Sufficient tumor coverage correlated with tumor control, while regrowth occurred outside treated areas.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completed Phase 1 of our ReSPECT-GBM Trial and are targeting full enrollment into Phase 2 by the end of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ReSPECT-LM Clinical Trials for LM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ReSPECT-LM Phase 1 clinical trial (ClinicalTrials.gov NCT05034497) was preceded with preclinical studies in which tolerance to doses of REYOBIQ as high as 1,075 Gy were shown in animal models with LM without significant observed toxicity. Furthermore, treatment led to a marked reduction in tumor burden in both C6 and MDA-231 LM models.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Upon receiving acceptance of our Investigational New Drug application and Fast Track designation by the FDA for REYOBIQ for the treatment of LM in November 2021, we initiated the trial and began screening patients for the ReSPECT-LM Phase 1 clinical trial in the fourth quarter of 2021.</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ReSPECT-LM is a multi-center, sequential cohort, open-label, dose escalation study evaluating the safety, tolerability, and efficacy of a single-dose application of REYOBIQ administered through intrathecal infusion to the ventricle of patients with LM after standard surgical, radiation, and/or chemotherapy treatment. The primary endpoint of the study is the incidence and severity of adverse events and dose limiting toxicities, together with determining the maximum tolerated and recommended Phase 2 dose. Full enrollment in the Phase 1 trial was achieved at the end of 2024, and we announced the trial completion on February 26, 2025. Trial closeout procedures are now taking place including final data review and monitoring, and a clinical study report and manuscript will be prepared.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19, 2022, we entered into a Cancer Research Grant Contract (the “CPRIT Contract”), effective as of August 31, 2022, with CPRIT, pursuant to which CPRIT provides us a grant of up to $17.6 million (the “CPRIT Grant”) over a three-year period to fund the continued development of REYOBIQ for the treatment of patients with LM through Phase 2 of the ReSPECT-LM clinical trial. The CPRIT Grant is subject to customary CPRIT funding conditions, including, but not limited to, a matching fund requirement (one dollar from us for every two dollars awarded by CPRIT), revenue sharing obligations upon commercialization of REYOBIQ based on specific dollar thresholds until CPRIT receives the aggregate amount of 400% of the proceeds awarded under the CPRIT Grant, and certain reporting requirements. As of June 30, 2025, we had received approximately $12.4 million in milestone payments under the CPRIT Contract.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Interim results showed that a single treatment with REYOBIQ resulted in a consistent decreased cerebrospinal fluid (“CSF”) tumor cell count/ml and was tolerated by all LM patients. REYOBIQ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REYOBIQ distribution throughout the subarachnoid space.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FDA granted orphan drug designation to REYOBIQ for the treatment of patients with breast cancer with LM.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12, 2023, we announced our partnership with K2bio to implement novel analysis for CSF tumor and molecular biomarkers for CNS cancers.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we announced the completion of the ReSPECT-LM Phase 1 single-dose escalation trial, having determined a recommended Phase 2 dose. Enrollment in Cohort 6 was completed (75.0 mCi). The Cohort 4 dose (44.1 mCi) was determined to be the recommended Phase 2 dose with no dose-limiting toxicities observed at that dose level. One patient at the Cohort 4 dose was observed to have achieved a complete response, as evidenced by the eradication of tumor cells in the cerebrospinal fluid—a key therapeutic endpoint.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2025, we announced the initiation of the ReSPECT-LM dose optimization trial for REYOBIQ for the treatment of LM and on July 8, 2025 announced successfully treating the initial patients.</w:t>
      </w:r>
    </w:p>
    <w:p>
      <w:pPr>
        <w:spacing w:after="0" w:line="54" w:lineRule="exact"/>
        <w:rPr>
          <w:sz w:val="20"/>
          <w:szCs w:val="20"/>
          <w:color w:val="auto"/>
        </w:rPr>
      </w:pPr>
    </w:p>
    <w:p>
      <w:pPr>
        <w:ind w:right="2200"/>
        <w:spacing w:after="0" w:line="375" w:lineRule="auto"/>
        <w:rPr>
          <w:sz w:val="20"/>
          <w:szCs w:val="20"/>
          <w:color w:val="auto"/>
        </w:rPr>
      </w:pPr>
      <w:r>
        <w:rPr>
          <w:rFonts w:ascii="Times New Roman" w:cs="Times New Roman" w:eastAsia="Times New Roman" w:hAnsi="Times New Roman"/>
          <w:sz w:val="18"/>
          <w:szCs w:val="18"/>
          <w:color w:val="auto"/>
        </w:rPr>
        <w:t xml:space="preserve">In March 2025, the FDA granted orphan drug designation to REYOBIQ for the treatment of LM in patients with lung cancer. </w:t>
      </w:r>
      <w:r>
        <w:rPr>
          <w:rFonts w:ascii="Times New Roman" w:cs="Times New Roman" w:eastAsia="Times New Roman" w:hAnsi="Times New Roman"/>
          <w:sz w:val="18"/>
          <w:szCs w:val="18"/>
          <w:i w:val="1"/>
          <w:iCs w:val="1"/>
          <w:color w:val="auto"/>
        </w:rPr>
        <w:t>ReSPECT-PBC Clinical Trial for Pediatric Brain Cancer</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2021, we announced plans for treating pediatric brain cancer at the 2021 American Association of Neurological Surgeons Annual Scientific Meeting. In July 2021, we reported that we received FDA feedback pertaining to a pre-Investigational New Drug Application (“IND”) meeting briefing package in which the FDA stated that we are not required to perform any additional preclinical or toxicology studies.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initial FDA feedback, receipt of adult GBM data and experience with REYOBIQ and follow-up communications with the FDA, we submitted a pediatric brain tumor IND for our ReSPECT-PBC clinical trial to investigate the use of REYOBIQ in two pediatric brain cancers, high-grade glioma and ependymoma, in the fourth quarter of 2024.</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to Grade III (anaplastic) pathology (five-year OS = 71 ± 5% vs. 57 ± 10%; p = 0.026). Gross total resection compared to subtotal resection was associated with significantly improved OS (five-year OS = 75 ± 5% vs. 54 ± 8%; p = 0.002).</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Overall, pediatric HGG and ependymoma are extremely difficult-to-treat pediatric brain tumors, frequently aggressive, and in recurrent settings, carry an extremely poor prognosis.</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Effective September 1, 2024, we entered into an agreement with the Department of Defense office of the Congressionally Directed Medical Research Programs to receive a $3.0 million fund for research and development purposes (“DoD Award”) over a three-year period. The DoD Award will be used to support the planned expansion of our clinical trial for pediatric brain cancer. We anticipate beginning enrollment for our Phase 1 ReSPECT-PBC clinical trial in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25, 2025, we announced that the FDA cleared its Investigational New Drug ("IND") application (No. 168178) for REYOBIQ for the treatment of pediatric patients with supratentorial recurrent, refractory, or progressive high-grade glioma ("HGG") and ependymoma. The Phase 1/2a trial is a two-part, single-arm, prospective study aimed at determining the maximum tolerated dose ("MTD"), safety, and tolerability of REYOBIQ in pediatric patients aged 6 to 21 years (with consideration for patients up to 25 years on a case-by-case basis).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the trial design include:</w:t>
      </w:r>
    </w:p>
    <w:p>
      <w:pPr>
        <w:spacing w:after="0" w:line="117" w:lineRule="exact"/>
        <w:rPr>
          <w:sz w:val="20"/>
          <w:szCs w:val="20"/>
          <w:color w:val="auto"/>
        </w:rPr>
      </w:pPr>
    </w:p>
    <w:p>
      <w:pPr>
        <w:ind w:left="1020" w:right="3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1a/b (dose escalation): This phase will enroll an estimated 24 patients using a modified 3+3 dose escalation scheme to establish the MTD and recommended Phase 2 dose ("RP2D"). Safety assessment and alignment with the FDA will occur at defined intervals.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2a: This phase will enroll approximately 32 patients (12 with ependymoma and 20 with HGG) at the RP2D to assess efficacy.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Rhenium-188 NanoLiposome Biodegradable Alginate Microsphere Technology</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January 2022, we announced that we licensed Biodegradable Alginate Microsphere (“BAM”) patents and technology from The University of Texas Health Science Center at San Antonio (“UTHSCSA”)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for the intra-arterial embolization and local delivery of a high dose of targeted radiation for a variety of solid organ cancers such as hepatocellular cancer, hepatic metastases, pancreatic cancer and many others.</w:t>
      </w:r>
    </w:p>
    <w:p>
      <w:pPr>
        <w:spacing w:after="0" w:line="8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Preclinical data from an ex vivo embolization experiment in which Technetium99m-BAM was intra-arterially delivered to a bovine kidney perfusion model was presented at the Society of Interventional Radiology Annual Scientific Meeting. The study concluded that the technology required for radiolabeling BAM could successfully deliver, embolize and retain radiation in the target organ.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is a preclinical investigational device we intend to further develop and move into clinical trials. Specifically, in 2022 we transferred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technology from UTHSCSA, and began planning to develop the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FDA has informed us that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will be regulated as a medical device under the FDCA.</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CNSide FORESEE Trial</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CNSide Platform consists of four LDTs used for treatment selection and treatment monitoring of patients with LM. The CNSide Platform facilitates tumor cell detection/enumeration and biomarker identification using cellular assays (immunocytochemistry (ICC) and fluorescence in situ hybridization (FISH)) and molecular assays (next-generation sequencing (NGS)). The CNSide Test is currently being used in the ReSPECT-LM trial as an exploratory endpoint.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acquiring the CNSide Platform in 2024, we have established infrastructure to support a scalable and centralized testing laboratory in Houston, TX that will service the U.S. market. We have been executing on our commercial market access strategy, which includes prioritized state licensure, proprietary reimbursement codes, commercial and government payor coverage, and value-based pricing to optimize revenue. We anticipate introducing the CNSide Platform first in Texas in the second half of 2025, followed rapidly by expansion into additional states in late 2025 and 2026. In parallel, additional expanded CNS testing capabilities are also expected to roll out over the next year.</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the CNSide CSF Assay Platform was previously commercially available, market acceptance and adoption were widespread, with several national and regional commercial payor agreements in place and the test in regular use at major cancer centers across the U.S. We are now in contact with the legacy payors and healthcare providers in anticipation of the planned 2025 launch, and later this year will be expanding those contacts to support a 50-state strategy. Finally, we have hired experienced leadership with expertise in the development and commercialization of clinical diagnostic technologies on a large scale.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data from the CNSide FORESEE clinical trial in patients with LM was presented at the Society for Neuro-Oncology (“SNO”) / American Society for Clinical Oncology (“ASCO”) CNS Metastases Conference. The trial met its key primary and secondary endpoints and the data showed that the CNSide Test more than doubled the diagnostic sensitivity versus gold standard cerebrospinal fluid cytology and influenced clinical management decisions in over 90% of LM cases.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24, 2024, CNSide Diagnostics presented data at the 2024 SNO Annual Meeting from the FORESEE trial showcasing the CNSide Platform’s utility in diagnosing and guiding clinical decision making for breast cancer and non-small cell lung cancer patients with LM.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highlights included:</w:t>
      </w:r>
    </w:p>
    <w:p>
      <w:pPr>
        <w:spacing w:after="0" w:line="117" w:lineRule="exact"/>
        <w:rPr>
          <w:sz w:val="20"/>
          <w:szCs w:val="20"/>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FORESEE trial achieved its primary endpoint, demonstrating that the CNSide Test influenced treatment decisions in over 90% of cases evaluated, surpassing the predetermined 20% primary endpoint target.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CNSide Test demonstrated enhanced sensitivity in detecting tumor cells (80%) vs. CSF cytology (29%) in patients with LM.</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CNSide Test identified actionable mutations in the CSF, such as HER2 amplification, influencing 24% of therapeutic selection decisions.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CNSide Test exhibited high specificity, with no tumor cells detected in patients without LM.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CNSide Test demonstrated improved Negative Predictive Value in ruling out LM (25%) vs. CSF cytology (10%).</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CNSide Test revealed HER2 positivity in LM tumors in 60% of breast cancer patients with HER2-negative primary tumors, informing physician treatment strategies.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8"/>
          <w:szCs w:val="18"/>
          <w:b w:val="1"/>
          <w:bCs w:val="1"/>
          <w:color w:val="auto"/>
        </w:rPr>
        <w:t>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Financings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“Liquidity and Capital Resources” section below for information on our recent financings.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agreement with SpectronRX</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5, 2024, we entered into a manufacturing services agreement for drug product development and manufacturing (the “SpectronRx Services Agreement”) with NukeMed, Inc. d/b/a SpectronRx (“SpectronRx”), pursuant to which SpectronRx will process development and manufacturing clinical investigational pharmaceutical products to support our clinical programs. Pursuant to the SpectronRx Services Agreement, an initial proposal for drug product development and manufacturing under the SpectronRx Services Agreement is expected to become effective in the first half of 2026.</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SpectronRx Services Agreement, we will own all rights and interest in all intellectual property, including rights (i) related to copyright, patent, trademark, or other right to ideas, inventions, products, programs, procedures, process, formats, and other materials, (ii) developed solely by us in connection with developing, formulating, manufacturing, filing, processing, packaging, analyzing or testing of a (a) pharmaceutical ingredient or any intermediate thereof (“API/Drug Substance”), (b) drug product comprised of API/Drug Substance (“Drug Candidate”), or (c) intermediate(s) of (a) or (b) (together with API/Drug Substance and Drug Candidate, the “Product”), or (iii) directly related to the services rendered by SpectronRx or its subcontractors. SpectronRx will own all rights and interest in the intellectual property owned by or licensed to SpectronRx other than in connection with Products or services covered under the SpectronRx Services Agreement (the “SpectronRx Technology”). To the extent that any portion of SpectronRx Technology is required for the purpose of using or applying the Products, SpectronRx is required to provide to us a non-exclusive, royalty-free, perpetual license for that portion of SpectronRx Technology that is required by us to use and apply the Products.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SpectronRx Services Agreement, upon written notice by us to SpectronRx, at least six months in advance of our first commercial manufacturing needs for a Product, SpectronRx will be required to enter into good faith negotiations with us for a commercial supply agreement governing the manufacture of such Product for commercial sale or use.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earlier terminated, the SpectronRx Services Agreement will remain in place for a period of five years. Thereafter, the SpectronRx Services Agreement will automatically renew for successive one-year terms unless either party notifies the other, not later than six months in advance of the original term or any additional renewed term, of the intention to terminate it. We may terminate the SpectronRx Services Agreement (i) for any reason on prior written notice to SpectronRx, provided that we will be required to compensate SpectronRx for certain fees and costs if such cancellation is made prior to the completion of a work order, or (ii) immediately if SpectronRx files for bankruptcy, becomes insolvent, or is suspended or debarred by the FDA or the United States government. In addition, either party may terminate the SpectronRx Services Agreement within thirty days upon any material breach that is left uncured by the other party.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recognized $1.4 million and $1.3 million, and $2.5 million and $3.0 million of grant revenue during the three and six months ended June 30, 2025 and 2024, respectively, which represents CPRIT’s share of the costs incurred for our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development for the treatment of patients with LM.</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costs associated with the design, development, testing, and enhancement of our product candidates, payment of regulatory fees, laboratory supplies, pre-clinical studies, and clinical studies.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three and six months ended June 30, 2025 and 2024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gridSpan w:val="6"/>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1,249</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2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1,246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20" w:type="dxa"/>
            <w:vAlign w:val="bottom"/>
            <w:shd w:val="clear" w:color="auto" w:fill="CFF0FC"/>
          </w:tcPr>
          <w:p>
            <w:pPr>
              <w:spacing w:after="0"/>
              <w:rPr>
                <w:sz w:val="19"/>
                <w:szCs w:val="19"/>
                <w:color w:val="auto"/>
              </w:rPr>
            </w:pP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approximately $1.5 million during the three months ended June 30, 2025 as compared to the same period in 2024. The decrease was due primarily to a reduction of $0.5 million in licensing expense, a decrease of $0.4 million in employee compensation expense, a decrease of $0.4 million in clinical expenses, a decrease of $0.2 million in professional research and development services, a decrease of $0.1 million in depreciation expense, and a decrease of $0.1 million in travel and other expenses, partially offset by an increase of approximately $0.2 million in legal and development expense.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decreased by approximately $2.5 million during the six months ended June 30, 2025 as compared to the same period in 2024. The decrease was due primarily to a decrease of $1.2 million in clinical expenses, a decrease of $0.8 million of compensation expense, a decrease of $0.2 million in professional services, a decrease of $0.2 million in licensing expense, and a decrease of $0.2 million in depreciation, rent, and other expenses, partially offset by $0.1 million increase to development and other expenses.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aggregate research and development expenses to increase during the remainder of 2025 as compared to the corresponding comparable period in 2024 as we commence the ReSPECT-LM dose optimization trial for REYOBIQ and prepare for the launch of CNSide Diagnostic.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costs for administrative personnel, legal and other professional expenses, and general corporate expenses. The following table summarizes the general and administrative expenses for the three and six months ended June 30, 2025 and 2024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20" w:type="dxa"/>
            <w:vAlign w:val="bottom"/>
            <w:gridSpan w:val="5"/>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0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1,527</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2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3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1,682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20" w:type="dxa"/>
            <w:vAlign w:val="bottom"/>
            <w:shd w:val="clear" w:color="auto" w:fill="CFF0FC"/>
          </w:tcPr>
          <w:p>
            <w:pPr>
              <w:spacing w:after="0"/>
              <w:rPr>
                <w:sz w:val="19"/>
                <w:szCs w:val="19"/>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$0.5 million during the three months ended June 30, 2025, as compared to the same period in 2024, primarily due to a decrease of $0.7 million in legal and professional services, and a decrease of $0.1 million in other expenses, partially offset by an increase of $0.3 million in compensation expense.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$0.1 million during the six months ended June 30, 2025, as compared to the same period in 2024, primarily due to an increase of $0.6 million in compensation expense, partially offset by a decrease of $0.3 million in legal and professional services, and a decrease of $0.2 million in travel, depreciation expense, and other expenses.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expenditures to increase during the remainder of 2025 as compared to the corresponding comparable period in 2024 as we work towards the commercial launch of CNSide, which will require an increase in administrative and sales headcount.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includes charges related to stock options issued to employees, directors and non-employees. We measure stock-based compensation expense based on the grant-date fair value of any awards granted to our employees. Such expense is recognized over the requisite service period.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2" w:name="page33"/>
    <w:bookmarkEnd w:id="3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stock-based compensation expenses for the three and six months ended June 30, 2025 and 2024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20" w:type="dxa"/>
            <w:vAlign w:val="bottom"/>
            <w:gridSpan w:val="2"/>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7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FF0FC"/>
          </w:tcPr>
          <w:p>
            <w:pPr>
              <w:spacing w:after="0"/>
              <w:rPr>
                <w:sz w:val="19"/>
                <w:szCs w:val="19"/>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expenses, which are impacted by grants of share-based options, vesting schedule of such grants, as well as grant-date fair value of share-based awards, remained consistent for the three and six months ended June 30, 2025 and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non-operating income and expenses for the three and six months ended June 30, 2025 and 2024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28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3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7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(548)</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7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(3,545)</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(3,061)</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(3,545)</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6,512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7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(964)</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r>
      <w:tr>
        <w:trPr>
          <w:trHeight w:val="20"/>
        </w:trPr>
        <w:tc>
          <w:tcPr>
            <w:tcW w:w="57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6,689</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(7,176)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June 30, 2025 as compared to the same period in 2024 was due to the January 2025 payoff of the Pershing Credit Facility. The increase in the fair value of the derivative instruments for the three months ended June 30, 2025 as compared to the same period in 2024 was due to the March 2025 Private Placement and May 2024 Private Placement and accompanying warrants issued in both financings. The decrease in warrant issuance costs for the three months ended June 30, 2025 as compared to the same period in 2024, was due to warrant issuance costs related to the May 2024 Private Placement. The decrease in financing expense for the three months ended June 30, 2025 as compared to the same period in 2024 was due to the reversal of offering costs related to the March 2025 Private Placement.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 in interest expense for the six months ended June 30, 2025 as compared to the same period in 2024 was due to interest expenses incurred in connection with the Funding Notes and Exchange Notes issued in February 2025, offset by the January 2025 payoff of the Pershing Credit Facility. The decrease in the fair value of the derivative instruments for the six months ended June 30, 2025 as compared to the same period in 2024 was primarily due to the March 2025 Private Placement (specifically the liability classified March 2025 Series B Warrants, which were remeasured immediately prior to exercise, before being reclassified as equity), offset by the May 2024 Private Placement (specifically the May 2024 Series A Warrants and May 2024 Series B Warrants, which were initially classified as liabilities before being reclassified as equity). The increase in the warrant issuance costs for the six months ended June 30, 2025 as compared to the same period in 2024 was due to the warrant issuance costs from the March 2025 Private Placement and May 2024 Private Placement. The decrease in financing expense for the six months ended June 30, 2025 as compared to the same period in 2024 was due to the March 2025 PIPE and May 2024 PIPE transactions.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decreased for the three and six months ended June 30, 2025 compared with the same period in 2024 primarily due to lower average cash and investment balances during the three and six months ended June 30, 2025, accreted income on our available-for-sale securities in 2024, and a higher interest rate environment in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and long-term liquidity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key liquidity measures at June 30, 2025 and December 31, 2024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2,233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3720" w:type="dxa"/>
            <w:vAlign w:val="bottom"/>
            <w:tcBorders>
              <w:top w:val="single" w:sz="8" w:color="CFF0FC"/>
            </w:tcBorders>
          </w:tcPr>
          <w:p>
            <w:pPr>
              <w:spacing w:after="0"/>
              <w:rPr>
                <w:sz w:val="18"/>
                <w:szCs w:val="18"/>
                <w:color w:val="auto"/>
              </w:rPr>
            </w:pPr>
          </w:p>
        </w:tc>
        <w:tc>
          <w:tcPr>
            <w:tcW w:w="40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9,214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5,259</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00" w:type="dxa"/>
            <w:vAlign w:val="bottom"/>
          </w:tcPr>
          <w:p>
            <w:pPr>
              <w:spacing w:after="0"/>
              <w:rPr>
                <w:sz w:val="18"/>
                <w:szCs w:val="18"/>
                <w:color w:val="auto"/>
              </w:rPr>
            </w:pPr>
          </w:p>
        </w:tc>
      </w:tr>
      <w:tr>
        <w:trPr>
          <w:trHeight w:val="25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4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1,898</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(10,292)</w:t>
            </w:r>
          </w:p>
        </w:tc>
      </w:tr>
      <w:tr>
        <w:trPr>
          <w:trHeight w:val="628"/>
        </w:trPr>
        <w:tc>
          <w:tcPr>
            <w:tcW w:w="3720" w:type="dxa"/>
            <w:vAlign w:val="bottom"/>
            <w:tcBorders>
              <w:top w:val="single" w:sz="8" w:color="CFF0FC"/>
            </w:tcBorders>
          </w:tcPr>
          <w:p>
            <w:pPr>
              <w:spacing w:after="0"/>
              <w:rPr>
                <w:sz w:val="24"/>
                <w:szCs w:val="24"/>
                <w:color w:val="auto"/>
              </w:rPr>
            </w:pPr>
          </w:p>
        </w:tc>
        <w:tc>
          <w:tcPr>
            <w:tcW w:w="402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-1499235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We incurred net losses of $12.3 million for the six months ended June 30, 2025. We have an accumulated deficit of $505.7 million as of June 30, 2025. Additionally, we used net cash of $12.0 million to fund our operating activities for the six months ended June 30, 2025. These factors raise substantial doubt about our ability to continue as a going concern.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our operating losses have been funded primarily from outside sources of invested capital, from issuance of our common and preferred equity, proceeds from our now-repaid in full term loan with Oxford Finance, LLC (“Oxford”), our line of credit facility with Pershing LLC and grant funding. We have had, and will continue to have, an ongoing need to raise additional cash from outside sources to fund our future clinical development programs and other operations, and commercialize the CNSide Test. There can be no assurance that we will be able to continue to raise additional capital in the future. Our inability to raise additional cash would have a material and adverse impact on our operations and ability to satisfy our obligations.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2025 SPEA</w:t>
      </w:r>
    </w:p>
    <w:p>
      <w:pPr>
        <w:spacing w:after="0" w:line="119" w:lineRule="exact"/>
        <w:rPr>
          <w:sz w:val="20"/>
          <w:szCs w:val="20"/>
          <w:color w:val="auto"/>
        </w:rPr>
      </w:pPr>
    </w:p>
    <w:p>
      <w:pPr>
        <w:jc w:val="both"/>
        <w:ind w:firstLine="64"/>
        <w:spacing w:after="0" w:line="256" w:lineRule="auto"/>
        <w:rPr>
          <w:sz w:val="20"/>
          <w:szCs w:val="20"/>
          <w:color w:val="auto"/>
        </w:rPr>
      </w:pPr>
      <w:r>
        <w:rPr>
          <w:rFonts w:ascii="Times New Roman" w:cs="Times New Roman" w:eastAsia="Times New Roman" w:hAnsi="Times New Roman"/>
          <w:sz w:val="18"/>
          <w:szCs w:val="18"/>
          <w:color w:val="auto"/>
        </w:rPr>
        <w:t>On February 13, 2025 (the “February 2025 SPEA Closing Date”), we entered into a securities purchase and exchange agreement (the “February 2025 SPEA”) with certain existing accredited investors. Pursuant to the February 2025 SPEA, on the February 2025 SPEA Closing Date we issued secured convertible promissory notes (the “Funding Notes”) in the aggregate principal amount of $3.3 million together with common stock purchase warrants (the “February 2025 Warrants”) to purchase 3,002,009 shares of our common stock at an exercise price of $1.12 per share. The aggregate purchase price for the Funding Note and February 2025 Warrants was approximately $3.7 million and included payment of $0.125 per February 2025 Warrant in accordance with the listing rules of Nasdaq.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Notes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May 2024 Purchase Agreement (as described below) included certain limitations and restrictions on our ability to issue securities and provided the May 2024 Private Placement Purchasers other than our directors and executive officers (the “Outside Investors”) participation rights in future equity and equity-linked offerings of securities, subject to certain limited exceptions (the “Financing Restrictions”). On the February 2025 SPEA Closing Date, pursuant to the February 2025 SPEA, we issued to the Outside Investors secured convertible promissory notes in the aggregate amount of $3.2 million (the “Exchange Notes”) in exchange for cancellation of the 3,543,247 May 2024 Series A Warrants held by them, and the Outside Investors entered into a second amendment to the May 2024 Purchase Agreement to eliminate the Financing Restrictions.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below, we repurchased the Funding Notes and issued common stock and warrants for cancellation of the Exchange Notes in connection with the March 2025 Private Placement.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2025 Private Placement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4, 2025, we entered into a securities purchase agreement (the “March 2025 Purchase Agreement”) with accredited investors, including certain of our existing stockholders, identified on the signature page thereto (collectively, the “March 2025 Private Placement Purchasers”) for a private placement of securities (the “March 2025 Private Placement”) for gross proceeds of approximately $15.0 million. Pursuant to the March 2025 Purchase Agreement, we issued an aggregate of 4,069,738 shares (the “March 2025 Private Placement Shares”) of our common stock and 23,972,400 Pre-Funded Warrants, with each March 2025 Private Placement Share or Pre-Funded Warrant accompanied by (i) a Series A common warrant (the “March 2025 Series A Warrants”) to purchase one share of common stock and (ii) one Series B common warrant (the “March 2025 Series B Warrants”) to purchase one share of common stock.</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purchase price of $0.66 for each March 2025 Private Placement Share or $0.659 for each Pre-Funded Warrant in the March 2025 Private Placement, together with one accompanying March 2025 Series A Warrant and one accompanying March 2025 Series B Warrant, represented the applicable “Minimum Price” in accordance with Listing Rule 5635(d) of Nasdaq.</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exercise price of each March 2025 Series A Warrant is $1.32 per share of common stock. The March 2025 Series A Warrants are exercisable only following stockholder approval and expire five (5) years thereafter. The March 2025 Series A Warrants are subject to certain price reset, share combination event and anti-dilution provisions which, if triggered, provide that the number of shares issuable upon exercise of the March 2025 Series A Warrants will downward adjust, subject to the Floor Price, and the number of shares issuable upon exercise therefor will increase such that the aggregate exercise price remains unchanged.</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initial exercise price of each March 2025 Series B Warrant is $1.98 per share of common stock. The March 2025 Series B Warrants are exercisable only following stockholder approval and expire two and one-half (2.5) years thereafter. The March 2025 Series B Warrants are subject to certain price reset and share combination event provisions which, if triggered, provide that the number of shares issuable upon exercise of the March 2025 Series B Warrants will downward adjust, subject to the Floor Price, and the number of shares issuable upon exercise therefor will increase such that the aggregate exercise price remains unchanged. In addition, the March 2025 Series B Warrant alternative cashless exercise provision provides that the March 2025 Series B Warrant can be exercised without further payment to us and for three times the number of shares of common stock then subject to the March 2025 Series B Warrant.</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securities issued in the March 2025 Private Placement, 3,077,270 shares of Common Stock, 19,650,000 shares of March 2025 Pre-Funded Warrants in lieu thereof, and the accompanying 22,727,270 March 2025 Series A Warrants and 22,727,270 March 2025 Series B Warrants, were issued in consideration of new capital subscriptions, and 992,468 shares of Common Stock, 4,322,400 March</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2025 Pre-Funded Warrants in lieu thereof, and the accompanying 5,314,870 March 2025 Series A Warrants and 5,314,870 March 2025 Series B Warrants, were issued in exchange for the cancelation of the Exchange Notes.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March 2025 Private Placement closed on March 7, 2025. The aggregate gross proceeds at the closing were approximately $15.0 million, before deducting $1.4 million of expenses payable by us.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 2025, our stockholders approved, among other things, the March 2025 Series A Warrants and March 2025 Series B Warrants and an amendment of our Certificate of Incorporation, as amended, to increase the authorized share capital to an amount sufficient to cover the shares of common stock issuable upon the exercise of the March 2025 Series A Warrants and March 2025 Series B Warrants. As part of the March 2025 Series A Warrants and March 2025 Series B Warrants agreement, the exercise price of the March 2025 Series A Warrants and March 2023 Series B Warrants were reset on May 19, 2025 to $0.4373 per share. Prior to modification of the March 2025 Series B Warrants as part of the Letter Agreement (as further described below), certain March 2025 Series B Warrants were cashless exercised for the issuance of 21,482,492 shares of common stock. The liability classified March 2025 Series B Warrants were remeasured immediately prior to exercise, which resulted in a $3.8 million gain on the change in fair value for the three and six months ended June 30, 2025, and a $0.8 million credit to additional paid-in-capital.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2025, the Company and the Purchasers entered into a letter agreement (the “Letter Agreement”) with each of the Purchasers in an effort to, among other items, minimize the dilutive impact of the March 2025 Private Placement. The Letter Agreement extinguished the March 2025 Series A Warrants, modified the March 2025 Series B Warrants, and provided for the return of Private Placement Shares and Pre-Funded Warrants, as further discussed in the following paragraphs.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Letter Agreement, all March 2025 Series A Warrants were cancelled, which resulted in a $2.7 million gain on change in fair value recorded as capital contribution to additional paid-in capital, as the extinguishment was deemed equivalent to a capital contribution by existing shareholders of the Company.</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same transaction, the March 2025 Series B Warrants were amended ("Amended March 2025 Series B Warrants"), to (a) reduce the overall number of March 2025 Series B Warrant Shares issuable upon exercise of the Series B Warrants to an aggregate of up to 35,536,380 Series B Warrant Shares, (b) reduce the alternative cashless exercise ratio in such March 2025 Series B Warrants from 3:1 to 1:1, and (c) remove provisions contained in the March 2025 Series B Warrants that would otherwise reduce the Company’s stockholders’ equity. As a result of the Letter Agreement, the Amended March 2025 Series B Warrants no longer fail the indexation guidance under ASC 815, Derivatives and Hedging, and the fair value of the warrant liability, in the amount of $11.0 million was reclassified to equity. Immediately prior to reclassification, the March 2025 Series B Warrant liability was remeasured, and $4.5 million was recorded as a capital contribution to additional paid-in capital, as the modification of the March 2025 Series B Warrants was deemed equivalent to a capital contribution by existing shareholders of the Company. After the June 17, 2025 modification, 34,794,54 Amended March 2025 Series B Warrants were cashless exercised.</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Lastly, in conjunction with the Letter Agreement, each of the March 2025 Private Placement Purchasers agreed to return an aggregate of 12,241,986 Private Placement Shares and Pre-Funded Warrants issuable for an aggregate of 10,633,650 Pre-Funded Warrant Shares, held by them as of the date of the Letter Agreement, upon request of the Company (the "Letter Agreement Repurchase Option"), which were issued pursuant to the March 2025 Private Placement Purchase Agreement for a value of $0.66 per Private Placement Share and $0.659 per Pre-Funded Warrant. In exchange therefor, the Company agreed to repay the March 2025 Private Placement Purchasers holding such securities 115% of such value, using 90% of the proceeds from any capital raised by the Company subsequent to July 1, 2025. The Company and each of the March 2025 Private Placement Purchasers also agreed to waive any restrictions on subsequent equity sales and variable rate transactions contained in March 2025 Private Placement Purchase Agreement to allow for such repayment. As of June 30, 2025, the Company had not elected to repurchase any shares from the March 2025 Private Placement Purchasers under the terms of the Letter Agreement </w:t>
      </w:r>
      <w:r>
        <w:rPr>
          <w:rFonts w:ascii="Times New Roman" w:cs="Times New Roman" w:eastAsia="Times New Roman" w:hAnsi="Times New Roman"/>
          <w:sz w:val="18"/>
          <w:szCs w:val="18"/>
          <w:color w:val="2B333D"/>
        </w:rPr>
        <w:t>and therefore, there is no liability recorded as of June 30, 2025 related to this Letter Agreement Repurchase Option.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Amendment to the February 2025 SPEA</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March 2025 Purchase Agreement, we entered into that certain First Amendment to the February 2025 SPEA (the “First Amendment”). The February 2025 SPEA included certain limitations and restrictions on our ability to issue securities and provided the investors participation rights in future equity and equity-linked offerings of securities, subject to certain limited exceptions (the “New Financing Restrictions”). Pursuant to the First Amendment, subject to consummation of the March 2025 Private Placement, we agreed to repurchase from the Investors $3.4 million in principal amount of the Funding Notes and accrued interest, along with the February 2025 Warrants issued pursuant to the February 2025 SPEA for an aggregate purchase price of $4.2 million. In exchange for the repurchase by us of the Funding Notes and February 2025 SPEA Warrants, the February 2025 Purchasers agreed to consent to the March 2025 Private Placement and eliminate the New Financing Restrictions.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2024, we entered into a securities purchase agreement (the “May 2024 Purchase Agreement”), which was subsequently amended, with certain investors, including certain of the our directors and executive officers (the “May 2024 Private Placement Purchasers”), whereby we issued and sold in a private placement (the “May 2024 Private Placement”): (i) 3,591,532 shares of common stock or, at the election of each investor, Pre-Funded warrants (“May 2024 Pre-Funded Warrants”) to purchase shares of common stock exercisable immediately at an exercise price of $0.001 per share. Each share or May 2024 Pre-Funded Warrant was accompanied by (i) a Series A common warrant (“May 2024 Series A Warrants”) to purchase one share of common stock, for an aggregate of 3,591,532 Series A Warrants, and (ii) one Series B common warrant (“May 2024 Series B Warrants”) to purchase one share of common stock, for an aggregate of 3,591,532 May 2024 Series B Warrants. At the closing of the May 2024 Private Placement, we received net proceeds of approximately $7.3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Lincoln Park Purchase Agreement</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17, 2025, we entered into a purchase agreement (the “Lincoln Park Purchase Agreement”) and a registration rights agreement pursuant to which Lincoln Park Capital Fund (“Lincoln Park”) committed to purchase up to $50.0 million of shares of our common stock. Under the terms and subject to the conditions of the Lincoln Park Purchase Agreement, we have the right, but not the obligation, to sell to Lincoln Park, and Lincoln Park is obligated to purchase up to $50.0 million of shares of our common stock. Sales of common stock by us are subject to certain limitations, and can occur from time to time, at our sole discretion, over the 36-month period commencing on June 23, 2025, subject to the satisfaction of certain conditions. Actual sales of shares of common stock to Lincoln Park under the Lincoln Park Purchase Agreement depend on a variety of factors to be determined by us from time to time, including, among others, market conditions, the trading price of the common stock and our determinations as to the appropriate sources of funding for the Company and its operations. As consideration for Lincoln Park’s irrevocable commitment to purchase shares of our common stock upon the terms of and subject to satisfaction of the conditions set forth in the Lincoln Park Purchase Agreement,</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23, 2025, a registration statement (the “Registration Rights Agreement”) was declared effective covering the resale of up to 17,000,000 shares of our common stock. In accordance with the Lincoln Park Purchase Agreement, we are required to pay Lincoln Park an initial commitment fee of $0.5 million, which we may elect to pay in cash or shares of its common stock, or a combination of cash and shares of common stock, due between July 1, 2025 and August 8, 2025. An additional commitment fee of $0.5 million will be paid in cash or shares of common stock, or a combination of cash and shares of common stock, if and when we sell over $25.0 million of our common stock under the Lincoln Park Purchase Agreement.</w:t>
      </w:r>
    </w:p>
    <w:p>
      <w:pPr>
        <w:spacing w:after="0" w:line="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June 30, 2025, we issued 10,187,000 shares under the Lincoln Park Purchase Agreement for gross proceeds of approximately $2.8 million. The Company incurred approximately $50,000 for legal fees in connection with the Lincoln Park Purchase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CPRIT Grant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19, 2022, we entered into the CPRIT Contract, pursuant to which CPRIT will provide us with the CPRIT Grant of $17.6 million subject to the terms of the CPRIT Contract, to fund approximately two-thirds of the continued development of REYOBIQ for the treatment of patients with LM. We recognized $1.4 million, $5.8 million, $4.9 million and $0.2 million of grant revenue during the six months ended June 30, 2025, years ended December 31, 2024, 2023 and 2022, respectively, all of which has been received. The amounts recognized represents CPRIT’s share of the costs incurred for our REYOBIQ development for the treatment of patients with LM. As of June 30, 2025, we had no deferred grant liability related to the CPRIT Grant.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Compliance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8, 2024, we received notice from the Listing Qualifications staff of Nasdaq (the “Staff”), notifying us that we no longer complied with the requirement under Nasdaq Listing Rule 5550(b)(1) to maintain a minimum of $2.5 million in stockholders’ equity (the “Minimum Stockholders’ Equity Requirement”) for continued listing on The Nasdaq Capital Market or the alternative requirements of having a market value of listed securities of $35 million or net income from continuing operations of $500,000 in the most recently completed fiscal year or two of the last three most recently completed fiscal years.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5, 2024, Nasdaq notified us that we had not regained compliance with Nasdaq Listing Rule 5550(b)(1). We requested a hearing before the Nasdaq hearing panel and on October 30, 2024, we received a decision from the panel, notifying us that we had until March 4, 2025 to demonstrate compliance with the Minimum Stockholders’ Equity Requirement.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7, 2025, we received notification from Nasdaq that it had regained compliance with the Minimum Stockholders’ Equity Requirement due to the March 2025 Private Placement.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5815(d)(4)(B), we will be subject to a Mandatory Panel Monitor until March 7, 2026. If the Staff finds us again out of compliance with the Minimum Stockholders’ Equity Requirement before that date, we would not be permitted to provide the Staff with a plan of compliance with respect to that deficiency and the Staff would not be permitted to grant additional time for us to regain compliance with respect to that deficiency, nor would we be afforded an applicable cure or compliance period. Instead, the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Staff would issue a “Delist Determination Letter” and we would have an opportunity to request a hearing before the panel regarding our continued listing.</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on May 16, 2025, we received notice from Nasdaq that, because the closing bid price for our common stock has fallen below $1.00 per share for 30 consecutive business days, we no longer comply with the minimum bid price requirement pursuant to Nasdaq Listing Rule 5550(a)(2) (the “Minimum Bid Requirement”).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Nasdaq’s Minimum Bid Requirement notice has no immediate effect on the listing or trading of our common stock. Pursuant to Nasdaq Listing Rule 5810(c)(3)(A), we are provided an initial compliance period of 180 calendar days, or until November 12, 2025, to regain compliance with the Minimum Bid Requirement. To regain compliance, the closing bid price of our common stock must meet or exceed $1.00 per share for a minimum of 10 consecutive business days prior to November 12, 2025.</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do not achieve compliance with the Minimum Bid Requirement by November 12, 2025, we may be eligible for an additional 180 calendar days to regain compliance. To qualify, we would be required to meet the continued listing requirement for market value of publicly held shares and all other Nasdaq initial listing standards, with the exception of the Minimum Bid Requirement, and provide written notice of its intention to cure the minimum bid price deficiency during the second compliance period by effecting a reverse stock split if necessary. If the Staff determines that we will not be able to cure the deficiency, or if we are otherwise not eligible for such additional compliance period, Nasdaq will provide notice that our common stock will be subject to delisting. In the event we receive notice that its common stock is being delisted, Nasdaq rules permit us to appeal any delisting determination by the Staff.</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intend to monitor the closing bid price of our common stock and may, if appropriate, consider implementing available options to regain compliance with the Minimum Bid Requirement.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 2025, our stockholders granted discretionary authority to our board of directors to (i) amend our Certificate of Incorporation to combine outstanding shares of our common stock into a lesser number of outstanding shares, or a “reverse stock split,” at a specific ratio within a range of one-for twenty five (1-for-25) to a maximum of one-for-two hundred fifty (1-for-250), with the exact ratio to be determined by the board of directors in its sole discretion; and (ii) effect the reverse stock split, if at all, within twelve (12) months of the date the proposal is approved by stockholders.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2025, we received a notice from the Staff that, as a result of our delay in filing our Quarterly Report on Form 10-Q for the period ended March 31, 2025, we were not in compliance with Nasdaq Listing Rule 5250(c)(1) (the “Rule”), which requires Nasdaq-listed companies to timely file all required periodic financial reports with the U.S. Securities and Exchange Commission (the “SEC”).</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notice states that we have until July 21, 2025, to submit to Nasdaq an update to our plan to regain compliance with the Rule. The notice also indicates that any additional exception to allow us to regain compliance with all delinquent filings will be limited to up to 180 calendar days from the due date of the filing, or until November 17, 2025. The notice has no immediate effect on the listing of our securities on Nasdaq.</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 2025, the Company received a letter from the Staff stating that the Company had regained compliance with the Rule 5250(c)(1) due to filing its Quarterly Report on Form 10-Q for the period ended March 31, 2025 with the SEC on May 30, 2025.</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2025, the Staff notified the Company that it was not in compliance with the Minimum Stockholders’ Equity Requirement (the “June 3 Letter”). The Company reported stockholders’ equity (deficit) of ($23,641,000) in its Quarterly Report on Form 10-Q for the period ended March 31, 2025, and, as a result, did not satisfy the Minimum Stockholders’ Equity Requirement pursuant to Listing Rule 5550(b)(1). As a result, the Staff determined to delist the Company’s securities from Nasdaq, unless the Company timely requests an appeal of the Staff’s determination to a Hearings Panel (the “Panel”), pursuant to the procedures set forth in the Nasdaq Listing Rule 5800 Series. The Company timely requested a hearing, which hearing took place as scheduled on July 15, 2025.</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22, 2025, the Panel issued a decision (the “July 2025 Decision”) granting the Company’s request for continued listing on Nasdaq, subject to the Company demonstrating compliance with (1) the Minimum Stockholders’ Equity Requirement pursuant to Listing Rule 5550 (b)(1) by August 14, 2025 by filing a timely public disclosure describing the transactions undertaken by the Company to achieve compliance and demonstrate long-term compliance of the Minimum Stockholders’ Equity Requirement, and by providing an indication of its equity following those transactions, with the option by including in the public filing a balance sheet not older than 60 days with pro forma adjustments for any significant transactions or events occurring on or before the report date; and (2) the Minimum Bid Requirement by September 8, 2025.</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regain compliance with the Minimum Stockholders’ Equity Requirement or the Minimum Bid Requirement.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and Material Cash Requirements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our operating losses have been funded primarily from outside sources of invested capital from issuance of shares of our common and preferred equity, warrants, proceeds from the now-repaid in full term loan with Oxford, the margin loan facility under a line of credit with Pershing and grant funding. However, we have had, and will continue to have, an ongoing need to raise additional cash from outside sources through a combination of equity offerings, debt financings and potential collaboration, license or development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t>agreements to fund our future clinical development programs, commercialization of CNSide, and other operations in the next twelve months from the filing of this Quarterly Report. Debt financing and preferred equity financing, if available, may involve agreements that include covenants limiting or restricting our ability to take specific actions, such as incurring additional debt, making capital expenditures, or declaring dividends. There can be no assurance that we will be able to continue to raise additional capital in the future. Our inability to raise additional cash would have a material adverse impact on our operations, implementation of our strategy and ability to maintain compliance with applicable requirements, including Nasdaq listing rules.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and cash requirements will depend on many factors, including, among other things:</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our ongoing and planned clinical trials and nonclinical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and the timing of receipt of, future regulatory approvals for our product candidates and the costs related thereto;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utility of the CNSide Test;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ongoing and planned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operations and building our sales and marketing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strategic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if approved;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new product candidates that we identify and attempt to develop.</w:t>
      </w:r>
    </w:p>
    <w:p>
      <w:pPr>
        <w:spacing w:after="0" w:line="117" w:lineRule="exact"/>
        <w:rPr>
          <w:sz w:val="20"/>
          <w:szCs w:val="20"/>
          <w:color w:val="auto"/>
        </w:rPr>
      </w:pPr>
    </w:p>
    <w:p>
      <w:pPr>
        <w:jc w:val="both"/>
        <w:ind w:firstLine="53"/>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that we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our ability to continue as a going concern.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provided by operating, investing, and financing activities for the six months ended June 30, 2025 and 2024 is summarized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(11,970)</w:t>
            </w:r>
          </w:p>
        </w:tc>
        <w:tc>
          <w:tcPr>
            <w:tcW w:w="11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(5,663)</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(4,166)</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80" w:type="dxa"/>
            <w:vAlign w:val="bottom"/>
            <w:gridSpan w:val="2"/>
          </w:tcPr>
          <w:p>
            <w:pPr>
              <w:jc w:val="right"/>
              <w:ind w:right="828"/>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60" w:type="dxa"/>
            <w:vAlign w:val="bottom"/>
          </w:tcPr>
          <w:p>
            <w:pPr>
              <w:spacing w:after="0"/>
              <w:rPr>
                <w:sz w:val="18"/>
                <w:szCs w:val="18"/>
                <w:color w:val="auto"/>
              </w:rPr>
            </w:pPr>
          </w:p>
        </w:tc>
        <w:tc>
          <w:tcPr>
            <w:tcW w:w="1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(3,642)</w:t>
            </w:r>
          </w:p>
        </w:tc>
      </w:tr>
      <w:tr>
        <w:trPr>
          <w:trHeight w:val="20"/>
        </w:trPr>
        <w:tc>
          <w:tcPr>
            <w:tcW w:w="7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Obligations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CPRIT Contract, we receive matching funds for approximately two-thirds of the development costs for the development of REYOBIQ for the treatment of patients with LM, subject to various funding conditions. The CPRIT Contract is effective for three years, unless otherwise terminated pursuant to the terms of the contract. CPRIT may require us to repay some or all of the disbursed CPRIT Grant proceeds (with interest not to exceed 5% annually) in the event of the early termination of the CPRIT Contract.</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Other than as described above, we have no purchase commitments or long-term contractual obligations, except for lease obligations as of June 30, 2025.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2025 was $12.0 million, compared with $5.7 million in the same period of 2024, primarily due to an increase to net loss of $6.0 million, an increase to the fair value of derivative instruments of $7.3 million, offset by decreases to operating assets and liabilities of $7.0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was primarily related to the purchase of short-term investments of $7.8 million offset by the redemption of short-term investments of $6.7 million.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related to the purchase of Biocept assets of $0.5 million, short-term investments of $3.5 million and purchases of fixed assets of $0.1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2025 was related to $3.3 million repayment on the Pershing Credit Facility, $3.7 million repayment of Notes payable, and $0.2 million costs from sale of common stock offset by $15.0 million of net proceeds from sale of common stock, Pre-Funded Warrants and warrants in connection with the March 2025 Private Placement, $3.7 million of net proceeds from issuance of notes payable and warrants, $2.8 million in net proceeds from the sale of common stock under the Lincoln Park Purchase Agreement, and $0.9 million related to cash received from exercise of Series B Warrants from the May 2024 Private Placement.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related to net proceeds of $7.3 million raised by the May 2024 Private Placement, and drawdown of $3.3 million from the Pershing Credit Facility, offset by repurchase of treasury stock for approximately $0.4 million and repayment of principle balance under the Oxford loan of $4.0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and assumptions that affect the reported amounts of our assets, liabilities, revenues and expenses, and that affect our recognition and disclosure of contingent assets and liabilities.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estimates are based on assumptions we consider reasonable at the time they were made, our actual results may differ from our estimates, perhaps significantly. If results differ materially from our estimates, we will make adjustments to our consolidated financial statements prospectively as we become aware of the necessity for an adjustment.</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We believe it is important for you to understand our most critical accounting policies. Our critical accounting policies and estimates are discussed in our Annual Report on Form 10-K for the fiscal year ended December 31, 2024 and there have been no material changes during the six months ended June 30, 2025, other than what was disclosed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of the accompanying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-38735</wp:posOffset>
            </wp:positionV>
            <wp:extent cx="3079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of 1934, as amended (the “Exchange Act”), that are designed to ensure that information required to be disclosed in our reports that we file or furnish pursuant to the Exchange Act is recorded, processed, summarized and reported within the time periods specified in the SEC’s rules and forms, and that such information is accumulated and communicated to our management, including our Chief Executive Officer (our principal executive officer) and Chief Financial Officer (our principal financial officer and principal accounting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Quarterly Report. Based on the foregoing, our Chief Executive Officer (our principal executive officer) and Chief Financial Officer (our principal financial officer and principal accounting officer) concluded that our disclosure controls and procedures (as defined in Rules 13a-15(e) and 15d-15(e) under the Exchange Act) were effective at the reasonable assurance level as of the end of the period covered by this Quarterly Report.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June 30, 2025, that has materially affected, or is reasonably likely to materially affect, our internal control over financial reporting.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“Risk Factors” of our Annual Report on Form 10-K for the year ended December 31, 2024, which are incorporated herein by this reference, other than as set forth below.</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be delisted from Nasdaq for failure to comply with the Minimum Stockholders’ Equity Requirement, the Minimum Bid Requirement or other applicable continued listing requirements and standards of Nasdaq, which would seriously harm the liquidity of our stock and our ability to raise capital.</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maintain compliance with Nasdaq's continued listing requirements and standards. The Company timely requested a hearing, which hearing took place as scheduled on July 15, 2025. On July 22, 2025, the Panel issued the July 2025 Decision granting the Company’s request for continued listing on Nasdaq, subject to the Company demonstrating compliance with (1) the Minimum Stockholders’ Equity Requirement pursuant to Listing Rule 5550 (b)(1) by August 14, 2025 by filing a timely public disclosure describing the transactions undertaken by the Company to achieve compliance and demonstrate long-term compliance of the Minimum Stockholders’ Equity Requirement, and by providing an indication of its equity following those transactions, with the option by including in the public filing a balance sheet not older than 60 days with pro forma adjustments for any significant transactions or events occurring on or before the report date; and (2) the Minimum Bid Requirement by September 8,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assurances that we will be able to comply with the applicable listing requirements and standards of Nasdaq.</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Stockholders’ Equity Requirement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2024, we received notice from the Listing Qualifications staff of Nasdaq (the “Staff”), notifying us that we no longer maintained at least $2.5 million in stockholders’ equity, as required under Nasdaq Listing Rule 5550(b)(1) (the “Minimum Stockholders’ Equity Requirement”).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5, 2024, Nasdaq notified us that we had not regained compliance with the Minimum Stockholders’ Equity Requirement and that, as a result, unless we timely requested an appeal of this determination to a Nasdaq hearing panel, Nasdaq would move to suspend trading of our common stock and to have our shares of common stock delisted from The Nasdaq Capital Market. The Company timely requested a hearing before the panel, and the hearing was held on October 22, 2024. On October 30, 2024, Nasdaq provided us until March 4, 2025, to notify Nasdaq that we were in compliance with the Minimum Stockholders’ Equity Requirement. On March 7, 2025, the Company received notification from Nasdaq that it had regained compliance with the Minimum Stockholders’ Equity Requirement.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Nasdaq Listing Rule 5815(d)(4)(B), we will be subject to a Mandatory Panel Monitor until March 7, 2026. If the Staff finds we are again out of compliance with the Minimum Stockholders’ Equity Requirement before that date, we will not be permitted to provide the Staff with a plan of compliance with respect to that deficiency and the Staff would not be permitted to grant additional time for us to regain compliance with respect to that deficiency, nor would we be afforded an applicable cure or compliance period. Instead, the Staff would issue a “Delist Determination Letter” and we would have an opportunity to request a Nasdaq hearing panel regarding our continued listing. As disclosed in this Quarterly Report, our stockholders’ equity as of March 31, 2025 was below the Minimum Stockholders’ Equity Requirement. Accordingly, we expect the Staff will issue a “Delist Determination Letter” and, once issued, we intend to request a hearing before a Nasdaq hearing panel regarding our continued listing with respect to the Minimum Stockholders’ Equity Requirement.</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3, 2025, the Staff notified the Company that it was not in compliance with the Minimum Stockholders’ Equity Requirement. The Company reported stockholders’ equity (deficit) of ($23,641,000) in its Quarterly Report on Form 10-Q for the period ended March 31, 2025, and, as a result, did not satisfy the Minimum Stockholders’ Equity Requirement pursuant to Listing Rule 5550(b)(1). As a result, the Staff determined to delist the Company’s securities from Nasdaq, unless the Company timely requests an appeal of the Staff’s determination to a hearings panel, pursuant to the procedures set forth in the Nasdaq Listing Rule 5800 Series. The Company timely requested a hearing, which hearing took place as scheduled on July 15, 2025.</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July 22, 2025, the Panel issued the July 2025 Decision, granting the Company’s request for continued listing on Nasdaq, subject to the Company demonstrating compliance with (1) the Minimum Stockholders’ Equity Requirement pursuant to Listing Rule 5550 (b)(1) by August 14, 2025 by filing a timely public disclosure describing the transactions undertaken by the Company to achieve compliance and demonstrate long-term compliance of the Minimum Stockholders’ Equity Requirement, and by providing an indication of its equity following those transactions, with the option by including in the public filing a balance sheet not older than 60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days with pro forma adjustments for any significant transactions or events occurring on or before the report date; and (2) the Minimum Bid Requirement by September 8, 2025.</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regain compliance with the Minimum Stockholders' Equity Requirement or the Minimum Bid Requirement.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Bid Requirement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16, 2025, we received notice from Nasdaq that, because the closing bid price for the our common stock has fallen below $1.00 per share for 30 consecutive business days, we no longer comply with the minimum bid price requirement pursuant to Nasdaq Listing Rule 5550(a)(2) (the “Minimum Bid Requirement”). Nasdaq’s notice has no immediate effect on the listing or trading of our common stock. Pursuant to Nasdaq Listing Rule 5810(c)(3)(A), we are provided an initial compliance period of 180 calendar days, or until November 12, 2025, to regain compliance with the Minimum Bid Requirement. To regain compliance, the closing bid price of our common stock must meet or exceed $1.00 per share for a minimum of 10 consecutive business days prior to November 12, 2025.</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do not achieve compliance with the Minimum Bid Requirement by November 12, 2025, we may be eligible for an additional 180 calendar days to regain compliance. To qualify, we would be required to meet the continued listing requirement for market value of publicly held shares and all other Nasdaq initial listing standards, with the exception of the Minimum Bid Requirement, and provide written notice of our intention to cure the minimum bid price deficiency during the second compliance period by effecting a reverse stock split if necessary. If the Staff determines that we will not be able to cure the deficiency, or if we are otherwise not eligible for such additional compliance period, Nasdaq will provide notice that our common stock will be subject to delisting. In the event we receive notice that our common stock is being delisted, Nasdaq rules permit us to appeal any delisting determination by the Staff. Furthermore, any efforts we take to meet the Minimum Bid Requirement, including pursuing a reverse stock split, may not be sufficient.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Consequences of Delisting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assurance that we will be able to meet Nasdaq’s listing requirements or comply with the requisite Nasdaq requirements to maintain our listing of common stock on Nasdaq. In the event that our common stock is delisted from Nasdaq, as a result of our failure to comply with the Minimum Stockholders’ Equity Requirement or the Minimum Bid Requirement or as a result of our failure to continue to comply with any other requirement for continued listing on Nasdaq, and we are not able to list our securities on Nasdaq or any other national securities exchange, we could face significant material adverse consequences, including:</w:t>
      </w:r>
    </w:p>
    <w:p>
      <w:pPr>
        <w:spacing w:after="0" w:line="75" w:lineRule="exact"/>
        <w:rPr>
          <w:sz w:val="20"/>
          <w:szCs w:val="20"/>
          <w:color w:val="auto"/>
        </w:rPr>
      </w:pPr>
    </w:p>
    <w:p>
      <w:pPr>
        <w:ind w:left="520" w:hanging="511"/>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of the market price of our common stock;</w:t>
      </w:r>
    </w:p>
    <w:p>
      <w:pPr>
        <w:spacing w:after="0" w:line="117" w:lineRule="exact"/>
        <w:rPr>
          <w:rFonts w:ascii="Times New Roman" w:cs="Times New Roman" w:eastAsia="Times New Roman" w:hAnsi="Times New Roman"/>
          <w:sz w:val="18"/>
          <w:szCs w:val="18"/>
          <w:color w:val="auto"/>
        </w:rPr>
      </w:pPr>
    </w:p>
    <w:p>
      <w:pPr>
        <w:ind w:left="520" w:hanging="511"/>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common stock;</w:t>
      </w:r>
    </w:p>
    <w:p>
      <w:pPr>
        <w:spacing w:after="0" w:line="117" w:lineRule="exact"/>
        <w:rPr>
          <w:rFonts w:ascii="Times New Roman" w:cs="Times New Roman" w:eastAsia="Times New Roman" w:hAnsi="Times New Roman"/>
          <w:sz w:val="18"/>
          <w:szCs w:val="18"/>
          <w:color w:val="auto"/>
        </w:rPr>
      </w:pPr>
    </w:p>
    <w:p>
      <w:pPr>
        <w:ind w:left="520" w:hanging="511"/>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common stock;</w:t>
      </w:r>
    </w:p>
    <w:p>
      <w:pPr>
        <w:spacing w:after="0" w:line="117" w:lineRule="exact"/>
        <w:rPr>
          <w:rFonts w:ascii="Times New Roman" w:cs="Times New Roman" w:eastAsia="Times New Roman" w:hAnsi="Times New Roman"/>
          <w:sz w:val="18"/>
          <w:szCs w:val="18"/>
          <w:color w:val="auto"/>
        </w:rPr>
      </w:pPr>
    </w:p>
    <w:p>
      <w:pPr>
        <w:ind w:left="520" w:hanging="511"/>
        <w:spacing w:after="0" w:line="282"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53" w:lineRule="exact"/>
        <w:rPr>
          <w:rFonts w:ascii="Times New Roman" w:cs="Times New Roman" w:eastAsia="Times New Roman" w:hAnsi="Times New Roman"/>
          <w:sz w:val="18"/>
          <w:szCs w:val="18"/>
          <w:color w:val="auto"/>
        </w:rPr>
      </w:pPr>
    </w:p>
    <w:p>
      <w:pPr>
        <w:ind w:left="520" w:hanging="511"/>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us;</w:t>
      </w:r>
    </w:p>
    <w:p>
      <w:pPr>
        <w:spacing w:after="0" w:line="117" w:lineRule="exact"/>
        <w:rPr>
          <w:rFonts w:ascii="Times New Roman" w:cs="Times New Roman" w:eastAsia="Times New Roman" w:hAnsi="Times New Roman"/>
          <w:sz w:val="18"/>
          <w:szCs w:val="18"/>
          <w:color w:val="auto"/>
        </w:rPr>
      </w:pPr>
    </w:p>
    <w:p>
      <w:pPr>
        <w:ind w:left="520" w:hanging="511"/>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 and</w:t>
      </w:r>
    </w:p>
    <w:p>
      <w:pPr>
        <w:spacing w:after="0" w:line="117" w:lineRule="exact"/>
        <w:rPr>
          <w:rFonts w:ascii="Times New Roman" w:cs="Times New Roman" w:eastAsia="Times New Roman" w:hAnsi="Times New Roman"/>
          <w:sz w:val="18"/>
          <w:szCs w:val="18"/>
          <w:color w:val="auto"/>
        </w:rPr>
      </w:pPr>
    </w:p>
    <w:p>
      <w:pPr>
        <w:ind w:left="520" w:hanging="511"/>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incurring of additional costs under state blue sky laws in connection with any sales of our securities.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Quarterly Report, we require additional funding to develop our product candidates, conduct future operations, and repay our outstanding debt obligations. If we are unable to obtain the funds necessary to do so because our common stock is not listed on any national securities exchange, we may be required to delay, scale back or eliminate our product development activities, and we may be unable to continue our business operations.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common stock is delisted by Nasdaq, our common stock may be eligible to trade on an over-the-counter quotation system where an investor may find it more difficult to sell our stock or obtain accurate quotations as to the market value of our common stock. In the event our common stock is delisted from Nasdaq, we may not be able to list our common stock on another national securities exchange or obtain quotation on an over-the-counter quotation system.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2(a): Unregistered Sales of Equity Securities and Use of Proceeds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Information required by Item 701 of Regulation S-K as to all unregistered sales of equity securities of the Company during the period covered by this Quarterly Report has previously been included in Current Reports on Form 8-K filed with the SEC.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2(b): Use of Proceeds from 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2(c):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3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9"/>
          </w:tcPr>
          <w:p>
            <w:pPr>
              <w:ind w:left="6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2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10"/>
          </w:tcPr>
          <w:p>
            <w:pPr>
              <w:ind w:left="160"/>
              <w:spacing w:after="0"/>
              <w:rPr>
                <w:sz w:val="20"/>
                <w:szCs w:val="20"/>
                <w:color w:val="auto"/>
              </w:rPr>
            </w:pPr>
            <w:r>
              <w:rPr>
                <w:rFonts w:ascii="Times New Roman" w:cs="Times New Roman" w:eastAsia="Times New Roman" w:hAnsi="Times New Roman"/>
                <w:sz w:val="18"/>
                <w:szCs w:val="18"/>
                <w:b w:val="1"/>
                <w:bCs w:val="1"/>
                <w:color w:val="auto"/>
              </w:rPr>
              <w:t>PLUS THERAPEUTICS, INC.</w:t>
            </w:r>
          </w:p>
        </w:tc>
      </w:tr>
      <w:tr>
        <w:trPr>
          <w:trHeight w:val="403"/>
        </w:trPr>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1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Title</w:t>
            </w:r>
          </w:p>
        </w:tc>
        <w:tc>
          <w:tcPr>
            <w:tcW w:w="122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Filed with this</w:t>
            </w:r>
          </w:p>
        </w:tc>
      </w:tr>
      <w:tr>
        <w:trPr>
          <w:trHeight w:val="212"/>
        </w:trPr>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Form 10-Q</w:t>
            </w:r>
          </w:p>
        </w:tc>
      </w:tr>
      <w:tr>
        <w:trPr>
          <w:trHeight w:val="195"/>
        </w:trPr>
        <w:tc>
          <w:tcPr>
            <w:tcW w:w="1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3.1</w:t>
            </w:r>
          </w:p>
        </w:tc>
        <w:tc>
          <w:tcPr>
            <w:tcW w:w="2840" w:type="dxa"/>
            <w:vAlign w:val="bottom"/>
            <w:tcBorders>
              <w:bottom w:val="single" w:sz="8" w:color="0000EE"/>
            </w:tcBorders>
            <w:gridSpan w:val="7"/>
          </w:tcPr>
          <w:p>
            <w:pPr>
              <w:spacing w:after="0" w:line="195"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Composite Certificate of Incorporation</w:t>
              </w:r>
            </w:hyperlink>
          </w:p>
        </w:tc>
        <w:tc>
          <w:tcPr>
            <w:tcW w:w="2080" w:type="dxa"/>
            <w:vAlign w:val="bottom"/>
            <w:gridSpan w:val="9"/>
          </w:tcPr>
          <w:p>
            <w:pPr>
              <w:spacing w:after="0"/>
              <w:rPr>
                <w:sz w:val="16"/>
                <w:szCs w:val="16"/>
                <w:color w:val="auto"/>
              </w:rPr>
            </w:pPr>
          </w:p>
        </w:tc>
        <w:tc>
          <w:tcPr>
            <w:tcW w:w="1220" w:type="dxa"/>
            <w:vAlign w:val="bottom"/>
          </w:tcPr>
          <w:p>
            <w:pPr>
              <w:spacing w:after="0"/>
              <w:rPr>
                <w:sz w:val="16"/>
                <w:szCs w:val="16"/>
                <w:color w:val="auto"/>
              </w:rPr>
            </w:pPr>
          </w:p>
        </w:tc>
      </w:tr>
      <w:tr>
        <w:trPr>
          <w:trHeight w:val="5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6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300" w:type="dxa"/>
            <w:vAlign w:val="bottom"/>
            <w:gridSpan w:val="5"/>
          </w:tcPr>
          <w:p>
            <w:pPr>
              <w:spacing w:after="0"/>
              <w:rPr>
                <w:sz w:val="24"/>
                <w:szCs w:val="24"/>
                <w:color w:val="auto"/>
              </w:rPr>
            </w:pPr>
          </w:p>
        </w:tc>
        <w:tc>
          <w:tcPr>
            <w:tcW w:w="1220" w:type="dxa"/>
            <w:vAlign w:val="bottom"/>
          </w:tcPr>
          <w:p>
            <w:pPr>
              <w:spacing w:after="0"/>
              <w:rPr>
                <w:sz w:val="24"/>
                <w:szCs w:val="24"/>
                <w:color w:val="auto"/>
              </w:rPr>
            </w:pPr>
          </w:p>
        </w:tc>
      </w:tr>
      <w:tr>
        <w:trPr>
          <w:trHeight w:val="5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46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300" w:type="dxa"/>
            <w:vAlign w:val="bottom"/>
            <w:gridSpan w:val="5"/>
          </w:tcPr>
          <w:p>
            <w:pPr>
              <w:spacing w:after="0"/>
              <w:rPr>
                <w:sz w:val="24"/>
                <w:szCs w:val="24"/>
                <w:color w:val="auto"/>
              </w:rPr>
            </w:pPr>
          </w:p>
        </w:tc>
        <w:tc>
          <w:tcPr>
            <w:tcW w:w="1220" w:type="dxa"/>
            <w:vAlign w:val="bottom"/>
          </w:tcPr>
          <w:p>
            <w:pPr>
              <w:spacing w:after="0"/>
              <w:rPr>
                <w:sz w:val="24"/>
                <w:szCs w:val="24"/>
                <w:color w:val="auto"/>
              </w:rPr>
            </w:pPr>
          </w:p>
        </w:tc>
      </w:tr>
      <w:tr>
        <w:trPr>
          <w:trHeight w:val="5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46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300" w:type="dxa"/>
            <w:vAlign w:val="bottom"/>
            <w:gridSpan w:val="5"/>
          </w:tcPr>
          <w:p>
            <w:pPr>
              <w:spacing w:after="0"/>
              <w:rPr>
                <w:sz w:val="24"/>
                <w:szCs w:val="24"/>
                <w:color w:val="auto"/>
              </w:rPr>
            </w:pPr>
          </w:p>
        </w:tc>
        <w:tc>
          <w:tcPr>
            <w:tcW w:w="1220" w:type="dxa"/>
            <w:vAlign w:val="bottom"/>
          </w:tcPr>
          <w:p>
            <w:pPr>
              <w:spacing w:after="0"/>
              <w:rPr>
                <w:sz w:val="24"/>
                <w:szCs w:val="24"/>
                <w:color w:val="auto"/>
              </w:rPr>
            </w:pPr>
          </w:p>
        </w:tc>
      </w:tr>
      <w:tr>
        <w:trPr>
          <w:trHeight w:val="5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46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300" w:type="dxa"/>
            <w:vAlign w:val="bottom"/>
            <w:gridSpan w:val="5"/>
          </w:tcPr>
          <w:p>
            <w:pPr>
              <w:spacing w:after="0"/>
              <w:rPr>
                <w:sz w:val="24"/>
                <w:szCs w:val="24"/>
                <w:color w:val="auto"/>
              </w:rPr>
            </w:pPr>
          </w:p>
        </w:tc>
        <w:tc>
          <w:tcPr>
            <w:tcW w:w="1220" w:type="dxa"/>
            <w:vAlign w:val="bottom"/>
          </w:tcPr>
          <w:p>
            <w:pPr>
              <w:spacing w:after="0"/>
              <w:rPr>
                <w:sz w:val="24"/>
                <w:szCs w:val="24"/>
                <w:color w:val="auto"/>
              </w:rPr>
            </w:pPr>
          </w:p>
        </w:tc>
      </w:tr>
      <w:tr>
        <w:trPr>
          <w:trHeight w:val="5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46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300" w:type="dxa"/>
            <w:vAlign w:val="bottom"/>
            <w:gridSpan w:val="5"/>
          </w:tcPr>
          <w:p>
            <w:pPr>
              <w:spacing w:after="0"/>
              <w:rPr>
                <w:sz w:val="24"/>
                <w:szCs w:val="24"/>
                <w:color w:val="auto"/>
              </w:rPr>
            </w:pPr>
          </w:p>
        </w:tc>
        <w:tc>
          <w:tcPr>
            <w:tcW w:w="1220" w:type="dxa"/>
            <w:vAlign w:val="bottom"/>
          </w:tcPr>
          <w:p>
            <w:pPr>
              <w:spacing w:after="0"/>
              <w:rPr>
                <w:sz w:val="24"/>
                <w:szCs w:val="24"/>
                <w:color w:val="auto"/>
              </w:rPr>
            </w:pPr>
          </w:p>
        </w:tc>
      </w:tr>
      <w:tr>
        <w:trPr>
          <w:trHeight w:val="6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46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Certificate of Amendment to the Certificate of Incorporation, as</w:t>
              </w:r>
            </w:hyperlink>
          </w:p>
        </w:tc>
        <w:tc>
          <w:tcPr>
            <w:tcW w:w="280" w:type="dxa"/>
            <w:vAlign w:val="bottom"/>
            <w:gridSpan w:val="4"/>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20" w:type="dxa"/>
            <w:vAlign w:val="bottom"/>
            <w:gridSpan w:val="16"/>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amended</w:t>
              </w:r>
            </w:hyperlink>
          </w:p>
        </w:tc>
        <w:tc>
          <w:tcPr>
            <w:tcW w:w="12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4920" w:type="dxa"/>
            <w:vAlign w:val="bottom"/>
            <w:gridSpan w:val="16"/>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Amended and Restated Bylaws of Plus Therapeutics, Inc.</w:t>
              </w:r>
            </w:hyperlink>
          </w:p>
        </w:tc>
        <w:tc>
          <w:tcPr>
            <w:tcW w:w="122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49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Certificate of Designation of Preferences, Rights and Limitations of</w:t>
              </w:r>
            </w:hyperlink>
          </w:p>
        </w:tc>
        <w:tc>
          <w:tcPr>
            <w:tcW w:w="12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20" w:type="dxa"/>
            <w:vAlign w:val="bottom"/>
            <w:gridSpan w:val="16"/>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Series B Convertible Preferred Stock</w:t>
              </w:r>
            </w:hyperlink>
          </w:p>
        </w:tc>
        <w:tc>
          <w:tcPr>
            <w:tcW w:w="12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49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Certificate of Designation of Preferences, Rights and Limitations of</w:t>
              </w:r>
            </w:hyperlink>
          </w:p>
        </w:tc>
        <w:tc>
          <w:tcPr>
            <w:tcW w:w="12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20" w:type="dxa"/>
            <w:vAlign w:val="bottom"/>
            <w:gridSpan w:val="16"/>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Series C Convertible Preferred Stock</w:t>
              </w:r>
            </w:hyperlink>
          </w:p>
        </w:tc>
        <w:tc>
          <w:tcPr>
            <w:tcW w:w="12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6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2240" w:type="dxa"/>
            <w:vAlign w:val="bottom"/>
            <w:gridSpan w:val="10"/>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Form of Common Stock Certificate</w:t>
            </w:r>
          </w:p>
        </w:tc>
        <w:tc>
          <w:tcPr>
            <w:tcW w:w="2360" w:type="dxa"/>
            <w:vAlign w:val="bottom"/>
            <w:gridSpan w:val="11"/>
          </w:tcPr>
          <w:p>
            <w:pPr>
              <w:spacing w:after="0"/>
              <w:rPr>
                <w:sz w:val="24"/>
                <w:szCs w:val="24"/>
                <w:color w:val="auto"/>
              </w:rPr>
            </w:pPr>
          </w:p>
        </w:tc>
        <w:tc>
          <w:tcPr>
            <w:tcW w:w="1220" w:type="dxa"/>
            <w:vAlign w:val="bottom"/>
          </w:tcPr>
          <w:p>
            <w:pPr>
              <w:spacing w:after="0"/>
              <w:rPr>
                <w:sz w:val="24"/>
                <w:szCs w:val="24"/>
                <w:color w:val="auto"/>
              </w:rPr>
            </w:pPr>
          </w:p>
        </w:tc>
      </w:tr>
      <w:tr>
        <w:trPr>
          <w:trHeight w:val="6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Form of Pre-Funded Warrant</w:t>
            </w:r>
          </w:p>
        </w:tc>
        <w:tc>
          <w:tcPr>
            <w:tcW w:w="2800" w:type="dxa"/>
            <w:vAlign w:val="bottom"/>
            <w:gridSpan w:val="12"/>
          </w:tcPr>
          <w:p>
            <w:pPr>
              <w:spacing w:after="0"/>
              <w:rPr>
                <w:sz w:val="24"/>
                <w:szCs w:val="24"/>
                <w:color w:val="auto"/>
              </w:rPr>
            </w:pPr>
          </w:p>
        </w:tc>
        <w:tc>
          <w:tcPr>
            <w:tcW w:w="1220" w:type="dxa"/>
            <w:vAlign w:val="bottom"/>
          </w:tcPr>
          <w:p>
            <w:pPr>
              <w:spacing w:after="0"/>
              <w:rPr>
                <w:sz w:val="24"/>
                <w:szCs w:val="24"/>
                <w:color w:val="auto"/>
              </w:rPr>
            </w:pPr>
          </w:p>
        </w:tc>
      </w:tr>
      <w:tr>
        <w:trPr>
          <w:trHeight w:val="6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Form of Amendment and Restatement of the May 2024 Series A</w:t>
            </w:r>
          </w:p>
        </w:tc>
        <w:tc>
          <w:tcPr>
            <w:tcW w:w="20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Warrant</w:t>
            </w:r>
          </w:p>
        </w:tc>
        <w:tc>
          <w:tcPr>
            <w:tcW w:w="12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47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Form of Amendment and Restatement of the May 2024 Series B</w:t>
            </w:r>
          </w:p>
        </w:tc>
        <w:tc>
          <w:tcPr>
            <w:tcW w:w="220" w:type="dxa"/>
            <w:vAlign w:val="bottom"/>
            <w:gridSpan w:val="3"/>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Warrant</w:t>
            </w:r>
          </w:p>
        </w:tc>
        <w:tc>
          <w:tcPr>
            <w:tcW w:w="12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48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Form of Amended and Restated Series B Common Stock Purchase</w:t>
              </w:r>
            </w:hyperlink>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20" w:type="dxa"/>
            <w:vAlign w:val="bottom"/>
            <w:gridSpan w:val="16"/>
          </w:tcPr>
          <w:p>
            <w:pPr>
              <w:spacing w:after="0" w:line="19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Warrant</w:t>
              </w:r>
            </w:hyperlink>
          </w:p>
        </w:tc>
        <w:tc>
          <w:tcPr>
            <w:tcW w:w="12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4920" w:type="dxa"/>
            <w:vAlign w:val="bottom"/>
            <w:gridSpan w:val="16"/>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Form of Pre-Funded Warrant</w:t>
              </w:r>
            </w:hyperlink>
          </w:p>
        </w:tc>
        <w:tc>
          <w:tcPr>
            <w:tcW w:w="122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120" w:type="dxa"/>
            <w:vAlign w:val="bottom"/>
            <w:tcBorders>
              <w:right w:val="single" w:sz="8" w:color="0000EE"/>
            </w:tcBorders>
            <w:gridSpan w:val="4"/>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6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46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Form of Warrant issued pursuant to the Securities Purchase and</w:t>
              </w:r>
            </w:hyperlink>
          </w:p>
        </w:tc>
        <w:tc>
          <w:tcPr>
            <w:tcW w:w="300" w:type="dxa"/>
            <w:vAlign w:val="bottom"/>
            <w:gridSpan w:val="5"/>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0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Exchange Agreement, dated February 13, 2025, by and</w:t>
              </w:r>
            </w:hyperlink>
          </w:p>
        </w:tc>
        <w:tc>
          <w:tcPr>
            <w:tcW w:w="900" w:type="dxa"/>
            <w:vAlign w:val="bottom"/>
            <w:gridSpan w:val="8"/>
          </w:tcPr>
          <w:p>
            <w:pPr>
              <w:spacing w:after="0"/>
              <w:rPr>
                <w:sz w:val="17"/>
                <w:szCs w:val="17"/>
                <w:color w:val="auto"/>
              </w:rPr>
            </w:pPr>
          </w:p>
        </w:tc>
        <w:tc>
          <w:tcPr>
            <w:tcW w:w="1220" w:type="dxa"/>
            <w:vAlign w:val="bottom"/>
          </w:tcPr>
          <w:p>
            <w:pPr>
              <w:spacing w:after="0"/>
              <w:rPr>
                <w:sz w:val="17"/>
                <w:szCs w:val="17"/>
                <w:color w:val="auto"/>
              </w:rPr>
            </w:pPr>
          </w:p>
        </w:tc>
      </w:tr>
      <w:tr>
        <w:trPr>
          <w:trHeight w:val="452"/>
        </w:trPr>
        <w:tc>
          <w:tcPr>
            <w:tcW w:w="1020" w:type="dxa"/>
            <w:vAlign w:val="bottom"/>
          </w:tcPr>
          <w:p>
            <w:pPr>
              <w:spacing w:after="0"/>
              <w:rPr>
                <w:sz w:val="24"/>
                <w:szCs w:val="24"/>
                <w:color w:val="auto"/>
              </w:rPr>
            </w:pPr>
          </w:p>
        </w:tc>
        <w:tc>
          <w:tcPr>
            <w:tcW w:w="4600" w:type="dxa"/>
            <w:vAlign w:val="bottom"/>
            <w:gridSpan w:val="10"/>
          </w:tcPr>
          <w:p>
            <w:pPr>
              <w:ind w:left="412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32" w:lineRule="exact"/>
        <w:rPr>
          <w:sz w:val="20"/>
          <w:szCs w:val="20"/>
          <w:color w:val="auto"/>
        </w:rPr>
      </w:pPr>
    </w:p>
    <w:p>
      <w:pPr>
        <w:spacing w:after="0"/>
        <w:tabs>
          <w:tab w:leader="none" w:pos="820" w:val="left"/>
          <w:tab w:leader="none" w:pos="2020" w:val="left"/>
        </w:tabs>
        <w:rPr>
          <w:sz w:val="20"/>
          <w:szCs w:val="20"/>
          <w:color w:val="auto"/>
        </w:rPr>
      </w:pPr>
      <w:r>
        <w:rPr>
          <w:rFonts w:ascii="Times New Roman" w:cs="Times New Roman" w:eastAsia="Times New Roman" w:hAnsi="Times New Roman"/>
          <w:sz w:val="16"/>
          <w:szCs w:val="16"/>
          <w:b w:val="1"/>
          <w:bCs w:val="1"/>
          <w:color w:val="auto"/>
        </w:rPr>
        <w:t>Form</w:t>
      </w:r>
      <w:r>
        <w:rPr>
          <w:sz w:val="20"/>
          <w:szCs w:val="20"/>
          <w:color w:val="auto"/>
        </w:rPr>
        <w:tab/>
      </w:r>
      <w:r>
        <w:rPr>
          <w:rFonts w:ascii="Times New Roman" w:cs="Times New Roman" w:eastAsia="Times New Roman" w:hAnsi="Times New Roman"/>
          <w:sz w:val="16"/>
          <w:szCs w:val="16"/>
          <w:b w:val="1"/>
          <w:bCs w:val="1"/>
          <w:color w:val="auto"/>
        </w:rPr>
        <w:t>File No.</w:t>
      </w:r>
      <w:r>
        <w:rPr>
          <w:sz w:val="20"/>
          <w:szCs w:val="20"/>
          <w:color w:val="auto"/>
        </w:rPr>
        <w:tab/>
      </w:r>
      <w:r>
        <w:rPr>
          <w:rFonts w:ascii="Times New Roman" w:cs="Times New Roman" w:eastAsia="Times New Roman" w:hAnsi="Times New Roman"/>
          <w:sz w:val="16"/>
          <w:szCs w:val="16"/>
          <w:b w:val="1"/>
          <w:bCs w:val="1"/>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-114935</wp:posOffset>
            </wp:positionV>
            <wp:extent cx="20574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8" w:lineRule="exact"/>
        <w:rPr>
          <w:sz w:val="20"/>
          <w:szCs w:val="20"/>
          <w:color w:val="auto"/>
        </w:rPr>
      </w:pPr>
    </w:p>
    <w:p>
      <w:pPr>
        <w:ind w:left="720" w:right="20" w:hanging="731"/>
        <w:spacing w:after="0" w:line="267" w:lineRule="auto"/>
        <w:tabs>
          <w:tab w:leader="none" w:pos="7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001-34375 03/11/2016 Exhibit 3.1</w:t>
      </w:r>
    </w:p>
    <w:p>
      <w:pPr>
        <w:spacing w:after="0" w:line="81"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05/10/2016 Exhibit 3.1</w:t>
      </w:r>
    </w:p>
    <w:p>
      <w:pPr>
        <w:spacing w:after="0" w:line="67"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05/23/2018 Exhibit 3.1</w:t>
      </w:r>
    </w:p>
    <w:p>
      <w:pPr>
        <w:spacing w:after="0" w:line="67"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07/29/2019 Exhibit 3.1</w:t>
      </w:r>
    </w:p>
    <w:p>
      <w:pPr>
        <w:spacing w:after="0" w:line="67"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08/06/2019 Exhibit 3.1</w:t>
      </w:r>
    </w:p>
    <w:p>
      <w:pPr>
        <w:spacing w:after="0" w:line="59" w:lineRule="exact"/>
        <w:rPr>
          <w:sz w:val="20"/>
          <w:szCs w:val="20"/>
          <w:color w:val="auto"/>
        </w:rPr>
      </w:pPr>
    </w:p>
    <w:p>
      <w:pPr>
        <w:ind w:left="40"/>
        <w:spacing w:after="0"/>
        <w:tabs>
          <w:tab w:leader="none" w:pos="700" w:val="left"/>
          <w:tab w:leader="none" w:pos="1960" w:val="left"/>
        </w:tabs>
        <w:rPr>
          <w:sz w:val="20"/>
          <w:szCs w:val="20"/>
          <w:color w:val="auto"/>
        </w:rPr>
      </w:pPr>
      <w:r>
        <w:rPr>
          <w:rFonts w:ascii="Times New Roman" w:cs="Times New Roman" w:eastAsia="Times New Roman" w:hAnsi="Times New Roman"/>
          <w:sz w:val="19"/>
          <w:szCs w:val="19"/>
          <w:color w:val="auto"/>
        </w:rPr>
        <w:t>8-K</w:t>
      </w:r>
      <w:r>
        <w:rPr>
          <w:sz w:val="20"/>
          <w:szCs w:val="20"/>
          <w:color w:val="auto"/>
        </w:rPr>
        <w:tab/>
      </w:r>
      <w:r>
        <w:rPr>
          <w:rFonts w:ascii="Times New Roman" w:cs="Times New Roman" w:eastAsia="Times New Roman" w:hAnsi="Times New Roman"/>
          <w:sz w:val="18"/>
          <w:szCs w:val="18"/>
          <w:color w:val="auto"/>
        </w:rPr>
        <w:t>001-34375</w:t>
      </w:r>
      <w:r>
        <w:rPr>
          <w:sz w:val="20"/>
          <w:szCs w:val="20"/>
          <w:color w:val="auto"/>
        </w:rPr>
        <w:tab/>
      </w:r>
      <w:r>
        <w:rPr>
          <w:rFonts w:ascii="Times New Roman" w:cs="Times New Roman" w:eastAsia="Times New Roman" w:hAnsi="Times New Roman"/>
          <w:sz w:val="18"/>
          <w:szCs w:val="18"/>
          <w:color w:val="auto"/>
        </w:rPr>
        <w:t>04/28/2023</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Exhibit 3.1</w:t>
      </w:r>
    </w:p>
    <w:p>
      <w:pPr>
        <w:spacing w:after="0" w:line="197" w:lineRule="exact"/>
        <w:rPr>
          <w:sz w:val="20"/>
          <w:szCs w:val="20"/>
          <w:color w:val="auto"/>
        </w:rPr>
      </w:pPr>
    </w:p>
    <w:p>
      <w:pPr>
        <w:ind w:left="40"/>
        <w:spacing w:after="0"/>
        <w:tabs>
          <w:tab w:leader="none" w:pos="700" w:val="left"/>
          <w:tab w:leader="none" w:pos="1960" w:val="left"/>
        </w:tabs>
        <w:rPr>
          <w:sz w:val="20"/>
          <w:szCs w:val="20"/>
          <w:color w:val="auto"/>
        </w:rPr>
      </w:pPr>
      <w:r>
        <w:rPr>
          <w:rFonts w:ascii="Times New Roman" w:cs="Times New Roman" w:eastAsia="Times New Roman" w:hAnsi="Times New Roman"/>
          <w:sz w:val="19"/>
          <w:szCs w:val="19"/>
          <w:color w:val="auto"/>
        </w:rPr>
        <w:t>8-K</w:t>
      </w:r>
      <w:r>
        <w:rPr>
          <w:sz w:val="20"/>
          <w:szCs w:val="20"/>
          <w:color w:val="auto"/>
        </w:rPr>
        <w:tab/>
      </w:r>
      <w:r>
        <w:rPr>
          <w:rFonts w:ascii="Times New Roman" w:cs="Times New Roman" w:eastAsia="Times New Roman" w:hAnsi="Times New Roman"/>
          <w:sz w:val="18"/>
          <w:szCs w:val="18"/>
          <w:color w:val="auto"/>
        </w:rPr>
        <w:t>001-34375</w:t>
      </w:r>
      <w:r>
        <w:rPr>
          <w:sz w:val="20"/>
          <w:szCs w:val="20"/>
          <w:color w:val="auto"/>
        </w:rPr>
        <w:tab/>
      </w:r>
      <w:r>
        <w:rPr>
          <w:rFonts w:ascii="Times New Roman" w:cs="Times New Roman" w:eastAsia="Times New Roman" w:hAnsi="Times New Roman"/>
          <w:sz w:val="18"/>
          <w:szCs w:val="18"/>
          <w:color w:val="auto"/>
        </w:rPr>
        <w:t>05/02/2025</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Exhibit 3.1</w:t>
      </w:r>
    </w:p>
    <w:p>
      <w:pPr>
        <w:spacing w:after="0" w:line="111"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09/21/2021 Exhibit 3.1</w:t>
      </w:r>
    </w:p>
    <w:p>
      <w:pPr>
        <w:spacing w:after="0" w:line="162" w:lineRule="exact"/>
        <w:rPr>
          <w:sz w:val="20"/>
          <w:szCs w:val="20"/>
          <w:color w:val="auto"/>
        </w:rPr>
      </w:pPr>
    </w:p>
    <w:p>
      <w:pPr>
        <w:ind w:left="700" w:right="20" w:hanging="641"/>
        <w:spacing w:after="0" w:line="282" w:lineRule="auto"/>
        <w:tabs>
          <w:tab w:leader="none" w:pos="6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11/28/2017 Exhibit 3.1</w:t>
      </w:r>
    </w:p>
    <w:p>
      <w:pPr>
        <w:spacing w:after="0" w:line="162" w:lineRule="exact"/>
        <w:rPr>
          <w:sz w:val="20"/>
          <w:szCs w:val="20"/>
          <w:color w:val="auto"/>
        </w:rPr>
      </w:pPr>
    </w:p>
    <w:p>
      <w:pPr>
        <w:ind w:left="720" w:right="20" w:hanging="686"/>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07/25/2018 Exhibit 3.1</w:t>
      </w:r>
    </w:p>
    <w:p>
      <w:pPr>
        <w:spacing w:after="0" w:line="162" w:lineRule="exact"/>
        <w:rPr>
          <w:sz w:val="20"/>
          <w:szCs w:val="20"/>
          <w:color w:val="auto"/>
        </w:rPr>
      </w:pPr>
    </w:p>
    <w:p>
      <w:pPr>
        <w:ind w:left="720" w:right="20" w:hanging="70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001-34375 03/30/2020 Exhibit 4.1</w:t>
      </w:r>
    </w:p>
    <w:p>
      <w:pPr>
        <w:spacing w:after="0" w:line="162" w:lineRule="exact"/>
        <w:rPr>
          <w:sz w:val="20"/>
          <w:szCs w:val="20"/>
          <w:color w:val="auto"/>
        </w:rPr>
      </w:pPr>
    </w:p>
    <w:p>
      <w:pPr>
        <w:ind w:left="680" w:right="20" w:hanging="664"/>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001-34375 03/09/2018 Exhibit 4.33</w:t>
      </w:r>
    </w:p>
    <w:p>
      <w:pPr>
        <w:spacing w:after="0" w:line="162"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05/09/2024 Exhibit 4.1</w:t>
      </w:r>
    </w:p>
    <w:p>
      <w:pPr>
        <w:spacing w:after="0" w:line="162" w:lineRule="exact"/>
        <w:rPr>
          <w:sz w:val="20"/>
          <w:szCs w:val="20"/>
          <w:color w:val="auto"/>
        </w:rPr>
      </w:pPr>
    </w:p>
    <w:p>
      <w:pPr>
        <w:ind w:left="720" w:right="20" w:hanging="70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011-34375 08/14/2024 Exhibit 4.7</w:t>
      </w:r>
    </w:p>
    <w:p>
      <w:pPr>
        <w:spacing w:after="0" w:line="162" w:lineRule="exact"/>
        <w:rPr>
          <w:sz w:val="20"/>
          <w:szCs w:val="20"/>
          <w:color w:val="auto"/>
        </w:rPr>
      </w:pPr>
    </w:p>
    <w:p>
      <w:pPr>
        <w:ind w:left="720" w:right="20" w:hanging="70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011-34375 08/14/2024 Exhibit 4.8</w:t>
      </w:r>
    </w:p>
    <w:p>
      <w:pPr>
        <w:spacing w:after="0" w:line="162"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011-34375 06/17/2025 Exhibit 4.1</w:t>
      </w:r>
    </w:p>
    <w:p>
      <w:pPr>
        <w:spacing w:after="0" w:line="162"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011-34375 02/18/2025 Exhibit 4.1</w:t>
      </w:r>
    </w:p>
    <w:p>
      <w:pPr>
        <w:spacing w:after="0" w:line="162" w:lineRule="exact"/>
        <w:rPr>
          <w:sz w:val="20"/>
          <w:szCs w:val="20"/>
          <w:color w:val="auto"/>
        </w:rPr>
      </w:pPr>
    </w:p>
    <w:p>
      <w:pPr>
        <w:ind w:left="720" w:right="20" w:hanging="664"/>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001-34375 02/18/2025 Exhibit 4.2</w:t>
      </w:r>
    </w:p>
    <w:p>
      <w:pPr>
        <w:sectPr>
          <w:pgSz w:w="11900" w:h="16838" w:orient="portrait"/>
          <w:cols w:equalWidth="0" w:num="2">
            <w:col w:w="7560" w:space="180"/>
            <w:col w:w="2840"/>
          </w:cols>
          <w:pgMar w:left="320" w:top="981" w:right="9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46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among Plus Therapeutics, Inc. and the purchasers named therein</w:t>
              </w:r>
            </w:hyperlink>
          </w:p>
        </w:tc>
        <w:tc>
          <w:tcPr>
            <w:tcW w:w="520" w:type="dxa"/>
            <w:vAlign w:val="bottom"/>
            <w:gridSpan w:val="13"/>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4.9</w:t>
            </w:r>
          </w:p>
        </w:tc>
        <w:tc>
          <w:tcPr>
            <w:tcW w:w="5160" w:type="dxa"/>
            <w:vAlign w:val="bottom"/>
            <w:gridSpan w:val="29"/>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Form of Pre-Funded Warrant</w:t>
              </w:r>
            </w:hyperlink>
          </w:p>
        </w:tc>
        <w:tc>
          <w:tcPr>
            <w:tcW w:w="1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03/04/2025</w:t>
            </w:r>
          </w:p>
        </w:tc>
      </w:tr>
      <w:tr>
        <w:trPr>
          <w:trHeight w:val="237"/>
        </w:trPr>
        <w:tc>
          <w:tcPr>
            <w:tcW w:w="142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8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4.1</w:t>
            </w:r>
          </w:p>
        </w:tc>
        <w:tc>
          <w:tcPr>
            <w:tcW w:w="1720" w:type="dxa"/>
            <w:vAlign w:val="bottom"/>
          </w:tcPr>
          <w:p>
            <w:pPr>
              <w:spacing w:after="0"/>
              <w:rPr>
                <w:sz w:val="20"/>
                <w:szCs w:val="20"/>
                <w:color w:val="auto"/>
              </w:rPr>
            </w:pPr>
          </w:p>
        </w:tc>
      </w:tr>
      <w:tr>
        <w:trPr>
          <w:trHeight w:val="392"/>
        </w:trPr>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4.10</w:t>
            </w:r>
          </w:p>
        </w:tc>
        <w:tc>
          <w:tcPr>
            <w:tcW w:w="5160" w:type="dxa"/>
            <w:vAlign w:val="bottom"/>
            <w:gridSpan w:val="29"/>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Form of Series A Common Stock Purchase Warrant</w:t>
              </w:r>
            </w:hyperlink>
          </w:p>
        </w:tc>
        <w:tc>
          <w:tcPr>
            <w:tcW w:w="1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03/04/2025</w:t>
            </w:r>
          </w:p>
        </w:tc>
      </w:tr>
      <w:tr>
        <w:trPr>
          <w:trHeight w:val="237"/>
        </w:trPr>
        <w:tc>
          <w:tcPr>
            <w:tcW w:w="142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8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4.2</w:t>
            </w:r>
          </w:p>
        </w:tc>
        <w:tc>
          <w:tcPr>
            <w:tcW w:w="1720" w:type="dxa"/>
            <w:vAlign w:val="bottom"/>
          </w:tcPr>
          <w:p>
            <w:pPr>
              <w:spacing w:after="0"/>
              <w:rPr>
                <w:sz w:val="20"/>
                <w:szCs w:val="20"/>
                <w:color w:val="auto"/>
              </w:rPr>
            </w:pPr>
          </w:p>
        </w:tc>
      </w:tr>
      <w:tr>
        <w:trPr>
          <w:trHeight w:val="391"/>
        </w:trPr>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4.11</w:t>
            </w:r>
          </w:p>
        </w:tc>
        <w:tc>
          <w:tcPr>
            <w:tcW w:w="5160" w:type="dxa"/>
            <w:vAlign w:val="bottom"/>
            <w:gridSpan w:val="29"/>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Form of Series B Common Stock Purchase Warrant</w:t>
              </w:r>
            </w:hyperlink>
          </w:p>
        </w:tc>
        <w:tc>
          <w:tcPr>
            <w:tcW w:w="1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03/04/2025</w:t>
            </w:r>
          </w:p>
        </w:tc>
      </w:tr>
      <w:tr>
        <w:trPr>
          <w:trHeight w:val="237"/>
        </w:trPr>
        <w:tc>
          <w:tcPr>
            <w:tcW w:w="142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8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4.3</w:t>
            </w:r>
          </w:p>
        </w:tc>
        <w:tc>
          <w:tcPr>
            <w:tcW w:w="1720" w:type="dxa"/>
            <w:vAlign w:val="bottom"/>
          </w:tcPr>
          <w:p>
            <w:pPr>
              <w:spacing w:after="0"/>
              <w:rPr>
                <w:sz w:val="20"/>
                <w:szCs w:val="20"/>
                <w:color w:val="auto"/>
              </w:rPr>
            </w:pPr>
          </w:p>
        </w:tc>
      </w:tr>
      <w:tr>
        <w:trPr>
          <w:trHeight w:val="392"/>
        </w:trPr>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4.12</w:t>
            </w:r>
          </w:p>
        </w:tc>
        <w:tc>
          <w:tcPr>
            <w:tcW w:w="5160" w:type="dxa"/>
            <w:vAlign w:val="bottom"/>
            <w:gridSpan w:val="29"/>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Form of A&amp;R Series B Warrant</w:t>
              </w:r>
            </w:hyperlink>
          </w:p>
        </w:tc>
        <w:tc>
          <w:tcPr>
            <w:tcW w:w="1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06/17/2025</w:t>
            </w:r>
          </w:p>
        </w:tc>
      </w:tr>
      <w:tr>
        <w:trPr>
          <w:trHeight w:val="237"/>
        </w:trPr>
        <w:tc>
          <w:tcPr>
            <w:tcW w:w="142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8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4.1</w:t>
            </w:r>
          </w:p>
        </w:tc>
        <w:tc>
          <w:tcPr>
            <w:tcW w:w="1720" w:type="dxa"/>
            <w:vAlign w:val="bottom"/>
          </w:tcPr>
          <w:p>
            <w:pPr>
              <w:spacing w:after="0"/>
              <w:rPr>
                <w:sz w:val="20"/>
                <w:szCs w:val="20"/>
                <w:color w:val="auto"/>
              </w:rPr>
            </w:pPr>
          </w:p>
        </w:tc>
      </w:tr>
      <w:tr>
        <w:trPr>
          <w:trHeight w:val="391"/>
        </w:trPr>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10.1</w:t>
            </w:r>
          </w:p>
        </w:tc>
        <w:tc>
          <w:tcPr>
            <w:tcW w:w="48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Securities Purchase and Exchange Agreement, dated February 13,</w:t>
              </w:r>
            </w:hyperlink>
          </w:p>
        </w:tc>
        <w:tc>
          <w:tcPr>
            <w:tcW w:w="360" w:type="dxa"/>
            <w:vAlign w:val="bottom"/>
            <w:gridSpan w:val="10"/>
          </w:tcPr>
          <w:p>
            <w:pPr>
              <w:spacing w:after="0"/>
              <w:rPr>
                <w:sz w:val="24"/>
                <w:szCs w:val="24"/>
                <w:color w:val="auto"/>
              </w:rPr>
            </w:pPr>
          </w:p>
        </w:tc>
        <w:tc>
          <w:tcPr>
            <w:tcW w:w="1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02/18/2025</w:t>
            </w:r>
          </w:p>
        </w:tc>
      </w:tr>
      <w:tr>
        <w:trPr>
          <w:trHeight w:val="196"/>
        </w:trPr>
        <w:tc>
          <w:tcPr>
            <w:tcW w:w="1420" w:type="dxa"/>
            <w:vAlign w:val="bottom"/>
          </w:tcPr>
          <w:p>
            <w:pPr>
              <w:spacing w:after="0"/>
              <w:rPr>
                <w:sz w:val="17"/>
                <w:szCs w:val="17"/>
                <w:color w:val="auto"/>
              </w:rPr>
            </w:pPr>
          </w:p>
        </w:tc>
        <w:tc>
          <w:tcPr>
            <w:tcW w:w="51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2025, by and among Plus Therapeutics, Inc. and the purchasers named</w:t>
              </w:r>
            </w:hyperlink>
          </w:p>
        </w:tc>
        <w:tc>
          <w:tcPr>
            <w:tcW w:w="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261">
              <w:r>
                <w:rPr>
                  <w:rFonts w:ascii="Times New Roman" w:cs="Times New Roman" w:eastAsia="Times New Roman" w:hAnsi="Times New Roman"/>
                  <w:sz w:val="18"/>
                  <w:szCs w:val="18"/>
                  <w:color w:val="0000FF"/>
                  <w:w w:val="95"/>
                </w:rPr>
                <w:t>therein</w:t>
              </w:r>
            </w:hyperlink>
          </w:p>
        </w:tc>
        <w:tc>
          <w:tcPr>
            <w:tcW w:w="20" w:type="dxa"/>
            <w:vAlign w:val="bottom"/>
            <w:tcBorders>
              <w:bottom w:val="single" w:sz="8" w:color="0000EE"/>
            </w:tcBorders>
          </w:tcPr>
          <w:p>
            <w:pPr>
              <w:spacing w:after="0"/>
              <w:rPr>
                <w:sz w:val="17"/>
                <w:szCs w:val="17"/>
                <w:color w:val="auto"/>
              </w:rPr>
            </w:pPr>
          </w:p>
        </w:tc>
        <w:tc>
          <w:tcPr>
            <w:tcW w:w="4640" w:type="dxa"/>
            <w:vAlign w:val="bottom"/>
            <w:gridSpan w:val="27"/>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10.2</w:t>
            </w:r>
          </w:p>
        </w:tc>
        <w:tc>
          <w:tcPr>
            <w:tcW w:w="50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Form of Secured Convertible Note for Funding Notes issued pursuant</w:t>
              </w:r>
            </w:hyperlink>
          </w:p>
        </w:tc>
        <w:tc>
          <w:tcPr>
            <w:tcW w:w="100" w:type="dxa"/>
            <w:vAlign w:val="bottom"/>
            <w:gridSpan w:val="2"/>
          </w:tcPr>
          <w:p>
            <w:pPr>
              <w:spacing w:after="0"/>
              <w:rPr>
                <w:sz w:val="24"/>
                <w:szCs w:val="24"/>
                <w:color w:val="auto"/>
              </w:rPr>
            </w:pPr>
          </w:p>
        </w:tc>
        <w:tc>
          <w:tcPr>
            <w:tcW w:w="1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02/18/2025</w:t>
            </w:r>
          </w:p>
        </w:tc>
      </w:tr>
      <w:tr>
        <w:trPr>
          <w:trHeight w:val="196"/>
        </w:trPr>
        <w:tc>
          <w:tcPr>
            <w:tcW w:w="1420" w:type="dxa"/>
            <w:vAlign w:val="bottom"/>
          </w:tcPr>
          <w:p>
            <w:pPr>
              <w:spacing w:after="0"/>
              <w:rPr>
                <w:sz w:val="17"/>
                <w:szCs w:val="17"/>
                <w:color w:val="auto"/>
              </w:rPr>
            </w:pPr>
          </w:p>
        </w:tc>
        <w:tc>
          <w:tcPr>
            <w:tcW w:w="49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to the Securities Purchase and Exchange Agreement, dated February</w:t>
              </w:r>
            </w:hyperlink>
          </w:p>
        </w:tc>
        <w:tc>
          <w:tcPr>
            <w:tcW w:w="180" w:type="dxa"/>
            <w:vAlign w:val="bottom"/>
            <w:gridSpan w:val="5"/>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Exhibit 10.2</w:t>
            </w:r>
          </w:p>
        </w:tc>
        <w:tc>
          <w:tcPr>
            <w:tcW w:w="17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8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13, 2025, by and among Plus Therapeutics, Inc. and the purchasers</w:t>
              </w:r>
            </w:hyperlink>
          </w:p>
        </w:tc>
        <w:tc>
          <w:tcPr>
            <w:tcW w:w="300" w:type="dxa"/>
            <w:vAlign w:val="bottom"/>
            <w:gridSpan w:val="8"/>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160" w:type="dxa"/>
            <w:vAlign w:val="bottom"/>
            <w:gridSpan w:val="29"/>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names therein</w:t>
              </w:r>
            </w:hyperlink>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020" w:type="dxa"/>
            <w:vAlign w:val="bottom"/>
            <w:tcBorders>
              <w:right w:val="single" w:sz="8" w:color="0000EE"/>
            </w:tcBorders>
            <w:gridSpan w:val="3"/>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10.3</w:t>
            </w:r>
          </w:p>
        </w:tc>
        <w:tc>
          <w:tcPr>
            <w:tcW w:w="51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Form of Secured Convertible Note for Exchange Notes issued pursuant</w:t>
              </w:r>
            </w:hyperlink>
          </w:p>
        </w:tc>
        <w:tc>
          <w:tcPr>
            <w:tcW w:w="1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02/18/2025</w:t>
            </w:r>
          </w:p>
        </w:tc>
      </w:tr>
      <w:tr>
        <w:trPr>
          <w:trHeight w:val="196"/>
        </w:trPr>
        <w:tc>
          <w:tcPr>
            <w:tcW w:w="1420" w:type="dxa"/>
            <w:vAlign w:val="bottom"/>
          </w:tcPr>
          <w:p>
            <w:pPr>
              <w:spacing w:after="0"/>
              <w:rPr>
                <w:sz w:val="17"/>
                <w:szCs w:val="17"/>
                <w:color w:val="auto"/>
              </w:rPr>
            </w:pPr>
          </w:p>
        </w:tc>
        <w:tc>
          <w:tcPr>
            <w:tcW w:w="49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to the Securities Purchase and Exchange Agreement, dated February</w:t>
              </w:r>
            </w:hyperlink>
          </w:p>
        </w:tc>
        <w:tc>
          <w:tcPr>
            <w:tcW w:w="180" w:type="dxa"/>
            <w:vAlign w:val="bottom"/>
            <w:gridSpan w:val="5"/>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Exhibit 10.3</w:t>
            </w:r>
          </w:p>
        </w:tc>
        <w:tc>
          <w:tcPr>
            <w:tcW w:w="17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8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13, 2025, by and among Plus Therapeutics, Inc. and the purchasers</w:t>
              </w:r>
            </w:hyperlink>
          </w:p>
        </w:tc>
        <w:tc>
          <w:tcPr>
            <w:tcW w:w="300" w:type="dxa"/>
            <w:vAlign w:val="bottom"/>
            <w:gridSpan w:val="8"/>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160" w:type="dxa"/>
            <w:vAlign w:val="bottom"/>
            <w:gridSpan w:val="29"/>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names therein</w:t>
              </w:r>
            </w:hyperlink>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020" w:type="dxa"/>
            <w:vAlign w:val="bottom"/>
            <w:tcBorders>
              <w:right w:val="single" w:sz="8" w:color="0000EE"/>
            </w:tcBorders>
            <w:gridSpan w:val="3"/>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10.4</w:t>
            </w:r>
          </w:p>
        </w:tc>
        <w:tc>
          <w:tcPr>
            <w:tcW w:w="48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Security Agreement, dated February 13, 2025, by and among Plus</w:t>
              </w:r>
            </w:hyperlink>
          </w:p>
        </w:tc>
        <w:tc>
          <w:tcPr>
            <w:tcW w:w="360" w:type="dxa"/>
            <w:vAlign w:val="bottom"/>
            <w:gridSpan w:val="10"/>
          </w:tcPr>
          <w:p>
            <w:pPr>
              <w:spacing w:after="0"/>
              <w:rPr>
                <w:sz w:val="24"/>
                <w:szCs w:val="24"/>
                <w:color w:val="auto"/>
              </w:rPr>
            </w:pPr>
          </w:p>
        </w:tc>
        <w:tc>
          <w:tcPr>
            <w:tcW w:w="1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02/18/2025</w:t>
            </w:r>
          </w:p>
        </w:tc>
      </w:tr>
      <w:tr>
        <w:trPr>
          <w:trHeight w:val="196"/>
        </w:trPr>
        <w:tc>
          <w:tcPr>
            <w:tcW w:w="1420" w:type="dxa"/>
            <w:vAlign w:val="bottom"/>
          </w:tcPr>
          <w:p>
            <w:pPr>
              <w:spacing w:after="0"/>
              <w:rPr>
                <w:sz w:val="17"/>
                <w:szCs w:val="17"/>
                <w:color w:val="auto"/>
              </w:rPr>
            </w:pPr>
          </w:p>
        </w:tc>
        <w:tc>
          <w:tcPr>
            <w:tcW w:w="48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Therapeutics, Inc., CNSide Diagnostics, LLC and Iroqouis Master</w:t>
              </w:r>
            </w:hyperlink>
          </w:p>
        </w:tc>
        <w:tc>
          <w:tcPr>
            <w:tcW w:w="340" w:type="dxa"/>
            <w:vAlign w:val="bottom"/>
            <w:gridSpan w:val="9"/>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Exhibit 10.4</w:t>
            </w:r>
          </w:p>
        </w:tc>
        <w:tc>
          <w:tcPr>
            <w:tcW w:w="17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160" w:type="dxa"/>
            <w:vAlign w:val="bottom"/>
            <w:gridSpan w:val="29"/>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Fund Ltd., as collateral agent for the purchasers names therein</w:t>
              </w:r>
            </w:hyperlink>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10.5</w:t>
            </w:r>
          </w:p>
        </w:tc>
        <w:tc>
          <w:tcPr>
            <w:tcW w:w="4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Subsidiary Guarantee, dated as of February 13, 2025, by and among</w:t>
              </w:r>
            </w:hyperlink>
          </w:p>
        </w:tc>
        <w:tc>
          <w:tcPr>
            <w:tcW w:w="220" w:type="dxa"/>
            <w:vAlign w:val="bottom"/>
            <w:gridSpan w:val="6"/>
          </w:tcPr>
          <w:p>
            <w:pPr>
              <w:spacing w:after="0"/>
              <w:rPr>
                <w:sz w:val="24"/>
                <w:szCs w:val="24"/>
                <w:color w:val="auto"/>
              </w:rPr>
            </w:pPr>
          </w:p>
        </w:tc>
        <w:tc>
          <w:tcPr>
            <w:tcW w:w="1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02/18/2025</w:t>
            </w:r>
          </w:p>
        </w:tc>
      </w:tr>
      <w:tr>
        <w:trPr>
          <w:trHeight w:val="196"/>
        </w:trPr>
        <w:tc>
          <w:tcPr>
            <w:tcW w:w="1420" w:type="dxa"/>
            <w:vAlign w:val="bottom"/>
          </w:tcPr>
          <w:p>
            <w:pPr>
              <w:spacing w:after="0"/>
              <w:rPr>
                <w:sz w:val="17"/>
                <w:szCs w:val="17"/>
                <w:color w:val="auto"/>
              </w:rPr>
            </w:pPr>
          </w:p>
        </w:tc>
        <w:tc>
          <w:tcPr>
            <w:tcW w:w="5160" w:type="dxa"/>
            <w:vAlign w:val="bottom"/>
            <w:gridSpan w:val="29"/>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CNSide Diagnostics, LLC and the purchasers named therein</w:t>
              </w:r>
            </w:hyperlink>
          </w:p>
        </w:tc>
        <w:tc>
          <w:tcPr>
            <w:tcW w:w="166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Exhibit 10.5</w:t>
            </w:r>
          </w:p>
        </w:tc>
        <w:tc>
          <w:tcPr>
            <w:tcW w:w="17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28"/>
        </w:trPr>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10.6</w:t>
            </w:r>
          </w:p>
        </w:tc>
        <w:tc>
          <w:tcPr>
            <w:tcW w:w="47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Registration Rights Agreement, dated February 13, 2025, by and</w:t>
              </w:r>
            </w:hyperlink>
          </w:p>
        </w:tc>
        <w:tc>
          <w:tcPr>
            <w:tcW w:w="460" w:type="dxa"/>
            <w:vAlign w:val="bottom"/>
            <w:gridSpan w:val="11"/>
          </w:tcPr>
          <w:p>
            <w:pPr>
              <w:spacing w:after="0"/>
              <w:rPr>
                <w:sz w:val="24"/>
                <w:szCs w:val="24"/>
                <w:color w:val="auto"/>
              </w:rPr>
            </w:pPr>
          </w:p>
        </w:tc>
        <w:tc>
          <w:tcPr>
            <w:tcW w:w="1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02/18/2025</w:t>
            </w:r>
          </w:p>
        </w:tc>
      </w:tr>
      <w:tr>
        <w:trPr>
          <w:trHeight w:val="196"/>
        </w:trPr>
        <w:tc>
          <w:tcPr>
            <w:tcW w:w="1420" w:type="dxa"/>
            <w:vAlign w:val="bottom"/>
          </w:tcPr>
          <w:p>
            <w:pPr>
              <w:spacing w:after="0"/>
              <w:rPr>
                <w:sz w:val="17"/>
                <w:szCs w:val="17"/>
                <w:color w:val="auto"/>
              </w:rPr>
            </w:pPr>
          </w:p>
        </w:tc>
        <w:tc>
          <w:tcPr>
            <w:tcW w:w="46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among Plus Therapeutics, Inc. and the purchasers named therein</w:t>
              </w:r>
            </w:hyperlink>
          </w:p>
        </w:tc>
        <w:tc>
          <w:tcPr>
            <w:tcW w:w="20" w:type="dxa"/>
            <w:vAlign w:val="bottom"/>
            <w:tcBorders>
              <w:bottom w:val="single" w:sz="8" w:color="0000EE"/>
            </w:tcBorders>
          </w:tcPr>
          <w:p>
            <w:pPr>
              <w:spacing w:after="0"/>
              <w:rPr>
                <w:sz w:val="17"/>
                <w:szCs w:val="17"/>
                <w:color w:val="auto"/>
              </w:rPr>
            </w:pPr>
          </w:p>
        </w:tc>
        <w:tc>
          <w:tcPr>
            <w:tcW w:w="500" w:type="dxa"/>
            <w:vAlign w:val="bottom"/>
            <w:gridSpan w:val="12"/>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Exhibit 10.6</w:t>
            </w:r>
          </w:p>
        </w:tc>
        <w:tc>
          <w:tcPr>
            <w:tcW w:w="1720" w:type="dxa"/>
            <w:vAlign w:val="bottom"/>
          </w:tcPr>
          <w:p>
            <w:pPr>
              <w:spacing w:after="0"/>
              <w:rPr>
                <w:sz w:val="17"/>
                <w:szCs w:val="17"/>
                <w:color w:val="auto"/>
              </w:rPr>
            </w:pPr>
          </w:p>
        </w:tc>
      </w:tr>
      <w:tr>
        <w:trPr>
          <w:trHeight w:val="412"/>
        </w:trPr>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10.7</w:t>
            </w:r>
          </w:p>
        </w:tc>
        <w:tc>
          <w:tcPr>
            <w:tcW w:w="50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Second Amendment to Securities Purchase Agreement, dated May 5,</w:t>
              </w:r>
            </w:hyperlink>
          </w:p>
        </w:tc>
        <w:tc>
          <w:tcPr>
            <w:tcW w:w="140" w:type="dxa"/>
            <w:vAlign w:val="bottom"/>
            <w:gridSpan w:val="3"/>
          </w:tcPr>
          <w:p>
            <w:pPr>
              <w:spacing w:after="0"/>
              <w:rPr>
                <w:sz w:val="24"/>
                <w:szCs w:val="24"/>
                <w:color w:val="auto"/>
              </w:rPr>
            </w:pPr>
          </w:p>
        </w:tc>
        <w:tc>
          <w:tcPr>
            <w:tcW w:w="1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02/18/2025</w:t>
            </w:r>
          </w:p>
        </w:tc>
      </w:tr>
      <w:tr>
        <w:trPr>
          <w:trHeight w:val="196"/>
        </w:trPr>
        <w:tc>
          <w:tcPr>
            <w:tcW w:w="1420" w:type="dxa"/>
            <w:vAlign w:val="bottom"/>
          </w:tcPr>
          <w:p>
            <w:pPr>
              <w:spacing w:after="0"/>
              <w:rPr>
                <w:sz w:val="17"/>
                <w:szCs w:val="17"/>
                <w:color w:val="auto"/>
              </w:rPr>
            </w:pPr>
          </w:p>
        </w:tc>
        <w:tc>
          <w:tcPr>
            <w:tcW w:w="50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2024, as amended on May 9, 2024, by and among Plus Therapeutics,</w:t>
              </w:r>
            </w:hyperlink>
          </w:p>
        </w:tc>
        <w:tc>
          <w:tcPr>
            <w:tcW w:w="160" w:type="dxa"/>
            <w:vAlign w:val="bottom"/>
            <w:gridSpan w:val="4"/>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Exhibit 10.7</w:t>
            </w:r>
          </w:p>
        </w:tc>
        <w:tc>
          <w:tcPr>
            <w:tcW w:w="17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5160" w:type="dxa"/>
            <w:vAlign w:val="bottom"/>
            <w:gridSpan w:val="29"/>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Inc. and the purchasers named therein</w:t>
              </w:r>
            </w:hyperlink>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4"/>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10.8</w:t>
            </w:r>
          </w:p>
        </w:tc>
        <w:tc>
          <w:tcPr>
            <w:tcW w:w="5160" w:type="dxa"/>
            <w:vAlign w:val="bottom"/>
            <w:gridSpan w:val="29"/>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Securities Purchase Agreement, dated as of March 4, 2025</w:t>
              </w:r>
            </w:hyperlink>
          </w:p>
        </w:tc>
        <w:tc>
          <w:tcPr>
            <w:tcW w:w="1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03/04/2025</w:t>
            </w:r>
          </w:p>
        </w:tc>
      </w:tr>
      <w:tr>
        <w:trPr>
          <w:trHeight w:val="237"/>
        </w:trPr>
        <w:tc>
          <w:tcPr>
            <w:tcW w:w="142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8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20"/>
                <w:szCs w:val="20"/>
                <w:color w:val="auto"/>
              </w:rPr>
            </w:pPr>
          </w:p>
        </w:tc>
      </w:tr>
      <w:tr>
        <w:trPr>
          <w:trHeight w:val="391"/>
        </w:trPr>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10.9</w:t>
            </w:r>
          </w:p>
        </w:tc>
        <w:tc>
          <w:tcPr>
            <w:tcW w:w="5160" w:type="dxa"/>
            <w:vAlign w:val="bottom"/>
            <w:gridSpan w:val="29"/>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Registration Rights Agreement, dated as of March 4, 2025</w:t>
              </w:r>
            </w:hyperlink>
          </w:p>
        </w:tc>
        <w:tc>
          <w:tcPr>
            <w:tcW w:w="1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03/04/2025</w:t>
            </w:r>
          </w:p>
        </w:tc>
      </w:tr>
      <w:tr>
        <w:trPr>
          <w:trHeight w:val="237"/>
        </w:trPr>
        <w:tc>
          <w:tcPr>
            <w:tcW w:w="142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8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 10.2</w:t>
            </w:r>
          </w:p>
        </w:tc>
        <w:tc>
          <w:tcPr>
            <w:tcW w:w="1720" w:type="dxa"/>
            <w:vAlign w:val="bottom"/>
          </w:tcPr>
          <w:p>
            <w:pPr>
              <w:spacing w:after="0"/>
              <w:rPr>
                <w:sz w:val="20"/>
                <w:szCs w:val="20"/>
                <w:color w:val="auto"/>
              </w:rPr>
            </w:pPr>
          </w:p>
        </w:tc>
      </w:tr>
      <w:tr>
        <w:trPr>
          <w:trHeight w:val="391"/>
        </w:trPr>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10.10</w:t>
            </w:r>
          </w:p>
        </w:tc>
        <w:tc>
          <w:tcPr>
            <w:tcW w:w="49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First Amendment to Securities Purchase and Exchange Agreement,</w:t>
              </w:r>
            </w:hyperlink>
          </w:p>
        </w:tc>
        <w:tc>
          <w:tcPr>
            <w:tcW w:w="260" w:type="dxa"/>
            <w:vAlign w:val="bottom"/>
            <w:gridSpan w:val="7"/>
          </w:tcPr>
          <w:p>
            <w:pPr>
              <w:spacing w:after="0"/>
              <w:rPr>
                <w:sz w:val="24"/>
                <w:szCs w:val="24"/>
                <w:color w:val="auto"/>
              </w:rPr>
            </w:pPr>
          </w:p>
        </w:tc>
        <w:tc>
          <w:tcPr>
            <w:tcW w:w="1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03/04/2025</w:t>
            </w:r>
          </w:p>
        </w:tc>
      </w:tr>
      <w:tr>
        <w:trPr>
          <w:trHeight w:val="196"/>
        </w:trPr>
        <w:tc>
          <w:tcPr>
            <w:tcW w:w="1420" w:type="dxa"/>
            <w:vAlign w:val="bottom"/>
          </w:tcPr>
          <w:p>
            <w:pPr>
              <w:spacing w:after="0"/>
              <w:rPr>
                <w:sz w:val="17"/>
                <w:szCs w:val="17"/>
                <w:color w:val="auto"/>
              </w:rPr>
            </w:pPr>
          </w:p>
        </w:tc>
        <w:tc>
          <w:tcPr>
            <w:tcW w:w="18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270">
              <w:r>
                <w:rPr>
                  <w:rFonts w:ascii="Times New Roman" w:cs="Times New Roman" w:eastAsia="Times New Roman" w:hAnsi="Times New Roman"/>
                  <w:sz w:val="18"/>
                  <w:szCs w:val="18"/>
                  <w:color w:val="0000FF"/>
                  <w:w w:val="98"/>
                </w:rPr>
                <w:t>dated as of March 4, 2025</w:t>
              </w:r>
            </w:hyperlink>
          </w:p>
        </w:tc>
        <w:tc>
          <w:tcPr>
            <w:tcW w:w="20" w:type="dxa"/>
            <w:vAlign w:val="bottom"/>
            <w:tcBorders>
              <w:bottom w:val="single" w:sz="8" w:color="0000EE"/>
            </w:tcBorders>
          </w:tcPr>
          <w:p>
            <w:pPr>
              <w:spacing w:after="0"/>
              <w:rPr>
                <w:sz w:val="17"/>
                <w:szCs w:val="17"/>
                <w:color w:val="auto"/>
              </w:rPr>
            </w:pPr>
          </w:p>
        </w:tc>
        <w:tc>
          <w:tcPr>
            <w:tcW w:w="3260" w:type="dxa"/>
            <w:vAlign w:val="bottom"/>
            <w:gridSpan w:val="24"/>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Exhibit 10.3</w:t>
            </w:r>
          </w:p>
        </w:tc>
        <w:tc>
          <w:tcPr>
            <w:tcW w:w="1720" w:type="dxa"/>
            <w:vAlign w:val="bottom"/>
          </w:tcPr>
          <w:p>
            <w:pPr>
              <w:spacing w:after="0"/>
              <w:rPr>
                <w:sz w:val="17"/>
                <w:szCs w:val="17"/>
                <w:color w:val="auto"/>
              </w:rPr>
            </w:pPr>
          </w:p>
        </w:tc>
      </w:tr>
      <w:tr>
        <w:trPr>
          <w:trHeight w:val="412"/>
        </w:trPr>
        <w:tc>
          <w:tcPr>
            <w:tcW w:w="1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10.11</w:t>
            </w:r>
          </w:p>
        </w:tc>
        <w:tc>
          <w:tcPr>
            <w:tcW w:w="5160" w:type="dxa"/>
            <w:vAlign w:val="bottom"/>
            <w:gridSpan w:val="29"/>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Form of Letter Agreement</w:t>
              </w:r>
            </w:hyperlink>
          </w:p>
        </w:tc>
        <w:tc>
          <w:tcPr>
            <w:tcW w:w="16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06/17/2025</w:t>
            </w:r>
          </w:p>
        </w:tc>
      </w:tr>
      <w:tr>
        <w:trPr>
          <w:trHeight w:val="236"/>
        </w:trPr>
        <w:tc>
          <w:tcPr>
            <w:tcW w:w="142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8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 10.1</w:t>
            </w:r>
          </w:p>
        </w:tc>
        <w:tc>
          <w:tcPr>
            <w:tcW w:w="1720" w:type="dxa"/>
            <w:vAlign w:val="bottom"/>
          </w:tcPr>
          <w:p>
            <w:pPr>
              <w:spacing w:after="0"/>
              <w:rPr>
                <w:sz w:val="20"/>
                <w:szCs w:val="20"/>
                <w:color w:val="auto"/>
              </w:rPr>
            </w:pPr>
          </w:p>
        </w:tc>
      </w:tr>
      <w:tr>
        <w:trPr>
          <w:trHeight w:val="648"/>
        </w:trPr>
        <w:tc>
          <w:tcPr>
            <w:tcW w:w="1420" w:type="dxa"/>
            <w:vAlign w:val="bottom"/>
          </w:tcPr>
          <w:p>
            <w:pPr>
              <w:spacing w:after="0"/>
              <w:rPr>
                <w:sz w:val="24"/>
                <w:szCs w:val="24"/>
                <w:color w:val="auto"/>
              </w:rPr>
            </w:pPr>
          </w:p>
        </w:tc>
        <w:tc>
          <w:tcPr>
            <w:tcW w:w="4360" w:type="dxa"/>
            <w:vAlign w:val="bottom"/>
            <w:gridSpan w:val="14"/>
          </w:tcPr>
          <w:p>
            <w:pPr>
              <w:ind w:left="41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4" w:name="page45"/>
    <w:bookmarkEnd w:id="44"/>
    <w:tbl>
      <w:tblPr>
        <w:tblLayout w:type="fixed"/>
        <w:tblInd w:w="392"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6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Purchase Agreement, dated June 17, 2025, by and between Plus</w:t>
              </w:r>
            </w:hyperlink>
          </w:p>
        </w:tc>
        <w:tc>
          <w:tcPr>
            <w:tcW w:w="520" w:type="dxa"/>
            <w:vAlign w:val="bottom"/>
            <w:gridSpan w:val="5"/>
          </w:tcPr>
          <w:p>
            <w:pPr>
              <w:spacing w:after="0"/>
              <w:rPr>
                <w:sz w:val="17"/>
                <w:szCs w:val="17"/>
                <w:color w:val="auto"/>
              </w:rPr>
            </w:pPr>
          </w:p>
        </w:tc>
        <w:tc>
          <w:tcPr>
            <w:tcW w:w="15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06/20/2025</w:t>
            </w:r>
          </w:p>
        </w:tc>
      </w:tr>
      <w:tr>
        <w:trPr>
          <w:trHeight w:val="196"/>
        </w:trPr>
        <w:tc>
          <w:tcPr>
            <w:tcW w:w="1020" w:type="dxa"/>
            <w:vAlign w:val="bottom"/>
          </w:tcPr>
          <w:p>
            <w:pPr>
              <w:spacing w:after="0"/>
              <w:rPr>
                <w:sz w:val="17"/>
                <w:szCs w:val="17"/>
                <w:color w:val="auto"/>
              </w:rPr>
            </w:pPr>
          </w:p>
        </w:tc>
        <w:tc>
          <w:tcPr>
            <w:tcW w:w="5160" w:type="dxa"/>
            <w:vAlign w:val="bottom"/>
            <w:gridSpan w:val="14"/>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Therapeutics, Inc. and Lincoln Park Capital Fund, LLC</w:t>
              </w:r>
            </w:hyperlink>
          </w:p>
        </w:tc>
        <w:tc>
          <w:tcPr>
            <w:tcW w:w="158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Exhibit 10.1</w:t>
            </w: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0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Registration Rights Agreement, dated June 17, 2025, by and between</w:t>
              </w:r>
            </w:hyperlink>
          </w:p>
        </w:tc>
        <w:tc>
          <w:tcPr>
            <w:tcW w:w="120" w:type="dxa"/>
            <w:vAlign w:val="bottom"/>
            <w:gridSpan w:val="2"/>
          </w:tcPr>
          <w:p>
            <w:pPr>
              <w:spacing w:after="0"/>
              <w:rPr>
                <w:sz w:val="24"/>
                <w:szCs w:val="24"/>
                <w:color w:val="auto"/>
              </w:rPr>
            </w:pPr>
          </w:p>
        </w:tc>
        <w:tc>
          <w:tcPr>
            <w:tcW w:w="15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001-34375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06/20/2025</w:t>
            </w:r>
          </w:p>
        </w:tc>
      </w:tr>
      <w:tr>
        <w:trPr>
          <w:trHeight w:val="196"/>
        </w:trPr>
        <w:tc>
          <w:tcPr>
            <w:tcW w:w="1020" w:type="dxa"/>
            <w:vAlign w:val="bottom"/>
          </w:tcPr>
          <w:p>
            <w:pPr>
              <w:spacing w:after="0"/>
              <w:rPr>
                <w:sz w:val="17"/>
                <w:szCs w:val="17"/>
                <w:color w:val="auto"/>
              </w:rPr>
            </w:pPr>
          </w:p>
        </w:tc>
        <w:tc>
          <w:tcPr>
            <w:tcW w:w="5160" w:type="dxa"/>
            <w:vAlign w:val="bottom"/>
            <w:gridSpan w:val="14"/>
          </w:tcPr>
          <w:p>
            <w:pPr>
              <w:spacing w:after="0" w:line="19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Plus Therapeutics, Inc. and Lincoln Park Capital Fund, LLC</w:t>
              </w:r>
            </w:hyperlink>
          </w:p>
        </w:tc>
        <w:tc>
          <w:tcPr>
            <w:tcW w:w="158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Exhibit 10.2</w:t>
            </w: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8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Form of Support Letter, dated July 11, 2025, by and between Plus</w:t>
              </w:r>
            </w:hyperlink>
          </w:p>
        </w:tc>
        <w:tc>
          <w:tcPr>
            <w:tcW w:w="360" w:type="dxa"/>
            <w:vAlign w:val="bottom"/>
            <w:gridSpan w:val="3"/>
          </w:tcPr>
          <w:p>
            <w:pPr>
              <w:spacing w:after="0"/>
              <w:rPr>
                <w:sz w:val="24"/>
                <w:szCs w:val="24"/>
                <w:color w:val="auto"/>
              </w:rPr>
            </w:pPr>
          </w:p>
        </w:tc>
        <w:tc>
          <w:tcPr>
            <w:tcW w:w="29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S-1  333-289526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08/12/2025</w:t>
            </w:r>
          </w:p>
        </w:tc>
      </w:tr>
      <w:tr>
        <w:trPr>
          <w:trHeight w:val="196"/>
        </w:trPr>
        <w:tc>
          <w:tcPr>
            <w:tcW w:w="1020" w:type="dxa"/>
            <w:vAlign w:val="bottom"/>
          </w:tcPr>
          <w:p>
            <w:pPr>
              <w:spacing w:after="0"/>
              <w:rPr>
                <w:sz w:val="17"/>
                <w:szCs w:val="17"/>
                <w:color w:val="auto"/>
              </w:rPr>
            </w:pPr>
          </w:p>
        </w:tc>
        <w:tc>
          <w:tcPr>
            <w:tcW w:w="27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Therapeutics, Inc. and certain holders</w:t>
              </w:r>
            </w:hyperlink>
          </w:p>
        </w:tc>
        <w:tc>
          <w:tcPr>
            <w:tcW w:w="2400" w:type="dxa"/>
            <w:vAlign w:val="bottom"/>
            <w:gridSpan w:val="10"/>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Exhibit 10.41</w:t>
            </w:r>
          </w:p>
        </w:tc>
        <w:tc>
          <w:tcPr>
            <w:tcW w:w="1040" w:type="dxa"/>
            <w:vAlign w:val="bottom"/>
          </w:tcPr>
          <w:p>
            <w:pPr>
              <w:spacing w:after="0"/>
              <w:rPr>
                <w:sz w:val="17"/>
                <w:szCs w:val="17"/>
                <w:color w:val="auto"/>
              </w:rPr>
            </w:pPr>
          </w:p>
        </w:tc>
      </w:tr>
      <w:tr>
        <w:trPr>
          <w:trHeight w:val="4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Amended &amp; Restated 2020 Stock Incentive Plan, amended August 7,</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Securities</w:t>
            </w:r>
          </w:p>
        </w:tc>
        <w:tc>
          <w:tcPr>
            <w:tcW w:w="380" w:type="dxa"/>
            <w:vAlign w:val="bottom"/>
            <w:gridSpan w:val="4"/>
          </w:tcPr>
          <w:p>
            <w:pPr>
              <w:spacing w:after="0"/>
              <w:rPr>
                <w:sz w:val="24"/>
                <w:szCs w:val="24"/>
                <w:color w:val="auto"/>
              </w:rPr>
            </w:pP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12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Exchange Act Rule 13a-1.04(a), as adopted pursuant to Section 302 of</w:t>
            </w: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3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bottom w:val="single" w:sz="8" w:color="0000EE"/>
            </w:tcBorders>
          </w:tcPr>
          <w:p>
            <w:pPr>
              <w:spacing w:after="0"/>
              <w:rPr>
                <w:sz w:val="17"/>
                <w:szCs w:val="17"/>
                <w:color w:val="auto"/>
              </w:rPr>
            </w:pPr>
          </w:p>
        </w:tc>
        <w:tc>
          <w:tcPr>
            <w:tcW w:w="2820" w:type="dxa"/>
            <w:vAlign w:val="bottom"/>
            <w:gridSpan w:val="11"/>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1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 Pursuant to</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6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Rule 13a-14(a), as adopted pursuant to</w:t>
            </w:r>
          </w:p>
        </w:tc>
        <w:tc>
          <w:tcPr>
            <w:tcW w:w="520" w:type="dxa"/>
            <w:vAlign w:val="bottom"/>
            <w:gridSpan w:val="5"/>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4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20" w:type="dxa"/>
            <w:vAlign w:val="bottom"/>
            <w:tcBorders>
              <w:bottom w:val="single" w:sz="8" w:color="0000EE"/>
            </w:tcBorders>
          </w:tcPr>
          <w:p>
            <w:pPr>
              <w:spacing w:after="0"/>
              <w:rPr>
                <w:sz w:val="17"/>
                <w:szCs w:val="17"/>
                <w:color w:val="auto"/>
              </w:rPr>
            </w:pPr>
          </w:p>
        </w:tc>
        <w:tc>
          <w:tcPr>
            <w:tcW w:w="1720" w:type="dxa"/>
            <w:vAlign w:val="bottom"/>
            <w:gridSpan w:val="8"/>
          </w:tcPr>
          <w:p>
            <w:pPr>
              <w:spacing w:after="0"/>
              <w:rPr>
                <w:sz w:val="17"/>
                <w:szCs w:val="17"/>
                <w:color w:val="auto"/>
              </w:rPr>
            </w:pP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1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Certifications Pursuant to 18 U.S.C. Section 1350/ Securities Exchange</w:t>
            </w:r>
          </w:p>
        </w:tc>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1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Act Rule 13a-14(b), as adopted pursuant to Section 906 of the Sarbanes</w:t>
            </w: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1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 Oxley Act of 2002</w:t>
            </w: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3700" w:type="dxa"/>
            <w:vAlign w:val="bottom"/>
            <w:gridSpan w:val="1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X</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5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 w:lineRule="exact"/>
        <w:rPr>
          <w:sz w:val="20"/>
          <w:szCs w:val="20"/>
          <w:color w:val="auto"/>
        </w:rPr>
      </w:pPr>
    </w:p>
    <w:p>
      <w:pPr>
        <w:spacing w:after="0" w:line="29" w:lineRule="exact"/>
        <w:rPr>
          <w:sz w:val="20"/>
          <w:szCs w:val="20"/>
          <w:color w:val="auto"/>
        </w:rPr>
      </w:pPr>
    </w:p>
    <w:p>
      <w:pPr>
        <w:ind w:left="512" w:hanging="512"/>
        <w:spacing w:after="0" w:line="231" w:lineRule="exact"/>
        <w:tabs>
          <w:tab w:leader="none" w:pos="3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SEC Release No. 34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47986, the certifications furnished in Exhibits 31.1, 31.2 and 32.1 hereto are deemed to accompany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972" w:right="43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spacing w:after="0"/>
        <w:tabs>
          <w:tab w:leader="none" w:pos="7180" w:val="left"/>
        </w:tabs>
        <w:rPr>
          <w:sz w:val="20"/>
          <w:szCs w:val="20"/>
          <w:color w:val="auto"/>
        </w:rPr>
      </w:pPr>
      <w:r>
        <w:rPr>
          <w:rFonts w:ascii="Times New Roman" w:cs="Times New Roman" w:eastAsia="Times New Roman" w:hAnsi="Times New Roman"/>
          <w:sz w:val="18"/>
          <w:szCs w:val="18"/>
          <w:color w:val="auto"/>
        </w:rPr>
        <w:t>Dated: August 14, 2025</w:t>
      </w:r>
      <w:r>
        <w:rPr>
          <w:sz w:val="20"/>
          <w:szCs w:val="20"/>
          <w:color w:val="auto"/>
        </w:rPr>
        <w:tab/>
      </w:r>
      <w:r>
        <w:rPr>
          <w:rFonts w:ascii="Times New Roman" w:cs="Times New Roman" w:eastAsia="Times New Roman" w:hAnsi="Times New Roman"/>
          <w:sz w:val="17"/>
          <w:szCs w:val="17"/>
          <w:color w:val="auto"/>
        </w:rPr>
        <w:t>Marc H. Hedrick</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 (Duly Authorized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Officer and Principal Executive Officer)</w:t>
      </w:r>
    </w:p>
    <w:p>
      <w:pPr>
        <w:spacing w:after="0" w:line="20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7" w:lineRule="exact"/>
        <w:rPr>
          <w:sz w:val="20"/>
          <w:szCs w:val="20"/>
          <w:color w:val="auto"/>
        </w:rPr>
      </w:pPr>
    </w:p>
    <w:p>
      <w:pPr>
        <w:spacing w:after="0"/>
        <w:tabs>
          <w:tab w:leader="none" w:pos="7180" w:val="left"/>
        </w:tabs>
        <w:rPr>
          <w:sz w:val="20"/>
          <w:szCs w:val="20"/>
          <w:color w:val="auto"/>
        </w:rPr>
      </w:pPr>
      <w:r>
        <w:rPr>
          <w:rFonts w:ascii="Times New Roman" w:cs="Times New Roman" w:eastAsia="Times New Roman" w:hAnsi="Times New Roman"/>
          <w:sz w:val="18"/>
          <w:szCs w:val="18"/>
          <w:color w:val="auto"/>
        </w:rPr>
        <w:t>Dated: August 14, 2025</w:t>
      </w:r>
      <w:r>
        <w:rPr>
          <w:sz w:val="20"/>
          <w:szCs w:val="20"/>
          <w:color w:val="auto"/>
        </w:rPr>
        <w:tab/>
      </w:r>
      <w:r>
        <w:rPr>
          <w:rFonts w:ascii="Times New Roman" w:cs="Times New Roman" w:eastAsia="Times New Roman" w:hAnsi="Times New Roman"/>
          <w:sz w:val="17"/>
          <w:szCs w:val="17"/>
          <w:color w:val="auto"/>
        </w:rPr>
        <w:t>Andrew Sims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Chief Financial Officer (Duly Authorized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PLUS THERAPEUTICS, INC. </w:t>
      </w:r>
    </w:p>
    <w:p>
      <w:pPr>
        <w:spacing w:after="0" w:line="11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2020 STOCK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ESTABLISHMENT AND PURPOSE.</w:t>
      </w:r>
    </w:p>
    <w:p>
      <w:pPr>
        <w:spacing w:after="0" w:line="121"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(a)  The Plan was adopted by the Board of Directors on April 30, 2020 and approved by the Company’s stockholders on June 16, 2020. The Plan was amended and restated by the Board of Directors on March 22, 2021, subject to approval of the Company’s stockholders, which approval occurred on May 17, 2021. The Plan was further amended and restated by the Board of Directors on March 28, 2022, subject to approval of the Company’s stockholders, which approval was obtained on May 16, 2022. The Plan was further amended and restated by the Board of Directors on February 24, 2023, subject to approval of the Company’s stockholders, which approval was obtained on April 20, 2023. The Plan was further amended and restated by the Board of Directors on July 8, 2024, subject to approval of the Company’s stockholders, which approval was obtained on August 15, 2024. The Plan was further amended and restated by the Board of Directors on July 17, 2025, subject to approval of the Company’s stockholders, which approval was obtained on August 7, 2025. The Plan was initially effective upon approval by the stockholders of the Company on the Effective Date. The Plan is a successor to the 2014 Equity Incentive Plan of Plus Therapeutics, Inc. (the “Predecessor Plan”). From and after 12:01 a.m. Central time on the Effective Date, no additional stock awards will be granted under the Predecessor Plan. All Awards granted on or after the Effective Date will be granted under the Plan as in effect on the date of grant of each Award. All stock awards granted under the Predecessor Plan will remain subject to the terms of the Predecessor Plan.</w:t>
      </w:r>
    </w:p>
    <w:p>
      <w:pPr>
        <w:spacing w:after="0" w:line="84"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(i)  Any Shares that would otherwise remain available for future grants under the Predecessor Plan as of 12:01 a.m. Central Time on the Effective Date (the “Predecessor Plan’s Available Reserve”) will cease to be available under the Predecessor Plan at such time. Instead, that number of Shares equal to the Predecessor Plan’s Available Reserve will be added to the Absolute Share Limit (as further described in Section 5(a) below) and be then immediately available for grants and issuance pursuant to Awards hereunder, up to the maximum number set forth in Section 5(a) below.</w:t>
      </w:r>
    </w:p>
    <w:p>
      <w:pPr>
        <w:spacing w:after="0" w:line="72"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(ii)  In addition, from and after 12:01 a.m. Central time on the Effective Date, with respect to the aggregate number of Shares subject, at such time, to outstanding stock options and stock awards granted under the Predecessor Plan that (i) expire or terminate for any reason prior to exercise or settlement; or (ii) are forfeited because of the failure to meet a contingency or condition required to vest such Shares or otherwise return to the Company (such Shares the “Predecessor Plan Returning Shares”) will immediately be added to the Absolute Share Limit (as further described in Section 5(a) below) as and when such a Share becomes a Predecessor Plan Returning Share, up to the maximum number set forth in Section 3(a) below. For the avoidance of doubt, Predecessor Plan Returning Shares will not include any Shares subject to outstanding stock options or stock awards granted under the Predecessor Plan that are reacquired, withheld (or not issued) to satisfy (i) a tax withholding obligation in connection with an award or (ii) the purchase price or exercise price of an award.</w:t>
      </w:r>
    </w:p>
    <w:p>
      <w:pPr>
        <w:spacing w:after="0" w:line="84" w:lineRule="exact"/>
        <w:rPr>
          <w:sz w:val="20"/>
          <w:szCs w:val="20"/>
          <w:color w:val="auto"/>
        </w:rPr>
      </w:pPr>
    </w:p>
    <w:p>
      <w:pPr>
        <w:ind w:right="320" w:firstLine="416"/>
        <w:spacing w:after="0" w:line="261" w:lineRule="auto"/>
        <w:rPr>
          <w:sz w:val="20"/>
          <w:szCs w:val="20"/>
          <w:color w:val="auto"/>
        </w:rPr>
      </w:pPr>
      <w:r>
        <w:rPr>
          <w:rFonts w:ascii="Times New Roman" w:cs="Times New Roman" w:eastAsia="Times New Roman" w:hAnsi="Times New Roman"/>
          <w:sz w:val="18"/>
          <w:szCs w:val="18"/>
          <w:color w:val="auto"/>
        </w:rPr>
        <w:t>(b)  The purpose of the Plan is to promote the long-term success of the Company and the creation of stockholder value by (a) encouraging Employees, Outside Directors and Consultants to focus on critical long-range objectives, (b) encouraging the attraction and retention of Employees, Outside Directors and Consultants with exceptional qualifications and (c) linking Employees, Outside Directors and Consultants directly to stockholder interests through increased stock ownership.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DEFINITIONS.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(a)   “Affiliate” </w:t>
      </w:r>
      <w:r>
        <w:rPr>
          <w:rFonts w:ascii="Times New Roman" w:cs="Times New Roman" w:eastAsia="Times New Roman" w:hAnsi="Times New Roman"/>
          <w:sz w:val="18"/>
          <w:szCs w:val="18"/>
          <w:color w:val="auto"/>
        </w:rPr>
        <w:t>shall mean any entity other than a Subsidiary, if the Company and/or one or more Subsidiaries own not less than 50% of such entity.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(b)   “Award” </w:t>
      </w:r>
      <w:r>
        <w:rPr>
          <w:rFonts w:ascii="Times New Roman" w:cs="Times New Roman" w:eastAsia="Times New Roman" w:hAnsi="Times New Roman"/>
          <w:sz w:val="18"/>
          <w:szCs w:val="18"/>
          <w:color w:val="auto"/>
        </w:rPr>
        <w:t>shall mean any award of an Option, a SAR, a Restricted Share or a Stock Unit under the Plan.</w:t>
      </w:r>
    </w:p>
    <w:p>
      <w:pPr>
        <w:spacing w:after="0" w:line="117" w:lineRule="exact"/>
        <w:rPr>
          <w:sz w:val="20"/>
          <w:szCs w:val="20"/>
          <w:color w:val="auto"/>
        </w:rPr>
      </w:pPr>
    </w:p>
    <w:p>
      <w:pPr>
        <w:ind w:right="6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  “Award Agreement” </w:t>
      </w:r>
      <w:r>
        <w:rPr>
          <w:rFonts w:ascii="Times New Roman" w:cs="Times New Roman" w:eastAsia="Times New Roman" w:hAnsi="Times New Roman"/>
          <w:sz w:val="18"/>
          <w:szCs w:val="18"/>
          <w:color w:val="auto"/>
        </w:rPr>
        <w:t>shall mean a Stock Option Agreement, SAR Agreement, Restricted Share Agreement or Stock Unit Agreement,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(d)   “Board of Directors” or “Board” </w:t>
      </w:r>
      <w:r>
        <w:rPr>
          <w:rFonts w:ascii="Times New Roman" w:cs="Times New Roman" w:eastAsia="Times New Roman" w:hAnsi="Times New Roman"/>
          <w:sz w:val="18"/>
          <w:szCs w:val="18"/>
          <w:color w:val="auto"/>
        </w:rPr>
        <w:t>shall mean the Board of Directors of the Company, as constituted from time to time.</w:t>
      </w:r>
    </w:p>
    <w:p>
      <w:pPr>
        <w:spacing w:after="0" w:line="117" w:lineRule="exact"/>
        <w:rPr>
          <w:sz w:val="20"/>
          <w:szCs w:val="20"/>
          <w:color w:val="auto"/>
        </w:rPr>
      </w:pPr>
    </w:p>
    <w:p>
      <w:pPr>
        <w:ind w:right="140" w:firstLine="41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  “Cause” </w:t>
      </w:r>
      <w:r>
        <w:rPr>
          <w:rFonts w:ascii="Times New Roman" w:cs="Times New Roman" w:eastAsia="Times New Roman" w:hAnsi="Times New Roman"/>
          <w:sz w:val="18"/>
          <w:szCs w:val="18"/>
          <w:color w:val="auto"/>
        </w:rPr>
        <w:t>shall mean, unless such term or an equivalent term is otherwise defined by the applicable Award Agreement or other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between a Participant and the Company, a Subsidiary or an Affiliate applicable to an Award, any of the following: (i) the Participant’s theft, dishonesty, willful misconduct, breach of fiduciary duty for personal profit, or falsification of any documents or records of the Company, a Subsidiary or any Affiliate; (ii) the Participant’s material failure to abide by a code of conduct or other policies of the Company, a Subsidiary or an Affiliate (including, without limitation, policies relating to confidentiality and reasonable workplace conduct); (iii) the Participant’s unauthorized use, misappropriation, destruction or diversion of any tangible or intangible asset or corporate opportunity of the Company, a Subsidiary or an Affiliate (including, without limitation, the Participant’s improper use or disclosure of confidential or proprietary information of the Company, a Subsidiary or an Affiliate); (iv) any intentional act by the Participant which has a material detrimental effect on the reputation or business of a Company, a Subsidiary or an Affiliate; (v) the Participant’s repeated failure or inability to perform any reasonable assigned duties after written notice from the Company, a Subsidiary or an Affiliate of, and a reasonable opportunity to cure, such failure or inability; (vi) any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ind w:right="100"/>
        <w:spacing w:after="0" w:line="261" w:lineRule="auto"/>
        <w:rPr>
          <w:sz w:val="20"/>
          <w:szCs w:val="20"/>
          <w:color w:val="auto"/>
        </w:rPr>
      </w:pPr>
      <w:r>
        <w:rPr>
          <w:rFonts w:ascii="Times New Roman" w:cs="Times New Roman" w:eastAsia="Times New Roman" w:hAnsi="Times New Roman"/>
          <w:sz w:val="18"/>
          <w:szCs w:val="18"/>
          <w:color w:val="auto"/>
        </w:rPr>
        <w:t>material breach by the Participant of any employment, service, non-disclosure, non-competition, non-solicitation or other similar agreement between the Participant and the Company, a Subsidiary or an Affiliate,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the Company, a Subsidiary or an Affiliate.</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(f)   “Change in Control”. </w:t>
      </w:r>
      <w:r>
        <w:rPr>
          <w:rFonts w:ascii="Times New Roman" w:cs="Times New Roman" w:eastAsia="Times New Roman" w:hAnsi="Times New Roman"/>
          <w:sz w:val="18"/>
          <w:szCs w:val="18"/>
          <w:color w:val="auto"/>
        </w:rPr>
        <w:t>shall mean the occurrence of any of the following events:</w:t>
      </w:r>
    </w:p>
    <w:p>
      <w:pPr>
        <w:spacing w:after="0" w:line="119" w:lineRule="exact"/>
        <w:rPr>
          <w:sz w:val="20"/>
          <w:szCs w:val="20"/>
          <w:color w:val="auto"/>
        </w:rPr>
      </w:pPr>
    </w:p>
    <w:p>
      <w:pPr>
        <w:ind w:right="200" w:firstLine="416"/>
        <w:spacing w:after="0" w:line="282" w:lineRule="auto"/>
        <w:rPr>
          <w:sz w:val="20"/>
          <w:szCs w:val="20"/>
          <w:color w:val="auto"/>
        </w:rPr>
      </w:pPr>
      <w:r>
        <w:rPr>
          <w:rFonts w:ascii="Times New Roman" w:cs="Times New Roman" w:eastAsia="Times New Roman" w:hAnsi="Times New Roman"/>
          <w:sz w:val="18"/>
          <w:szCs w:val="18"/>
          <w:color w:val="auto"/>
        </w:rPr>
        <w:t>(i)  A change in the composition of the Board of Directors occurs, as a result of which fewer than one-half of the incumbent directors are directors who either:</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Had been directors of the Company on the “look-back date” (as defined below) (the “original directors”); or</w:t>
      </w:r>
    </w:p>
    <w:p>
      <w:pPr>
        <w:spacing w:after="0" w:line="117" w:lineRule="exact"/>
        <w:rPr>
          <w:sz w:val="20"/>
          <w:szCs w:val="20"/>
          <w:color w:val="auto"/>
        </w:rPr>
      </w:pPr>
    </w:p>
    <w:p>
      <w:pPr>
        <w:jc w:val="both"/>
        <w:ind w:right="560" w:firstLine="416"/>
        <w:spacing w:after="0" w:line="266" w:lineRule="auto"/>
        <w:rPr>
          <w:sz w:val="20"/>
          <w:szCs w:val="20"/>
          <w:color w:val="auto"/>
        </w:rPr>
      </w:pPr>
      <w:r>
        <w:rPr>
          <w:rFonts w:ascii="Times New Roman" w:cs="Times New Roman" w:eastAsia="Times New Roman" w:hAnsi="Times New Roman"/>
          <w:sz w:val="18"/>
          <w:szCs w:val="18"/>
          <w:color w:val="auto"/>
        </w:rPr>
        <w:t>(B)  Were elected, or nominated for election, to the Board of Directors with the affirmative votes of at least a majority of the aggregate of the original directors who were still in office at the time of the election or nomination and the directors whose election or nomination was previously so approved (the “continuing directors”); or</w:t>
      </w:r>
    </w:p>
    <w:p>
      <w:pPr>
        <w:spacing w:after="0" w:line="68"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(ii)  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 or</w:t>
      </w:r>
    </w:p>
    <w:p>
      <w:pPr>
        <w:spacing w:after="0" w:line="81" w:lineRule="exact"/>
        <w:rPr>
          <w:sz w:val="20"/>
          <w:szCs w:val="20"/>
          <w:color w:val="auto"/>
        </w:rPr>
      </w:pPr>
    </w:p>
    <w:p>
      <w:pPr>
        <w:jc w:val="both"/>
        <w:ind w:right="240" w:firstLine="416"/>
        <w:spacing w:after="0" w:line="261" w:lineRule="auto"/>
        <w:rPr>
          <w:sz w:val="20"/>
          <w:szCs w:val="20"/>
          <w:color w:val="auto"/>
        </w:rPr>
      </w:pPr>
      <w:r>
        <w:rPr>
          <w:rFonts w:ascii="Times New Roman" w:cs="Times New Roman" w:eastAsia="Times New Roman" w:hAnsi="Times New Roman"/>
          <w:sz w:val="18"/>
          <w:szCs w:val="18"/>
          <w:color w:val="auto"/>
        </w:rPr>
        <w:t>(iii)  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continuing or surviving entity and (B) any direct or indirect parent corporation of such continuing or surviving entity; or</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(iv)   The sale, transfer or other disposition of all or substantially all of the Company’s assets.</w:t>
      </w:r>
    </w:p>
    <w:p>
      <w:pPr>
        <w:spacing w:after="0" w:line="11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purposes of subsection 2(f)(i) above, the term “look-back” date shall mean the date 24 months prior to the date of the event that may constitute a Change in Control.</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purposes of subsection 2.f)iii))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Any other provision of this Section 2(f)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for the offering of securities or debt to the public.</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(g)   “Code” </w:t>
      </w:r>
      <w:r>
        <w:rPr>
          <w:rFonts w:ascii="Times New Roman" w:cs="Times New Roman" w:eastAsia="Times New Roman" w:hAnsi="Times New Roman"/>
          <w:sz w:val="18"/>
          <w:szCs w:val="18"/>
          <w:color w:val="auto"/>
        </w:rPr>
        <w:t>shall mean the Internal Revenue Code of 1986, as amended.</w:t>
      </w:r>
    </w:p>
    <w:p>
      <w:pPr>
        <w:spacing w:after="0" w:line="117" w:lineRule="exact"/>
        <w:rPr>
          <w:sz w:val="20"/>
          <w:szCs w:val="20"/>
          <w:color w:val="auto"/>
        </w:rPr>
      </w:pPr>
    </w:p>
    <w:p>
      <w:pPr>
        <w:ind w:right="1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  “Committee” </w:t>
      </w:r>
      <w:r>
        <w:rPr>
          <w:rFonts w:ascii="Times New Roman" w:cs="Times New Roman" w:eastAsia="Times New Roman" w:hAnsi="Times New Roman"/>
          <w:sz w:val="18"/>
          <w:szCs w:val="18"/>
          <w:color w:val="auto"/>
        </w:rPr>
        <w:t>shall mean the Compensation Committee as designated by the Board of Directors, which is authorized to administer the Plan,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Section 3 hereof.</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(i)   “Company” </w:t>
      </w:r>
      <w:r>
        <w:rPr>
          <w:rFonts w:ascii="Times New Roman" w:cs="Times New Roman" w:eastAsia="Times New Roman" w:hAnsi="Times New Roman"/>
          <w:sz w:val="18"/>
          <w:szCs w:val="18"/>
          <w:color w:val="auto"/>
        </w:rPr>
        <w:t>shall mean Plus Therapeutics, Inc., a Delaware corporation, or any successor corporation thereto.</w:t>
      </w:r>
    </w:p>
    <w:p>
      <w:pPr>
        <w:spacing w:after="0" w:line="117" w:lineRule="exact"/>
        <w:rPr>
          <w:sz w:val="20"/>
          <w:szCs w:val="20"/>
          <w:color w:val="auto"/>
        </w:rPr>
      </w:pPr>
    </w:p>
    <w:p>
      <w:pPr>
        <w:ind w:right="8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  “Consultant” </w:t>
      </w:r>
      <w:r>
        <w:rPr>
          <w:rFonts w:ascii="Times New Roman" w:cs="Times New Roman" w:eastAsia="Times New Roman" w:hAnsi="Times New Roman"/>
          <w:sz w:val="18"/>
          <w:szCs w:val="18"/>
          <w:color w:val="auto"/>
        </w:rPr>
        <w:t>shall mean an individual who is a consultant or advisor and who provides bona fide services to the Company, a Parent,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or an Affiliate as an independent contractor (not including service as a member of the Board of Directors) or a member of the board of directors of a Parent or a Subsidiary, in each case who is not an Employee.</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(k)   “Disability” </w:t>
      </w:r>
      <w:r>
        <w:rPr>
          <w:rFonts w:ascii="Times New Roman" w:cs="Times New Roman" w:eastAsia="Times New Roman" w:hAnsi="Times New Roman"/>
          <w:sz w:val="18"/>
          <w:szCs w:val="18"/>
          <w:color w:val="auto"/>
        </w:rPr>
        <w:t>shall mean any permanent and total disability as defined by section 22(e)(3) of the Code.</w:t>
      </w:r>
    </w:p>
    <w:p>
      <w:pPr>
        <w:spacing w:after="0" w:line="117" w:lineRule="exact"/>
        <w:rPr>
          <w:sz w:val="20"/>
          <w:szCs w:val="20"/>
          <w:color w:val="auto"/>
        </w:rPr>
      </w:pPr>
    </w:p>
    <w:p>
      <w:pPr>
        <w:ind w:right="2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  “Effective Date” </w:t>
      </w:r>
      <w:r>
        <w:rPr>
          <w:rFonts w:ascii="Times New Roman" w:cs="Times New Roman" w:eastAsia="Times New Roman" w:hAnsi="Times New Roman"/>
          <w:sz w:val="18"/>
          <w:szCs w:val="18"/>
          <w:color w:val="auto"/>
        </w:rPr>
        <w:t>shall mean the effective date of this Plan document, which is the date of the annual meeting of stockholders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in 2020.</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(m)   “Employee” </w:t>
      </w:r>
      <w:r>
        <w:rPr>
          <w:rFonts w:ascii="Times New Roman" w:cs="Times New Roman" w:eastAsia="Times New Roman" w:hAnsi="Times New Roman"/>
          <w:sz w:val="18"/>
          <w:szCs w:val="18"/>
          <w:color w:val="auto"/>
        </w:rPr>
        <w:t>shall mean any individual who is a common-law employee of the Company, a Parent, a Subsidiary or an Affiliate.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(n)   “Exchange Act” </w:t>
      </w:r>
      <w:r>
        <w:rPr>
          <w:rFonts w:ascii="Times New Roman" w:cs="Times New Roman" w:eastAsia="Times New Roman" w:hAnsi="Times New Roman"/>
          <w:sz w:val="18"/>
          <w:szCs w:val="18"/>
          <w:color w:val="auto"/>
        </w:rPr>
        <w:t>shall mean the Securities Exchange Act of 1934, as amended, and the rules and regulations promulgated thereunder.</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jc w:val="both"/>
        <w:ind w:right="40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  “Exercise Price” </w:t>
      </w:r>
      <w:r>
        <w:rPr>
          <w:rFonts w:ascii="Times New Roman" w:cs="Times New Roman" w:eastAsia="Times New Roman" w:hAnsi="Times New Roman"/>
          <w:sz w:val="18"/>
          <w:szCs w:val="18"/>
          <w:color w:val="auto"/>
        </w:rPr>
        <w:t>shall mean, in the case of an Option, the amount for which one Share may be purchased upon exercise of such Option,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 the applicable Stock Option Agreement. “Exercise Price,” in the case of a SAR, shall mean an amount, as specified in the applicable SAR Agreement, which is subtracted from the Fair Market Value of one Share in determining the amount payable upon exercise of such SAR.</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(p)   “Fair Market Value” </w:t>
      </w:r>
      <w:r>
        <w:rPr>
          <w:rFonts w:ascii="Times New Roman" w:cs="Times New Roman" w:eastAsia="Times New Roman" w:hAnsi="Times New Roman"/>
          <w:sz w:val="18"/>
          <w:szCs w:val="18"/>
          <w:color w:val="auto"/>
        </w:rPr>
        <w:t>with respect to a Share, shall mean the market price of one Share, determined by the Committee as follows:</w:t>
      </w:r>
    </w:p>
    <w:p>
      <w:pPr>
        <w:spacing w:after="0" w:line="119"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(i)  If the Stock was traded over-the-counter (“OTC”)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Sheets LLC;</w:t>
      </w:r>
    </w:p>
    <w:p>
      <w:pPr>
        <w:spacing w:after="0" w:line="72" w:lineRule="exact"/>
        <w:rPr>
          <w:sz w:val="20"/>
          <w:szCs w:val="20"/>
          <w:color w:val="auto"/>
        </w:rPr>
      </w:pPr>
    </w:p>
    <w:p>
      <w:pPr>
        <w:jc w:val="both"/>
        <w:ind w:right="200" w:firstLine="416"/>
        <w:spacing w:after="0" w:line="266" w:lineRule="auto"/>
        <w:rPr>
          <w:sz w:val="20"/>
          <w:szCs w:val="20"/>
          <w:color w:val="auto"/>
        </w:rPr>
      </w:pPr>
      <w:r>
        <w:rPr>
          <w:rFonts w:ascii="Times New Roman" w:cs="Times New Roman" w:eastAsia="Times New Roman" w:hAnsi="Times New Roman"/>
          <w:sz w:val="18"/>
          <w:szCs w:val="18"/>
          <w:color w:val="auto"/>
        </w:rPr>
        <w:t>(ii)  If the Stock was traded on any established stock exchange (such as The Nasdaq Global Market, The Nasdaq Global Select Market or the New York Stock Exchange) or national market system on the date in question, then the Fair Market Value shall be equal to the closing price reported for such date by the applicable exchange or system; or</w:t>
      </w:r>
    </w:p>
    <w:p>
      <w:pPr>
        <w:spacing w:after="0" w:line="68" w:lineRule="exact"/>
        <w:rPr>
          <w:sz w:val="20"/>
          <w:szCs w:val="20"/>
          <w:color w:val="auto"/>
        </w:rPr>
      </w:pPr>
    </w:p>
    <w:p>
      <w:pPr>
        <w:ind w:right="80" w:firstLine="416"/>
        <w:spacing w:after="0" w:line="282" w:lineRule="auto"/>
        <w:rPr>
          <w:sz w:val="20"/>
          <w:szCs w:val="20"/>
          <w:color w:val="auto"/>
        </w:rPr>
      </w:pPr>
      <w:r>
        <w:rPr>
          <w:rFonts w:ascii="Times New Roman" w:cs="Times New Roman" w:eastAsia="Times New Roman" w:hAnsi="Times New Roman"/>
          <w:sz w:val="18"/>
          <w:szCs w:val="18"/>
          <w:color w:val="auto"/>
        </w:rPr>
        <w:t>(iii)  If none of the foregoing provisions is applicable, then the Fair Market Value shall be determined by the Committee in good faith on such basis as it deems appropriate.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all cases, the determination of Fair Market Value by the Committee shall be conclusive and binding on all persons.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(q)   “ISO” </w:t>
      </w:r>
      <w:r>
        <w:rPr>
          <w:rFonts w:ascii="Times New Roman" w:cs="Times New Roman" w:eastAsia="Times New Roman" w:hAnsi="Times New Roman"/>
          <w:sz w:val="18"/>
          <w:szCs w:val="18"/>
          <w:color w:val="auto"/>
        </w:rPr>
        <w:t>shall mean an employee incentive stock option described in Section 422 of the Code.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(r)   “Nonstatutory Option” or “NSO” </w:t>
      </w:r>
      <w:r>
        <w:rPr>
          <w:rFonts w:ascii="Times New Roman" w:cs="Times New Roman" w:eastAsia="Times New Roman" w:hAnsi="Times New Roman"/>
          <w:sz w:val="18"/>
          <w:szCs w:val="18"/>
          <w:color w:val="auto"/>
        </w:rPr>
        <w:t>shall mean an employee stock option that is not an ISO.</w:t>
      </w:r>
    </w:p>
    <w:p>
      <w:pPr>
        <w:spacing w:after="0" w:line="117" w:lineRule="exact"/>
        <w:rPr>
          <w:sz w:val="20"/>
          <w:szCs w:val="20"/>
          <w:color w:val="auto"/>
        </w:rPr>
      </w:pPr>
    </w:p>
    <w:p>
      <w:pPr>
        <w:ind w:right="1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  “Offeree” </w:t>
      </w:r>
      <w:r>
        <w:rPr>
          <w:rFonts w:ascii="Times New Roman" w:cs="Times New Roman" w:eastAsia="Times New Roman" w:hAnsi="Times New Roman"/>
          <w:sz w:val="18"/>
          <w:szCs w:val="18"/>
          <w:color w:val="auto"/>
        </w:rPr>
        <w:t>shall mean an individual to whom the Committee has offered the right to acquire Shares under the Plan (other than upon exercise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Option or SAR).</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(t)   “Option” </w:t>
      </w:r>
      <w:r>
        <w:rPr>
          <w:rFonts w:ascii="Times New Roman" w:cs="Times New Roman" w:eastAsia="Times New Roman" w:hAnsi="Times New Roman"/>
          <w:sz w:val="18"/>
          <w:szCs w:val="18"/>
          <w:color w:val="auto"/>
        </w:rPr>
        <w:t>shall mean an ISO or Nonstatutory Option granted under the Plan and entitling the holder to purchase Shares.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(u)   “Optionee” </w:t>
      </w:r>
      <w:r>
        <w:rPr>
          <w:rFonts w:ascii="Times New Roman" w:cs="Times New Roman" w:eastAsia="Times New Roman" w:hAnsi="Times New Roman"/>
          <w:sz w:val="18"/>
          <w:szCs w:val="18"/>
          <w:color w:val="auto"/>
        </w:rPr>
        <w:t>shall mean the holder of an Option or SAR.</w:t>
      </w:r>
    </w:p>
    <w:p>
      <w:pPr>
        <w:spacing w:after="0" w:line="117" w:lineRule="exact"/>
        <w:rPr>
          <w:sz w:val="20"/>
          <w:szCs w:val="20"/>
          <w:color w:val="auto"/>
        </w:rPr>
      </w:pPr>
    </w:p>
    <w:p>
      <w:pPr>
        <w:ind w:right="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  “Outside Director” </w:t>
      </w:r>
      <w:r>
        <w:rPr>
          <w:rFonts w:ascii="Times New Roman" w:cs="Times New Roman" w:eastAsia="Times New Roman" w:hAnsi="Times New Roman"/>
          <w:sz w:val="18"/>
          <w:szCs w:val="18"/>
          <w:color w:val="auto"/>
        </w:rPr>
        <w:t>shall mean a member of the Board of Directors who is not a common-law employee of, or paid consultant to,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Parent or a Subsidiary.</w:t>
      </w:r>
    </w:p>
    <w:p>
      <w:pPr>
        <w:spacing w:after="0" w:line="50"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  “Parent” </w:t>
      </w:r>
      <w:r>
        <w:rPr>
          <w:rFonts w:ascii="Times New Roman" w:cs="Times New Roman" w:eastAsia="Times New Roman" w:hAnsi="Times New Roman"/>
          <w:sz w:val="18"/>
          <w:szCs w:val="18"/>
          <w:color w:val="auto"/>
        </w:rPr>
        <w:t>shall mean any corporation (other than the Company) in an unbroken chain of corporations ending with the Company, if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(x)   “Participant” </w:t>
      </w:r>
      <w:r>
        <w:rPr>
          <w:rFonts w:ascii="Times New Roman" w:cs="Times New Roman" w:eastAsia="Times New Roman" w:hAnsi="Times New Roman"/>
          <w:sz w:val="18"/>
          <w:szCs w:val="18"/>
          <w:color w:val="auto"/>
        </w:rPr>
        <w:t>shall mean the holder of an Award.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(y)   “Plan” </w:t>
      </w:r>
      <w:r>
        <w:rPr>
          <w:rFonts w:ascii="Times New Roman" w:cs="Times New Roman" w:eastAsia="Times New Roman" w:hAnsi="Times New Roman"/>
          <w:sz w:val="18"/>
          <w:szCs w:val="18"/>
          <w:color w:val="auto"/>
        </w:rPr>
        <w:t>shall mean this 2020 Stock Incentive Plan of Plus Therapeutics, Inc., as amended from time to time.</w:t>
      </w:r>
    </w:p>
    <w:p>
      <w:pPr>
        <w:spacing w:after="0" w:line="117" w:lineRule="exact"/>
        <w:rPr>
          <w:sz w:val="20"/>
          <w:szCs w:val="20"/>
          <w:color w:val="auto"/>
        </w:rPr>
      </w:pPr>
    </w:p>
    <w:p>
      <w:pPr>
        <w:ind w:right="1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(z)  “Purchase Price” </w:t>
      </w:r>
      <w:r>
        <w:rPr>
          <w:rFonts w:ascii="Times New Roman" w:cs="Times New Roman" w:eastAsia="Times New Roman" w:hAnsi="Times New Roman"/>
          <w:sz w:val="18"/>
          <w:szCs w:val="18"/>
          <w:color w:val="auto"/>
        </w:rPr>
        <w:t>shall mean the consideration for which one Share may be acquired under the Plan (other than upon exercise of an Option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 as specified by the Committee.</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(aa)   “Restricted Share” </w:t>
      </w:r>
      <w:r>
        <w:rPr>
          <w:rFonts w:ascii="Times New Roman" w:cs="Times New Roman" w:eastAsia="Times New Roman" w:hAnsi="Times New Roman"/>
          <w:sz w:val="18"/>
          <w:szCs w:val="18"/>
          <w:color w:val="auto"/>
        </w:rPr>
        <w:t>shall mean a Share awarded under the Plan.</w:t>
      </w:r>
    </w:p>
    <w:p>
      <w:pPr>
        <w:spacing w:after="0" w:line="117" w:lineRule="exact"/>
        <w:rPr>
          <w:sz w:val="20"/>
          <w:szCs w:val="20"/>
          <w:color w:val="auto"/>
        </w:rPr>
      </w:pPr>
    </w:p>
    <w:p>
      <w:pPr>
        <w:ind w:right="3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(bb)  “Restricted Share Agreement” </w:t>
      </w:r>
      <w:r>
        <w:rPr>
          <w:rFonts w:ascii="Times New Roman" w:cs="Times New Roman" w:eastAsia="Times New Roman" w:hAnsi="Times New Roman"/>
          <w:sz w:val="18"/>
          <w:szCs w:val="18"/>
          <w:color w:val="auto"/>
        </w:rPr>
        <w:t>shall mean the agreement between the Company and the recipient of a Restricted Share which contains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conditions and restrictions pertaining to such Restricted Shares.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(cc)   “SAR” </w:t>
      </w:r>
      <w:r>
        <w:rPr>
          <w:rFonts w:ascii="Times New Roman" w:cs="Times New Roman" w:eastAsia="Times New Roman" w:hAnsi="Times New Roman"/>
          <w:sz w:val="18"/>
          <w:szCs w:val="18"/>
          <w:color w:val="auto"/>
        </w:rPr>
        <w:t>shall mean a stock appreciation right granted under the Plan.</w:t>
      </w:r>
    </w:p>
    <w:p>
      <w:pPr>
        <w:spacing w:after="0" w:line="117" w:lineRule="exact"/>
        <w:rPr>
          <w:sz w:val="20"/>
          <w:szCs w:val="20"/>
          <w:color w:val="auto"/>
        </w:rPr>
      </w:pPr>
    </w:p>
    <w:p>
      <w:pPr>
        <w:ind w:right="40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(dd)  “SAR Agreement” </w:t>
      </w:r>
      <w:r>
        <w:rPr>
          <w:rFonts w:ascii="Times New Roman" w:cs="Times New Roman" w:eastAsia="Times New Roman" w:hAnsi="Times New Roman"/>
          <w:sz w:val="18"/>
          <w:szCs w:val="18"/>
          <w:color w:val="auto"/>
        </w:rPr>
        <w:t>shall mean the agreement between the Company and an Optionee which contains the terms, conditions and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pertaining to his or her SAR.</w:t>
      </w:r>
    </w:p>
    <w:p>
      <w:pPr>
        <w:spacing w:after="0" w:line="50"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(ee)  “Service” </w:t>
      </w:r>
      <w:r>
        <w:rPr>
          <w:rFonts w:ascii="Times New Roman" w:cs="Times New Roman" w:eastAsia="Times New Roman" w:hAnsi="Times New Roman"/>
          <w:sz w:val="18"/>
          <w:szCs w:val="18"/>
          <w:color w:val="auto"/>
        </w:rPr>
        <w:t>shall mean service as an Employee, Consultant or Outside Director, subject to such further limitations as may be set forth in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applicable Stock Option Agreement, SAR Agreement, Restricted Share Agreement or Stock Unit Agreement, and as determined in the sole discretion of the Committee.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Service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count toward Service, and when Service terminates for all purposes under the Plan.</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(ff)   “Share” </w:t>
      </w:r>
      <w:r>
        <w:rPr>
          <w:rFonts w:ascii="Times New Roman" w:cs="Times New Roman" w:eastAsia="Times New Roman" w:hAnsi="Times New Roman"/>
          <w:sz w:val="18"/>
          <w:szCs w:val="18"/>
          <w:color w:val="auto"/>
        </w:rPr>
        <w:t>shall mean one share of Stock, as adjusted in accordance with Section 11 (if applicable).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(gg)   “Stock” </w:t>
      </w:r>
      <w:r>
        <w:rPr>
          <w:rFonts w:ascii="Times New Roman" w:cs="Times New Roman" w:eastAsia="Times New Roman" w:hAnsi="Times New Roman"/>
          <w:sz w:val="18"/>
          <w:szCs w:val="18"/>
          <w:color w:val="auto"/>
        </w:rPr>
        <w:t>shall mean the common stock of the Company.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49" w:name="page50"/>
    <w:bookmarkEnd w:id="49"/>
    <w:p>
      <w:pPr>
        <w:ind w:right="80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(hh)  “Stock Option Agreement” </w:t>
      </w:r>
      <w:r>
        <w:rPr>
          <w:rFonts w:ascii="Times New Roman" w:cs="Times New Roman" w:eastAsia="Times New Roman" w:hAnsi="Times New Roman"/>
          <w:sz w:val="18"/>
          <w:szCs w:val="18"/>
          <w:color w:val="auto"/>
        </w:rPr>
        <w:t>shall mean the agreement between the Company and an Optionee that contains the terms,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pertaining to such Option.</w:t>
      </w:r>
    </w:p>
    <w:p>
      <w:pPr>
        <w:spacing w:after="0" w:line="50" w:lineRule="exact"/>
        <w:rPr>
          <w:sz w:val="20"/>
          <w:szCs w:val="20"/>
          <w:color w:val="auto"/>
        </w:rPr>
      </w:pPr>
    </w:p>
    <w:p>
      <w:pPr>
        <w:ind w:right="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(ii)  “Stock Unit” </w:t>
      </w:r>
      <w:r>
        <w:rPr>
          <w:rFonts w:ascii="Times New Roman" w:cs="Times New Roman" w:eastAsia="Times New Roman" w:hAnsi="Times New Roman"/>
          <w:sz w:val="18"/>
          <w:szCs w:val="18"/>
          <w:color w:val="auto"/>
        </w:rPr>
        <w:t>shall mean a bookkeeping entry representing the Company’s obligation to deliver one Share (or distribute cash) on a future date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provisions of a Stock Unit Agreement.</w:t>
      </w:r>
    </w:p>
    <w:p>
      <w:pPr>
        <w:spacing w:after="0" w:line="50" w:lineRule="exact"/>
        <w:rPr>
          <w:sz w:val="20"/>
          <w:szCs w:val="20"/>
          <w:color w:val="auto"/>
        </w:rPr>
      </w:pPr>
    </w:p>
    <w:p>
      <w:pPr>
        <w:ind w:right="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(jj)  “Stock Unit Agreement” </w:t>
      </w:r>
      <w:r>
        <w:rPr>
          <w:rFonts w:ascii="Times New Roman" w:cs="Times New Roman" w:eastAsia="Times New Roman" w:hAnsi="Times New Roman"/>
          <w:sz w:val="18"/>
          <w:szCs w:val="18"/>
          <w:color w:val="auto"/>
        </w:rPr>
        <w:t>shall mean the agreement between the Company and the recipient of a Stock Unit which contains the terms,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restrictions pertaining to such Stock Unit.</w:t>
      </w:r>
    </w:p>
    <w:p>
      <w:pPr>
        <w:spacing w:after="0" w:line="50" w:lineRule="exact"/>
        <w:rPr>
          <w:sz w:val="20"/>
          <w:szCs w:val="20"/>
          <w:color w:val="auto"/>
        </w:rPr>
      </w:pPr>
    </w:p>
    <w:p>
      <w:pPr>
        <w:ind w:right="1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(kk)  “Subsidiary” </w:t>
      </w:r>
      <w:r>
        <w:rPr>
          <w:rFonts w:ascii="Times New Roman" w:cs="Times New Roman" w:eastAsia="Times New Roman" w:hAnsi="Times New Roman"/>
          <w:sz w:val="18"/>
          <w:szCs w:val="18"/>
          <w:color w:val="auto"/>
        </w:rPr>
        <w:t>shall mean any corporation, if the Company and/or one or more other Subsidiaries own not less than 50% of the total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power of all classes of outstanding stock of such corporation.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corporation that attains the status of a Subsidiary on a date after the adoption of the Plan shall be considered a Subsidiary commencing as of such date.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ADMINISTRATION.</w:t>
      </w:r>
    </w:p>
    <w:p>
      <w:pPr>
        <w:spacing w:after="0" w:line="119"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(a)  Committee Composition</w:t>
      </w:r>
      <w:r>
        <w:rPr>
          <w:rFonts w:ascii="Times New Roman" w:cs="Times New Roman" w:eastAsia="Times New Roman" w:hAnsi="Times New Roman"/>
          <w:sz w:val="18"/>
          <w:szCs w:val="18"/>
          <w:color w:val="auto"/>
        </w:rPr>
        <w:t>. The Plan shall be administered by a Committee appointed by the Board of Directors, or by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acting as the Committee. The Committee shall consist of two or more directors of the Company. In addition, the composition of the Committee shall satisfy such requirements as the Securities and Exchange Commission may establish for administrators acting under plans intended to qualify for exemption under Rule 16b-3 (or its successor) under the Exchange Act.</w:t>
      </w:r>
    </w:p>
    <w:p>
      <w:pPr>
        <w:spacing w:after="0" w:line="72"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i w:val="1"/>
          <w:iCs w:val="1"/>
          <w:color w:val="auto"/>
        </w:rPr>
        <w:t>(b)  Committee for Non-Officer Grants</w:t>
      </w:r>
      <w:r>
        <w:rPr>
          <w:rFonts w:ascii="Times New Roman" w:cs="Times New Roman" w:eastAsia="Times New Roman" w:hAnsi="Times New Roman"/>
          <w:sz w:val="18"/>
          <w:szCs w:val="18"/>
          <w:color w:val="auto"/>
        </w:rPr>
        <w:t>. The Board of Directors may also appoint one or more separate committees of the Board, each composed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or more directors of the Company who need not satisfy the requirements of Section 3.(a), who may administer the Plan with respect to Employees who are not considered officers or directors of the Company under Section 16 of the Exchange Act, may grant Awards under the Plan to such Employees and may determine all terms of such grants. Within the limitations of the preceding sentence, any reference in the Plan to the Committee shall include such committee or committees appointed pursuant to the preceding sentence. To the extent permitted by applicable law, the Board of Directors may also authorize one or more officers of the Company to designate Employees, other than officers under Section 16 of the Exchange Act, to receive Awards and/or to determine the number of such Awards to be received by such persons; provided, however, that the Board of Directors shall specify the total number of Awards that such officers may so award.</w:t>
      </w:r>
    </w:p>
    <w:p>
      <w:pPr>
        <w:spacing w:after="0" w:line="77" w:lineRule="exact"/>
        <w:rPr>
          <w:sz w:val="20"/>
          <w:szCs w:val="20"/>
          <w:color w:val="auto"/>
        </w:rPr>
      </w:pPr>
    </w:p>
    <w:p>
      <w:pPr>
        <w:ind w:right="12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(c)  Committee Procedures</w:t>
      </w:r>
      <w:r>
        <w:rPr>
          <w:rFonts w:ascii="Times New Roman" w:cs="Times New Roman" w:eastAsia="Times New Roman" w:hAnsi="Times New Roman"/>
          <w:sz w:val="18"/>
          <w:szCs w:val="18"/>
          <w:color w:val="auto"/>
        </w:rPr>
        <w:t>. The Board of Directors shall designate one of the members of the Committee as chairman. The Committee may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at such times and places as it shall determine. The acts of a majority of the Committee members present at meetings at which a quorum exists, or acts reduced to or approved in writing (including via email) by all Committee members, shall be valid acts of the Committee.</w:t>
      </w:r>
    </w:p>
    <w:p>
      <w:pPr>
        <w:spacing w:after="0" w:line="65" w:lineRule="exact"/>
        <w:rPr>
          <w:sz w:val="20"/>
          <w:szCs w:val="20"/>
          <w:color w:val="auto"/>
        </w:rPr>
      </w:pPr>
    </w:p>
    <w:p>
      <w:pPr>
        <w:ind w:right="2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(d)  Committee Responsibilities</w:t>
      </w:r>
      <w:r>
        <w:rPr>
          <w:rFonts w:ascii="Times New Roman" w:cs="Times New Roman" w:eastAsia="Times New Roman" w:hAnsi="Times New Roman"/>
          <w:sz w:val="18"/>
          <w:szCs w:val="18"/>
          <w:color w:val="auto"/>
        </w:rPr>
        <w:t>. Subject to the provisions of the Plan, the Committee shall have full authority and discretion to take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To interpret the Plan and to apply its provisions;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   To adopt, amend or rescind rules, procedures and forms relating to the Plan;</w:t>
      </w:r>
    </w:p>
    <w:p>
      <w:pPr>
        <w:spacing w:after="0" w:line="117" w:lineRule="exact"/>
        <w:rPr>
          <w:sz w:val="20"/>
          <w:szCs w:val="20"/>
          <w:color w:val="auto"/>
        </w:rPr>
      </w:pPr>
    </w:p>
    <w:p>
      <w:pPr>
        <w:ind w:right="120" w:firstLine="416"/>
        <w:spacing w:after="0" w:line="282" w:lineRule="auto"/>
        <w:rPr>
          <w:sz w:val="20"/>
          <w:szCs w:val="20"/>
          <w:color w:val="auto"/>
        </w:rPr>
      </w:pPr>
      <w:r>
        <w:rPr>
          <w:rFonts w:ascii="Times New Roman" w:cs="Times New Roman" w:eastAsia="Times New Roman" w:hAnsi="Times New Roman"/>
          <w:sz w:val="18"/>
          <w:szCs w:val="18"/>
          <w:color w:val="auto"/>
        </w:rPr>
        <w:t>(iii)  To adopt, amend or terminate sub-plans established for the purpose of satisfying applicable foreign laws including qualifying for preferred tax treatment under applicable foreign tax laws;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(iv)   To authorize any person to execute, on behalf of the Company, any instrument required to carry out the purposes of the Plan;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   To determine when Awards are to be granted under the Plan;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(vi)   To select the Offerees, Optionees and Participants;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(vii)   To determine the type of Award and number of Shares or amount of cash to be made subject to each Award;</w:t>
      </w:r>
    </w:p>
    <w:p>
      <w:pPr>
        <w:spacing w:after="0" w:line="117"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(viii)  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 Nonstatutory Option, and to specify the provisions of the agreement relating to such Award;</w:t>
      </w:r>
    </w:p>
    <w:p>
      <w:pPr>
        <w:spacing w:after="0" w:line="72" w:lineRule="exact"/>
        <w:rPr>
          <w:sz w:val="20"/>
          <w:szCs w:val="20"/>
          <w:color w:val="auto"/>
        </w:rPr>
      </w:pPr>
    </w:p>
    <w:p>
      <w:pPr>
        <w:ind w:right="260" w:firstLine="416"/>
        <w:spacing w:after="0" w:line="282" w:lineRule="auto"/>
        <w:rPr>
          <w:sz w:val="20"/>
          <w:szCs w:val="20"/>
          <w:color w:val="auto"/>
        </w:rPr>
      </w:pPr>
      <w:r>
        <w:rPr>
          <w:rFonts w:ascii="Times New Roman" w:cs="Times New Roman" w:eastAsia="Times New Roman" w:hAnsi="Times New Roman"/>
          <w:sz w:val="18"/>
          <w:szCs w:val="18"/>
          <w:color w:val="auto"/>
        </w:rPr>
        <w:t>(ix)  To amend any outstanding Award Agreement, subject to applicable legal restrictions and to the consent of the Participant if the Participant’s rights or obligations would be materially impaired;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   To prescribe the consideration for the grant of each Award or other right under the Plan and to determine the sufficiency of such consideration;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(xi)   To determine the disposition of each Award or other right under the Plan in the event of a Participant’s divorce or dissolution of marriage;</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50" w:name="page51"/>
    <w:bookmarkEnd w:id="50"/>
    <w:p>
      <w:pPr>
        <w:ind w:right="140" w:firstLine="416"/>
        <w:spacing w:after="0" w:line="282" w:lineRule="auto"/>
        <w:rPr>
          <w:sz w:val="20"/>
          <w:szCs w:val="20"/>
          <w:color w:val="auto"/>
        </w:rPr>
      </w:pPr>
      <w:r>
        <w:rPr>
          <w:rFonts w:ascii="Times New Roman" w:cs="Times New Roman" w:eastAsia="Times New Roman" w:hAnsi="Times New Roman"/>
          <w:sz w:val="18"/>
          <w:szCs w:val="18"/>
          <w:color w:val="auto"/>
        </w:rPr>
        <w:t>(xii)  To determine whether Awards under the Plan will be granted in replacement of other grants under an incentive or other compensation plan of an acquired business;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(xiii)   To correct any defect, supply any omission, or reconcile any inconsistency in the Plan or any Award Agreement;</w:t>
      </w:r>
    </w:p>
    <w:p>
      <w:pPr>
        <w:spacing w:after="0" w:line="117" w:lineRule="exact"/>
        <w:rPr>
          <w:sz w:val="20"/>
          <w:szCs w:val="20"/>
          <w:color w:val="auto"/>
        </w:rPr>
      </w:pPr>
    </w:p>
    <w:p>
      <w:pPr>
        <w:ind w:right="200" w:firstLine="416"/>
        <w:spacing w:after="0" w:line="282" w:lineRule="auto"/>
        <w:rPr>
          <w:sz w:val="20"/>
          <w:szCs w:val="20"/>
          <w:color w:val="auto"/>
        </w:rPr>
      </w:pPr>
      <w:r>
        <w:rPr>
          <w:rFonts w:ascii="Times New Roman" w:cs="Times New Roman" w:eastAsia="Times New Roman" w:hAnsi="Times New Roman"/>
          <w:sz w:val="18"/>
          <w:szCs w:val="18"/>
          <w:color w:val="auto"/>
        </w:rPr>
        <w:t>(xiv)  To establish or verify the extent of satisfaction of any performance goals or other conditions applicable to the grant, issuance, exercisability, vesting and/or ability to retain any Award; and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(xv)   To take any other actions deemed necessary or advisable for the administration of the Plan.</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Offerees, all Optionees, all Participants and all persons deriving their rights from an Offeree, Optionee or Participant. No member of the Committee shall be liable for any action that he has taken or has failed to take in good faith with respect to the Plan, any Award, or any right to acquire Shares under the Plan.</w:t>
      </w:r>
    </w:p>
    <w:p>
      <w:pPr>
        <w:spacing w:after="0" w:line="77"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(e)  Cancellation and Re-Grant of Stock Awards</w:t>
      </w:r>
      <w:r>
        <w:rPr>
          <w:rFonts w:ascii="Times New Roman" w:cs="Times New Roman" w:eastAsia="Times New Roman" w:hAnsi="Times New Roman"/>
          <w:sz w:val="18"/>
          <w:szCs w:val="18"/>
          <w:color w:val="auto"/>
        </w:rPr>
        <w:t>. Notwithstanding any contrary provision of the Plan, neither the Committee nor its designees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authority to: (i) amend the terms of outstanding Options or SARs to reduce the Exercise Price thereof, or (ii) cancel outstanding Options or SARs with an Exercise Price above the current Fair Market Value per Share in exchange for another Option or SAR with a lower exercise price or for another Award or for cash, unless the stockholders of the Company have previously approved such an action or such action relates to an adjustment pursuant to Section 11.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ELIGIBILITY.</w:t>
      </w:r>
    </w:p>
    <w:p>
      <w:pPr>
        <w:spacing w:after="0" w:line="119" w:lineRule="exact"/>
        <w:rPr>
          <w:sz w:val="20"/>
          <w:szCs w:val="20"/>
          <w:color w:val="auto"/>
        </w:rPr>
      </w:pPr>
    </w:p>
    <w:p>
      <w:pPr>
        <w:ind w:right="1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(a)  General Rule</w:t>
      </w:r>
      <w:r>
        <w:rPr>
          <w:rFonts w:ascii="Times New Roman" w:cs="Times New Roman" w:eastAsia="Times New Roman" w:hAnsi="Times New Roman"/>
          <w:sz w:val="18"/>
          <w:szCs w:val="18"/>
          <w:color w:val="auto"/>
        </w:rPr>
        <w:t>. Only common-law employees of the Company, a Parent or a Subsidiary shall be eligible for the grant of ISOs. Only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Consultants and Outside Directors shall be eligible for the grant of Restricted Shares, Stock Units, Nonstatutory Options or SARs.</w:t>
      </w:r>
    </w:p>
    <w:p>
      <w:pPr>
        <w:spacing w:after="0" w:line="50" w:lineRule="exact"/>
        <w:rPr>
          <w:sz w:val="20"/>
          <w:szCs w:val="20"/>
          <w:color w:val="auto"/>
        </w:rPr>
      </w:pPr>
    </w:p>
    <w:p>
      <w:pPr>
        <w:ind w:right="20" w:firstLine="416"/>
        <w:spacing w:after="0" w:line="273" w:lineRule="auto"/>
        <w:rPr>
          <w:sz w:val="20"/>
          <w:szCs w:val="20"/>
          <w:color w:val="auto"/>
        </w:rPr>
      </w:pPr>
      <w:r>
        <w:rPr>
          <w:rFonts w:ascii="Times New Roman" w:cs="Times New Roman" w:eastAsia="Times New Roman" w:hAnsi="Times New Roman"/>
          <w:sz w:val="17"/>
          <w:szCs w:val="17"/>
          <w:i w:val="1"/>
          <w:iCs w:val="1"/>
          <w:color w:val="auto"/>
        </w:rPr>
        <w:t>(b)  Limit on Grants to Outside Directors</w:t>
      </w:r>
      <w:r>
        <w:rPr>
          <w:rFonts w:ascii="Times New Roman" w:cs="Times New Roman" w:eastAsia="Times New Roman" w:hAnsi="Times New Roman"/>
          <w:sz w:val="17"/>
          <w:szCs w:val="17"/>
          <w:color w:val="auto"/>
        </w:rPr>
        <w:t>. Notwithstanding any other provision of the Plan to the contrary, the Board of Directors may establish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for Outside Directors from time to time, subject to the limitations in the Plan. The Board of Directors will from time to time determine the terms, conditions and amounts of all such Outside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of Topic 718, or any successor thereto) of Awards granted to Outside Directors as compensation for services as an Outside Director during any calendar year of the Company may not exceed $500,000 (increased to $700,000 in the calendar year of his or her initial service as an Outside Director).</w:t>
      </w:r>
    </w:p>
    <w:p>
      <w:pPr>
        <w:spacing w:after="0" w:line="63" w:lineRule="exact"/>
        <w:rPr>
          <w:sz w:val="20"/>
          <w:szCs w:val="20"/>
          <w:color w:val="auto"/>
        </w:rPr>
      </w:pPr>
    </w:p>
    <w:p>
      <w:pPr>
        <w:jc w:val="both"/>
        <w:ind w:right="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(c)  Ten-Percent Stockholders</w:t>
      </w:r>
      <w:r>
        <w:rPr>
          <w:rFonts w:ascii="Times New Roman" w:cs="Times New Roman" w:eastAsia="Times New Roman" w:hAnsi="Times New Roman"/>
          <w:sz w:val="18"/>
          <w:szCs w:val="18"/>
          <w:color w:val="auto"/>
        </w:rPr>
        <w:t>. An Employee who owns more than 10% of the total combined voting power of all classes of outstanding stock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 Parent or Subsidiary shall not be eligible for the grant of an ISO unless such grant satisfies the requirements of Section 422(c)(5) of the Code.</w:t>
      </w:r>
    </w:p>
    <w:p>
      <w:pPr>
        <w:spacing w:after="0" w:line="50" w:lineRule="exact"/>
        <w:rPr>
          <w:sz w:val="20"/>
          <w:szCs w:val="20"/>
          <w:color w:val="auto"/>
        </w:rPr>
      </w:pPr>
    </w:p>
    <w:p>
      <w:pPr>
        <w:jc w:val="both"/>
        <w:ind w:right="14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(d)  Attribution Rules</w:t>
      </w:r>
      <w:r>
        <w:rPr>
          <w:rFonts w:ascii="Times New Roman" w:cs="Times New Roman" w:eastAsia="Times New Roman" w:hAnsi="Times New Roman"/>
          <w:sz w:val="18"/>
          <w:szCs w:val="18"/>
          <w:color w:val="auto"/>
        </w:rPr>
        <w:t>. For purposes of Section 4.c) above, in determining stock ownership, an Employee shall be deemed to own the stock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65" w:lineRule="exact"/>
        <w:rPr>
          <w:sz w:val="20"/>
          <w:szCs w:val="20"/>
          <w:color w:val="auto"/>
        </w:rPr>
      </w:pPr>
    </w:p>
    <w:p>
      <w:pPr>
        <w:ind w:right="14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(e)  Outstanding Stock</w:t>
      </w:r>
      <w:r>
        <w:rPr>
          <w:rFonts w:ascii="Times New Roman" w:cs="Times New Roman" w:eastAsia="Times New Roman" w:hAnsi="Times New Roman"/>
          <w:sz w:val="18"/>
          <w:szCs w:val="18"/>
          <w:color w:val="auto"/>
        </w:rPr>
        <w:t>. For purposes of Section 4(c) above, “outstanding stock” shall include all stock actually issued and outstanding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grant. “Outstanding stock” shall not include shares authorized for issuance under outstanding options held by the Employee or by any other person.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STOCK SUBJECT TO PLAN.</w:t>
      </w:r>
    </w:p>
    <w:p>
      <w:pPr>
        <w:spacing w:after="0" w:line="119"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i w:val="1"/>
          <w:iCs w:val="1"/>
          <w:color w:val="auto"/>
        </w:rPr>
        <w:t>(a)  Basic Limitation</w:t>
      </w:r>
      <w:r>
        <w:rPr>
          <w:rFonts w:ascii="Times New Roman" w:cs="Times New Roman" w:eastAsia="Times New Roman" w:hAnsi="Times New Roman"/>
          <w:sz w:val="18"/>
          <w:szCs w:val="18"/>
          <w:color w:val="auto"/>
        </w:rPr>
        <w:t>. Shares offered under the Plan shall be authorized but unissued Shares or treasury Shares. Subject to Section 5.b) below,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maximum aggregate number of Shares authorized for issuance as Awards under the Plan shall not exceed 21,303,334 Shares, which is the sum of (i) 36,667 shares approved at the Company’s 2020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66,667 shares approved at the Company’s 2021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133,333 shares approved at the Company’s 2022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(iv) 66,667 shares approved at the Company’s 2023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 1,000,000 Shares approved at the Company’s 2024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(vi) 20,000,000 Shares approved at the Company’s 2025 annual meeting of stockholders,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(vii) the number of shares subject to the Predecessor Plan’s Available 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(viii) the number of shares that are Predecessor Plan Returning Shares, as such shares become available from time to time (the “Absolute Share Limit”). The number of Shares that may be delivered in the aggregate pursuant to the exercise of ISOs granted under the Plan shall not exceed 21,303,334 Shares plus, to the extent allowable under Section 422 of the Code and the Treasury Regulations promulgated thereunder, any Shares that become available for issuance under the Plan pursuant to Section 5(b). The limitations of this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right="60"/>
        <w:spacing w:after="0" w:line="266" w:lineRule="auto"/>
        <w:rPr>
          <w:sz w:val="20"/>
          <w:szCs w:val="20"/>
          <w:color w:val="auto"/>
        </w:rPr>
      </w:pPr>
      <w:r>
        <w:rPr>
          <w:rFonts w:ascii="Times New Roman" w:cs="Times New Roman" w:eastAsia="Times New Roman" w:hAnsi="Times New Roman"/>
          <w:sz w:val="18"/>
          <w:szCs w:val="18"/>
          <w:color w:val="auto"/>
        </w:rPr>
        <w:t>Section 5(a) shall be subject to adjustment pursuant to Section 11. The number of Shares that are subject to Options or other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66"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i w:val="1"/>
          <w:iCs w:val="1"/>
          <w:color w:val="auto"/>
        </w:rPr>
        <w:t>(b)  Additional Shares</w:t>
      </w:r>
      <w:r>
        <w:rPr>
          <w:rFonts w:ascii="Times New Roman" w:cs="Times New Roman" w:eastAsia="Times New Roman" w:hAnsi="Times New Roman"/>
          <w:sz w:val="18"/>
          <w:szCs w:val="18"/>
          <w:color w:val="auto"/>
        </w:rPr>
        <w:t>. If Restricted Shares are forfeited, then such Shares shall again become available for Awards under the Plan. If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or SARs are forfeited or terminate for any reason before being exercised or settled, then the corresponding Shares shall again become available for Awards under the Plan. If Stock Units are settled, then only the number of Shares (if any) actually issued in settlement of such Stock Units shall reduce the number available in Section 5(a) and the balance shall again become available for Awards under the Plan. The full number of Options exercised shall be counted against the number of Shares available for Awards under the Plan, regardless of the number of Shares actually issued upon exercise of such Options. The full number of SARs settled shall be counted against the number of Shares available for Awards under the Plan, regardless of the number of Shares actually issued in settlement of such SARs. For the avoidance of doubt, any Shares withheld to satisfy the exercise price or tax withholding obligation pursuant to any Award shall not be added to the Shares available for Awards under the Plan. Notwithstanding the foregoing provisions of this Section 5(b), Shares that have actually been issued shall not again become available for Awards under the Plan, except for Restricted Shares that are forfeited and do not become vested.</w:t>
      </w:r>
    </w:p>
    <w:p>
      <w:pPr>
        <w:spacing w:after="0" w:line="77"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  Substitution and Assumption of Awards. </w:t>
      </w:r>
      <w:r>
        <w:rPr>
          <w:rFonts w:ascii="Times New Roman" w:cs="Times New Roman" w:eastAsia="Times New Roman" w:hAnsi="Times New Roman"/>
          <w:sz w:val="18"/>
          <w:szCs w:val="18"/>
          <w:color w:val="auto"/>
        </w:rPr>
        <w:t>The Committee may make Awards under the Plan by assumption, substitution or replacement of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Absolute Share Limit set forth in Section 5(a) (nor shall Shares subject to such Awards be added to the Shares available for Awards under the Plan as provided in Section 5(b) above), except that Shares acquired by exercise of substitute ISOs will count against the maximum number of Shares that may be issued pursuant to the exercise of ISOs under the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RESTRICTED SHARES.</w:t>
      </w:r>
    </w:p>
    <w:p>
      <w:pPr>
        <w:spacing w:after="0" w:line="119" w:lineRule="exact"/>
        <w:rPr>
          <w:sz w:val="20"/>
          <w:szCs w:val="20"/>
          <w:color w:val="auto"/>
        </w:rPr>
      </w:pPr>
    </w:p>
    <w:p>
      <w:pPr>
        <w:jc w:val="both"/>
        <w:ind w:right="26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(a)  Restricted Stock Agreement</w:t>
      </w:r>
      <w:r>
        <w:rPr>
          <w:rFonts w:ascii="Times New Roman" w:cs="Times New Roman" w:eastAsia="Times New Roman" w:hAnsi="Times New Roman"/>
          <w:sz w:val="18"/>
          <w:szCs w:val="18"/>
          <w:color w:val="auto"/>
        </w:rPr>
        <w:t>. Each grant of Restricted Shares under the Plan shall be evidenced by a Restricted Stock Agreement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recipient and the Company. Such Restricted Shares shall be subject to all applicable terms of the Plan and may be subject to any other terms that are not inconsistent with the Plan. The provisions of the various Restricted Stock Agreements entered into under the Plan need not be identical.</w:t>
      </w:r>
    </w:p>
    <w:p>
      <w:pPr>
        <w:spacing w:after="0" w:line="65" w:lineRule="exact"/>
        <w:rPr>
          <w:sz w:val="20"/>
          <w:szCs w:val="20"/>
          <w:color w:val="auto"/>
        </w:rPr>
      </w:pPr>
    </w:p>
    <w:p>
      <w:pPr>
        <w:ind w:right="62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(b)  Payment for Awards</w:t>
      </w:r>
      <w:r>
        <w:rPr>
          <w:rFonts w:ascii="Times New Roman" w:cs="Times New Roman" w:eastAsia="Times New Roman" w:hAnsi="Times New Roman"/>
          <w:sz w:val="18"/>
          <w:szCs w:val="18"/>
          <w:color w:val="auto"/>
        </w:rPr>
        <w:t>. Restricted Shares may be sold or awarded under the Plan for such consideration as the Committee may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(without limitation) cash, cash equivalents, full-recourse promissory notes, past services and future services.</w:t>
      </w:r>
    </w:p>
    <w:p>
      <w:pPr>
        <w:spacing w:after="0" w:line="50" w:lineRule="exact"/>
        <w:rPr>
          <w:sz w:val="20"/>
          <w:szCs w:val="20"/>
          <w:color w:val="auto"/>
        </w:rPr>
      </w:pPr>
    </w:p>
    <w:p>
      <w:pPr>
        <w:ind w:right="8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(c)  Vesting</w:t>
      </w:r>
      <w:r>
        <w:rPr>
          <w:rFonts w:ascii="Times New Roman" w:cs="Times New Roman" w:eastAsia="Times New Roman" w:hAnsi="Times New Roman"/>
          <w:sz w:val="18"/>
          <w:szCs w:val="18"/>
          <w:color w:val="auto"/>
        </w:rPr>
        <w:t>. Each Award of Restricted Shares may or may not be subject to vesting. Vesting shall occur, in full or in installments, upon satisfaction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conditions specified in the Restricted Stock Agreement. A Restricted Stock Agreement may provide for accelerated vesting in the event of the Participant’s death, Disability or retirement or other events.</w:t>
      </w:r>
    </w:p>
    <w:p>
      <w:pPr>
        <w:spacing w:after="0" w:line="65"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(d)  Voting and Dividend Rights</w:t>
      </w:r>
      <w:r>
        <w:rPr>
          <w:rFonts w:ascii="Times New Roman" w:cs="Times New Roman" w:eastAsia="Times New Roman" w:hAnsi="Times New Roman"/>
          <w:sz w:val="18"/>
          <w:szCs w:val="18"/>
          <w:color w:val="auto"/>
        </w:rPr>
        <w:t>. The holders of Restricted Shares awarded under the Plan shall have the same voting, dividend and other rights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other stockholders. Holders of Restricted Shares must invest any cash dividends received in additional Restricted Shares. Such additional Restricted Shares shall be subject to the same conditions and restrictions (including without limitation, any forfeiture conditions) as the Award with respect to which the dividends were paid.</w:t>
      </w:r>
    </w:p>
    <w:p>
      <w:pPr>
        <w:spacing w:after="0" w:line="72" w:lineRule="exact"/>
        <w:rPr>
          <w:sz w:val="20"/>
          <w:szCs w:val="20"/>
          <w:color w:val="auto"/>
        </w:rPr>
      </w:pPr>
    </w:p>
    <w:p>
      <w:pPr>
        <w:jc w:val="both"/>
        <w:ind w:right="16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(e)  Restrictions on Transfer of Shares</w:t>
      </w:r>
      <w:r>
        <w:rPr>
          <w:rFonts w:ascii="Times New Roman" w:cs="Times New Roman" w:eastAsia="Times New Roman" w:hAnsi="Times New Roman"/>
          <w:sz w:val="18"/>
          <w:szCs w:val="18"/>
          <w:color w:val="auto"/>
        </w:rPr>
        <w:t>. Restricted Shares shall be subject to such rights of repurchase, rights of first refusal or other restrictions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Committee may determine. Such restrictions shall be set forth in the applicable Restricted Stock Agreement and shall apply in addition to any general restrictions that may apply to all holders of Shares.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TERMS AND CONDITIONS OF OPTIONS.</w:t>
      </w:r>
    </w:p>
    <w:p>
      <w:pPr>
        <w:spacing w:after="0" w:line="119"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(a)  Stock Option Agreement</w:t>
      </w:r>
      <w:r>
        <w:rPr>
          <w:rFonts w:ascii="Times New Roman" w:cs="Times New Roman" w:eastAsia="Times New Roman" w:hAnsi="Times New Roman"/>
          <w:sz w:val="18"/>
          <w:szCs w:val="18"/>
          <w:color w:val="auto"/>
        </w:rPr>
        <w:t>. Each grant of an Option under the Plan shall be evidenced by a Stock Option Agreement between the Optionee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Such Option shall be subject to all applicable terms and conditions of the Plan and may be subject to any other terms and conditions which are not inconsistent with the Plan and which the Committee deems appropriate for inclusion in a Stock Option Agreement. The Stock Option Agreement shall specify whether the Option is an ISO or an NSO. The provisions of the various Stock Option Agreements entered into under the Plan need not be identical. Options may be granted in consideration of a reduction in the Participant’s other compensation.</w:t>
      </w:r>
    </w:p>
    <w:p>
      <w:pPr>
        <w:spacing w:after="0" w:line="75" w:lineRule="exact"/>
        <w:rPr>
          <w:sz w:val="20"/>
          <w:szCs w:val="20"/>
          <w:color w:val="auto"/>
        </w:rPr>
      </w:pPr>
    </w:p>
    <w:p>
      <w:pPr>
        <w:ind w:right="3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(b)  Number of Shares</w:t>
      </w:r>
      <w:r>
        <w:rPr>
          <w:rFonts w:ascii="Times New Roman" w:cs="Times New Roman" w:eastAsia="Times New Roman" w:hAnsi="Times New Roman"/>
          <w:sz w:val="18"/>
          <w:szCs w:val="18"/>
          <w:color w:val="auto"/>
        </w:rPr>
        <w:t>. Each Stock Option Agreement shall specify the number of Shares that are subject to the Option and shall provide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of such number in accordance with Section 11.</w:t>
      </w:r>
    </w:p>
    <w:p>
      <w:pPr>
        <w:spacing w:after="0" w:line="50"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(c)  Exercise Price</w:t>
      </w:r>
      <w:r>
        <w:rPr>
          <w:rFonts w:ascii="Times New Roman" w:cs="Times New Roman" w:eastAsia="Times New Roman" w:hAnsi="Times New Roman"/>
          <w:sz w:val="18"/>
          <w:szCs w:val="18"/>
          <w:color w:val="auto"/>
        </w:rPr>
        <w:t>. Each Stock Option Agreement shall specify the Exercise Price. The Exercise Price of an ISO shall not be less than 100%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Market Value of a Share on the date of grant, except as otherwise provided in Section 4(c), and the Exercise Price of an NSO shall not be less 100% of the Fair Market Value of a Share on the date of grant. Notwithstanding the foregoing, Options may be granted with an Exercise Price of less than 100% of the Fair Market Value of a Share on the date of grant pursuant to a transaction described in, and in a manner consistent with, Section 424(a) of the Code. Subject to the foregoing in this Section 7(c),</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2" w:name="page53"/>
    <w:bookmarkEnd w:id="52"/>
    <w:p>
      <w:pPr>
        <w:ind w:right="300"/>
        <w:spacing w:after="0" w:line="282" w:lineRule="auto"/>
        <w:rPr>
          <w:sz w:val="20"/>
          <w:szCs w:val="20"/>
          <w:color w:val="auto"/>
        </w:rPr>
      </w:pPr>
      <w:r>
        <w:rPr>
          <w:rFonts w:ascii="Times New Roman" w:cs="Times New Roman" w:eastAsia="Times New Roman" w:hAnsi="Times New Roman"/>
          <w:sz w:val="18"/>
          <w:szCs w:val="18"/>
          <w:color w:val="auto"/>
        </w:rPr>
        <w:t>the Exercise Price under any Option shall be determined by the Committee at its sole discretion. The Exercise Price shall be payable in one of the forms described in Section 8.</w:t>
      </w:r>
    </w:p>
    <w:p>
      <w:pPr>
        <w:spacing w:after="0" w:line="52"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(d)  Withholding Taxes</w:t>
      </w:r>
      <w:r>
        <w:rPr>
          <w:rFonts w:ascii="Times New Roman" w:cs="Times New Roman" w:eastAsia="Times New Roman" w:hAnsi="Times New Roman"/>
          <w:sz w:val="18"/>
          <w:szCs w:val="18"/>
          <w:color w:val="auto"/>
        </w:rPr>
        <w:t>. As a condition to the exercise of an Option, the Optionee shall make such arrangements as the Committee may require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satisfaction of any federal, state, local or foreign withholding tax obligations that may arise in connection with such exercise. The Optionee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72"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i w:val="1"/>
          <w:iCs w:val="1"/>
          <w:color w:val="auto"/>
        </w:rPr>
        <w:t>(e)  Exercisability and Term</w:t>
      </w:r>
      <w:r>
        <w:rPr>
          <w:rFonts w:ascii="Times New Roman" w:cs="Times New Roman" w:eastAsia="Times New Roman" w:hAnsi="Times New Roman"/>
          <w:sz w:val="18"/>
          <w:szCs w:val="18"/>
          <w:color w:val="auto"/>
        </w:rPr>
        <w:t>. Each Stock Option Agreement shall specify the date when all or any installment of the Option is to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The Stock Option Agreement shall also specify the term of the Option; provided that the term of an ISO shall in no event exceed 10 years from the date of grant (five years for Employees described in Section 4(c)). A Stock Option Agreement may provide for accelerated exercisability in the event of the Optionee’s death, Disability, or retirement or other events and may provide for expiration prior to the end of its term in the event of the termination of the Optionee’s Service. Options may be awarded in combination with SARs, and such an Award may provide that the Options will not be exercisable unless the related SARs are forfeited. Subject to the foregoing in this Section 7(e), the Committee at its sole discretion shall determine when all or any installment of an Option is to become exercisable and when an Option is to expire.</w:t>
      </w:r>
    </w:p>
    <w:p>
      <w:pPr>
        <w:spacing w:after="0" w:line="75"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(f)  Exercise of Options</w:t>
      </w:r>
      <w:r>
        <w:rPr>
          <w:rFonts w:ascii="Times New Roman" w:cs="Times New Roman" w:eastAsia="Times New Roman" w:hAnsi="Times New Roman"/>
          <w:sz w:val="18"/>
          <w:szCs w:val="18"/>
          <w:color w:val="auto"/>
        </w:rPr>
        <w:t>. Each Stock Option Agreement shall set forth the extent to which the Optionee shall have the right to exercise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termination of the Optionee’s Service with the Company and its Subsidiaries, and the right to exercise the Option of any executors or administrators of the Optionee’s estate or any person who has acquired such Option(s) directly from the Optionee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75" w:lineRule="exact"/>
        <w:rPr>
          <w:sz w:val="20"/>
          <w:szCs w:val="20"/>
          <w:color w:val="auto"/>
        </w:rPr>
      </w:pPr>
    </w:p>
    <w:p>
      <w:pPr>
        <w:ind w:right="40" w:firstLine="416"/>
        <w:spacing w:after="0" w:line="257" w:lineRule="auto"/>
        <w:rPr>
          <w:sz w:val="20"/>
          <w:szCs w:val="20"/>
          <w:color w:val="auto"/>
        </w:rPr>
      </w:pPr>
      <w:r>
        <w:rPr>
          <w:rFonts w:ascii="Times New Roman" w:cs="Times New Roman" w:eastAsia="Times New Roman" w:hAnsi="Times New Roman"/>
          <w:sz w:val="18"/>
          <w:szCs w:val="18"/>
          <w:i w:val="1"/>
          <w:iCs w:val="1"/>
          <w:color w:val="auto"/>
        </w:rPr>
        <w:t>(g)  No Rights as a Stockholder</w:t>
      </w:r>
      <w:r>
        <w:rPr>
          <w:rFonts w:ascii="Times New Roman" w:cs="Times New Roman" w:eastAsia="Times New Roman" w:hAnsi="Times New Roman"/>
          <w:sz w:val="18"/>
          <w:szCs w:val="18"/>
          <w:color w:val="auto"/>
        </w:rPr>
        <w:t>. An Optionee, or a transferee of an Optionee, shall have no rights (including voting, dividend and other rights)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with respect to any Shares covered by his Option until such person has satisfied all of the terms and conditions to receive such Shares, has satisfied any applicable withholding or tax obligations relating to the Award and the Shares have been issued (as evidenced by an appropriate entry on the books of the Company or a duly authorized transfer agent of the Company). The Company will issue (or cause to be issued) such Shares promptly after the Option is exercised. No adjustments shall be made for a dividend or other right for which the record date is prior to the date the Shares are issued, except as provided in Section 11.</w:t>
      </w:r>
    </w:p>
    <w:p>
      <w:pPr>
        <w:spacing w:after="0" w:line="74"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i w:val="1"/>
          <w:iCs w:val="1"/>
          <w:color w:val="auto"/>
        </w:rPr>
        <w:t>(h)  Modification or Extension of Options</w:t>
      </w:r>
      <w:r>
        <w:rPr>
          <w:rFonts w:ascii="Times New Roman" w:cs="Times New Roman" w:eastAsia="Times New Roman" w:hAnsi="Times New Roman"/>
          <w:sz w:val="18"/>
          <w:szCs w:val="18"/>
          <w:color w:val="auto"/>
        </w:rPr>
        <w:t>. Within the limitations of the Plan, the Committee may modify, extend outstanding Options or may accept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cancellation of outstanding Options (to the extent not previously exercised), whether or not granted hereunder, in return for the grant of new Options for the same or a different number of Shares and at the same or a different Exercise Price; provided, however, that other than in connection with an adjustment of Awards pursuant to Section 11, the Committee may not modify outstanding Options to lower the Exercise Price nor may the Committee assume or accept the cancellation of outstanding Options in return for cash or the grant of new Options or SARs with a lower Exercise Price, unless such action has been approved by the Company’s stockholders. The foregoing notwithstanding, no modification of an Option shall, without the consent of the Optionee, materially impair his or her rights or obligations under such Option.</w:t>
      </w:r>
    </w:p>
    <w:p>
      <w:pPr>
        <w:spacing w:after="0" w:line="75" w:lineRule="exact"/>
        <w:rPr>
          <w:sz w:val="20"/>
          <w:szCs w:val="20"/>
          <w:color w:val="auto"/>
        </w:rPr>
      </w:pPr>
    </w:p>
    <w:p>
      <w:pPr>
        <w:jc w:val="both"/>
        <w:ind w:right="8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(i)  Restrictions on Transfer of Shares</w:t>
      </w:r>
      <w:r>
        <w:rPr>
          <w:rFonts w:ascii="Times New Roman" w:cs="Times New Roman" w:eastAsia="Times New Roman" w:hAnsi="Times New Roman"/>
          <w:sz w:val="18"/>
          <w:szCs w:val="18"/>
          <w:color w:val="auto"/>
        </w:rPr>
        <w:t>. Any Shares issued upon exercise of an Option shall be subject to such special forfeiture conditions, rights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rights of first refusal and other transfer restrictions as the Committee may determine. Such restrictions shall be set forth in the applicable Stock Option Agreement and shall apply in addition to any general restrictions that may apply to all holders of Shares.</w:t>
      </w:r>
    </w:p>
    <w:p>
      <w:pPr>
        <w:spacing w:after="0" w:line="65" w:lineRule="exact"/>
        <w:rPr>
          <w:sz w:val="20"/>
          <w:szCs w:val="20"/>
          <w:color w:val="auto"/>
        </w:rPr>
      </w:pPr>
    </w:p>
    <w:p>
      <w:pPr>
        <w:jc w:val="both"/>
        <w:ind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(j)  Buyout Provisions</w:t>
      </w:r>
      <w:r>
        <w:rPr>
          <w:rFonts w:ascii="Times New Roman" w:cs="Times New Roman" w:eastAsia="Times New Roman" w:hAnsi="Times New Roman"/>
          <w:sz w:val="18"/>
          <w:szCs w:val="18"/>
          <w:color w:val="auto"/>
        </w:rPr>
        <w:t>. Except with respect to an Option whose Exercise Price exceeds the Fair Market Value of the Shares subject to the Option,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may at any time (i) offer to buy out for a payment in cash or cash equivalents an Option previously granted or (ii) authorize an Optionee to elect to cash out an Option previously granted, in either case at such time and based upon such terms and conditions as the Committee shall establish.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PAYMENT FOR SHARES.</w:t>
      </w:r>
    </w:p>
    <w:p>
      <w:pPr>
        <w:spacing w:after="0" w:line="119" w:lineRule="exact"/>
        <w:rPr>
          <w:sz w:val="20"/>
          <w:szCs w:val="20"/>
          <w:color w:val="auto"/>
        </w:rPr>
      </w:pPr>
    </w:p>
    <w:p>
      <w:pPr>
        <w:ind w:right="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(a)  General Rule</w:t>
      </w:r>
      <w:r>
        <w:rPr>
          <w:rFonts w:ascii="Times New Roman" w:cs="Times New Roman" w:eastAsia="Times New Roman" w:hAnsi="Times New Roman"/>
          <w:sz w:val="18"/>
          <w:szCs w:val="18"/>
          <w:color w:val="auto"/>
        </w:rPr>
        <w:t>. The entire Exercise Price or Purchase Price of Shares issued under the Plan shall be payable in lawful money of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America at the time when such Shares are purchased, except as provided in Section 8(b) through Section 8(h) below.</w:t>
      </w:r>
    </w:p>
    <w:p>
      <w:pPr>
        <w:spacing w:after="0" w:line="50" w:lineRule="exact"/>
        <w:rPr>
          <w:sz w:val="20"/>
          <w:szCs w:val="20"/>
          <w:color w:val="auto"/>
        </w:rPr>
      </w:pPr>
    </w:p>
    <w:p>
      <w:pPr>
        <w:ind w:right="16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(b)  Surrender of Stock</w:t>
      </w:r>
      <w:r>
        <w:rPr>
          <w:rFonts w:ascii="Times New Roman" w:cs="Times New Roman" w:eastAsia="Times New Roman" w:hAnsi="Times New Roman"/>
          <w:sz w:val="18"/>
          <w:szCs w:val="18"/>
          <w:color w:val="auto"/>
        </w:rPr>
        <w:t>. To the extent that a Stock Option Agreement so provides, payment may be made all or in part by surrendering, or attesting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ownership of, Shares which have already been owned by the Optionee or his representative. Such Shares shall be valued at their Fair Market Value on the date when the new Shares are purchased under the Plan. The Optionee shall not surrender, or attest to the ownership of, Shares in payment of the Exercise Price if such action would cause the Company to recognize compensation expense (or additional compensation expense) with respect to the Option for financial reporting purposes.</w:t>
      </w:r>
    </w:p>
    <w:p>
      <w:pPr>
        <w:spacing w:after="0" w:line="75" w:lineRule="exact"/>
        <w:rPr>
          <w:sz w:val="20"/>
          <w:szCs w:val="20"/>
          <w:color w:val="auto"/>
        </w:rPr>
      </w:pPr>
    </w:p>
    <w:p>
      <w:pPr>
        <w:ind w:right="4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(c)  Services Rendered</w:t>
      </w:r>
      <w:r>
        <w:rPr>
          <w:rFonts w:ascii="Times New Roman" w:cs="Times New Roman" w:eastAsia="Times New Roman" w:hAnsi="Times New Roman"/>
          <w:sz w:val="18"/>
          <w:szCs w:val="18"/>
          <w:color w:val="auto"/>
        </w:rPr>
        <w:t>. At the discretion of the Committee, Shares may be awarded under the Plan in consideration of services rendered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a Subsidiary prior to the award. If Shares are awarded without the payment of a Purchase Price in cash,</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ind w:right="660"/>
        <w:spacing w:after="0" w:line="282" w:lineRule="auto"/>
        <w:rPr>
          <w:sz w:val="20"/>
          <w:szCs w:val="20"/>
          <w:color w:val="auto"/>
        </w:rPr>
      </w:pPr>
      <w:r>
        <w:rPr>
          <w:rFonts w:ascii="Times New Roman" w:cs="Times New Roman" w:eastAsia="Times New Roman" w:hAnsi="Times New Roman"/>
          <w:sz w:val="18"/>
          <w:szCs w:val="18"/>
          <w:color w:val="auto"/>
        </w:rPr>
        <w:t>the Committee shall make a determination (at the time of the Award) of the value of the services rendered by the Offeree and the sufficiency of the consideration to meet the requirements of Section 6(b).</w:t>
      </w:r>
    </w:p>
    <w:p>
      <w:pPr>
        <w:spacing w:after="0" w:line="52" w:lineRule="exact"/>
        <w:rPr>
          <w:sz w:val="20"/>
          <w:szCs w:val="20"/>
          <w:color w:val="auto"/>
        </w:rPr>
      </w:pPr>
    </w:p>
    <w:p>
      <w:pPr>
        <w:ind w:right="14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(d)  Cashless Exercise</w:t>
      </w:r>
      <w:r>
        <w:rPr>
          <w:rFonts w:ascii="Times New Roman" w:cs="Times New Roman" w:eastAsia="Times New Roman" w:hAnsi="Times New Roman"/>
          <w:sz w:val="18"/>
          <w:szCs w:val="18"/>
          <w:color w:val="auto"/>
        </w:rPr>
        <w:t>. To the extent that a Stock Option Agreement so provides, payment may be made all or in part by delivery (on a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prescribed by the Committee) of an irrevocable direction to a securities broker to sell Shares and to deliver all or part of the sale proceeds to the Company in payment of the aggregate Exercise Price.</w:t>
      </w:r>
    </w:p>
    <w:p>
      <w:pPr>
        <w:spacing w:after="0" w:line="65" w:lineRule="exact"/>
        <w:rPr>
          <w:sz w:val="20"/>
          <w:szCs w:val="20"/>
          <w:color w:val="auto"/>
        </w:rPr>
      </w:pPr>
    </w:p>
    <w:p>
      <w:pPr>
        <w:ind w:right="6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(e)  Exercise/Pledge</w:t>
      </w:r>
      <w:r>
        <w:rPr>
          <w:rFonts w:ascii="Times New Roman" w:cs="Times New Roman" w:eastAsia="Times New Roman" w:hAnsi="Times New Roman"/>
          <w:sz w:val="18"/>
          <w:szCs w:val="18"/>
          <w:color w:val="auto"/>
        </w:rPr>
        <w:t>. To the extent that a Stock Option Agreement so provides, payment may be made all or in part by delivery (on a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prescribed by the Committee) of an irrevocable direction to a securities broker or lender to pledge Shares, as security for a loan, and to deliver all or part of the loan proceeds to the Company in payment of the aggregate Exercise Price.</w:t>
      </w:r>
    </w:p>
    <w:p>
      <w:pPr>
        <w:spacing w:after="0" w:line="65"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(f)  Net Exercise</w:t>
      </w:r>
      <w:r>
        <w:rPr>
          <w:rFonts w:ascii="Times New Roman" w:cs="Times New Roman" w:eastAsia="Times New Roman" w:hAnsi="Times New Roman"/>
          <w:sz w:val="18"/>
          <w:szCs w:val="18"/>
          <w:color w:val="auto"/>
        </w:rPr>
        <w:t>. To the extent that a Stock Option Agreement so provides, payment may be made by a “net exercise” arrangement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Optionee in cash or other form of payment permitted under the Stock Option Agreement.</w:t>
      </w:r>
    </w:p>
    <w:p>
      <w:pPr>
        <w:spacing w:after="0" w:line="75" w:lineRule="exact"/>
        <w:rPr>
          <w:sz w:val="20"/>
          <w:szCs w:val="20"/>
          <w:color w:val="auto"/>
        </w:rPr>
      </w:pPr>
    </w:p>
    <w:p>
      <w:pPr>
        <w:ind w:right="10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(g)  Promissory Note</w:t>
      </w:r>
      <w:r>
        <w:rPr>
          <w:rFonts w:ascii="Times New Roman" w:cs="Times New Roman" w:eastAsia="Times New Roman" w:hAnsi="Times New Roman"/>
          <w:sz w:val="18"/>
          <w:szCs w:val="18"/>
          <w:color w:val="auto"/>
        </w:rPr>
        <w:t>. To the extent that a Stock Option Agreement or Restricted Stock Agreement so provides, payment may be made all or in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delivering (on a form prescribed by the Company) a full-recourse promissory note.</w:t>
      </w:r>
    </w:p>
    <w:p>
      <w:pPr>
        <w:spacing w:after="0" w:line="50" w:lineRule="exact"/>
        <w:rPr>
          <w:sz w:val="20"/>
          <w:szCs w:val="20"/>
          <w:color w:val="auto"/>
        </w:rPr>
      </w:pPr>
    </w:p>
    <w:p>
      <w:pPr>
        <w:ind w:right="2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(h)  Other Forms of Payment</w:t>
      </w:r>
      <w:r>
        <w:rPr>
          <w:rFonts w:ascii="Times New Roman" w:cs="Times New Roman" w:eastAsia="Times New Roman" w:hAnsi="Times New Roman"/>
          <w:sz w:val="18"/>
          <w:szCs w:val="18"/>
          <w:color w:val="auto"/>
        </w:rPr>
        <w:t>. To the extent that a Stock Option Agreement or Restricted Stock Agreement so provides, payment may be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form that is consistent with applicable laws, regulations and rules.</w:t>
      </w:r>
    </w:p>
    <w:p>
      <w:pPr>
        <w:spacing w:after="0" w:line="50" w:lineRule="exact"/>
        <w:rPr>
          <w:sz w:val="20"/>
          <w:szCs w:val="20"/>
          <w:color w:val="auto"/>
        </w:rPr>
      </w:pPr>
    </w:p>
    <w:p>
      <w:pPr>
        <w:ind w:right="4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(i)  Limitations under Applicable Law</w:t>
      </w:r>
      <w:r>
        <w:rPr>
          <w:rFonts w:ascii="Times New Roman" w:cs="Times New Roman" w:eastAsia="Times New Roman" w:hAnsi="Times New Roman"/>
          <w:sz w:val="18"/>
          <w:szCs w:val="18"/>
          <w:color w:val="auto"/>
        </w:rPr>
        <w:t>. Notwithstanding anything herein or in a Stock Option Agreement or Restricted Stock Agreement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contrary, payment may not be made in any form that is unlawful, as determined by the Committee in its sole discretion.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STOCK APPRECIATION RIGHTS.</w:t>
      </w:r>
    </w:p>
    <w:p>
      <w:pPr>
        <w:spacing w:after="0" w:line="119"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(a)  SAR Agreement</w:t>
      </w:r>
      <w:r>
        <w:rPr>
          <w:rFonts w:ascii="Times New Roman" w:cs="Times New Roman" w:eastAsia="Times New Roman" w:hAnsi="Times New Roman"/>
          <w:sz w:val="18"/>
          <w:szCs w:val="18"/>
          <w:color w:val="auto"/>
        </w:rPr>
        <w:t>. Each grant of a SAR under the Plan shall be evidenced by a SAR Agreement between the Optionee and the Company.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 shall be subject to all applicable terms of the Plan and may be subject to any other terms that are not inconsistent with the Plan. The provisions of the various SAR Agreements entered into under the Plan need not be identical. SARs may be granted in consideration of a reduction in the Participant’s other compensation.</w:t>
      </w:r>
    </w:p>
    <w:p>
      <w:pPr>
        <w:spacing w:after="0" w:line="72" w:lineRule="exact"/>
        <w:rPr>
          <w:sz w:val="20"/>
          <w:szCs w:val="20"/>
          <w:color w:val="auto"/>
        </w:rPr>
      </w:pPr>
    </w:p>
    <w:p>
      <w:pPr>
        <w:ind w:right="1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(b)  Number of Shares</w:t>
      </w:r>
      <w:r>
        <w:rPr>
          <w:rFonts w:ascii="Times New Roman" w:cs="Times New Roman" w:eastAsia="Times New Roman" w:hAnsi="Times New Roman"/>
          <w:sz w:val="18"/>
          <w:szCs w:val="18"/>
          <w:color w:val="auto"/>
        </w:rPr>
        <w:t>. Each SAR Agreement shall specify the number of Shares to which the SAR pertains and shall provide for the adjustment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number in accordance with Section 11.</w:t>
      </w:r>
    </w:p>
    <w:p>
      <w:pPr>
        <w:spacing w:after="0" w:line="50"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(c)  Exercise Price</w:t>
      </w:r>
      <w:r>
        <w:rPr>
          <w:rFonts w:ascii="Times New Roman" w:cs="Times New Roman" w:eastAsia="Times New Roman" w:hAnsi="Times New Roman"/>
          <w:sz w:val="18"/>
          <w:szCs w:val="18"/>
          <w:color w:val="auto"/>
        </w:rPr>
        <w:t>. Each SAR Agreement shall specify the Exercise Price. The Exercise Price of a SAR shall not be less than 100%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a Share on the date of grant. Notwithstanding the foregoing, SARs may be granted with an Exercise Price of less than 100% of the Fair Market Value of a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72" w:lineRule="exact"/>
        <w:rPr>
          <w:sz w:val="20"/>
          <w:szCs w:val="20"/>
          <w:color w:val="auto"/>
        </w:rPr>
      </w:pPr>
    </w:p>
    <w:p>
      <w:pPr>
        <w:ind w:firstLine="416"/>
        <w:spacing w:after="0" w:line="257" w:lineRule="auto"/>
        <w:rPr>
          <w:sz w:val="20"/>
          <w:szCs w:val="20"/>
          <w:color w:val="auto"/>
        </w:rPr>
      </w:pPr>
      <w:r>
        <w:rPr>
          <w:rFonts w:ascii="Times New Roman" w:cs="Times New Roman" w:eastAsia="Times New Roman" w:hAnsi="Times New Roman"/>
          <w:sz w:val="18"/>
          <w:szCs w:val="18"/>
          <w:i w:val="1"/>
          <w:iCs w:val="1"/>
          <w:color w:val="auto"/>
        </w:rPr>
        <w:t>(d)  Exercisability and Term</w:t>
      </w:r>
      <w:r>
        <w:rPr>
          <w:rFonts w:ascii="Times New Roman" w:cs="Times New Roman" w:eastAsia="Times New Roman" w:hAnsi="Times New Roman"/>
          <w:sz w:val="18"/>
          <w:szCs w:val="18"/>
          <w:color w:val="auto"/>
        </w:rPr>
        <w:t>. Each SAR Agreement shall specify the date when all or any installment of the SAR is to become exercisable. The 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shall also specify the term of the SAR. A SAR Agreement may provide for accelerated exercisability in the event of the Participant’s death, Disability or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74" w:lineRule="exact"/>
        <w:rPr>
          <w:sz w:val="20"/>
          <w:szCs w:val="20"/>
          <w:color w:val="auto"/>
        </w:rPr>
      </w:pPr>
    </w:p>
    <w:p>
      <w:pPr>
        <w:ind w:right="60" w:firstLine="416"/>
        <w:spacing w:after="0" w:line="277" w:lineRule="auto"/>
        <w:rPr>
          <w:sz w:val="20"/>
          <w:szCs w:val="20"/>
          <w:color w:val="auto"/>
        </w:rPr>
      </w:pPr>
      <w:r>
        <w:rPr>
          <w:rFonts w:ascii="Times New Roman" w:cs="Times New Roman" w:eastAsia="Times New Roman" w:hAnsi="Times New Roman"/>
          <w:sz w:val="17"/>
          <w:szCs w:val="17"/>
          <w:i w:val="1"/>
          <w:iCs w:val="1"/>
          <w:color w:val="auto"/>
        </w:rPr>
        <w:t>(e)  No Rights as a Stockholder</w:t>
      </w:r>
      <w:r>
        <w:rPr>
          <w:rFonts w:ascii="Times New Roman" w:cs="Times New Roman" w:eastAsia="Times New Roman" w:hAnsi="Times New Roman"/>
          <w:sz w:val="17"/>
          <w:szCs w:val="17"/>
          <w:color w:val="auto"/>
        </w:rPr>
        <w:t>. A Participant, or a transferee of a Participant, shall have no rights (including voting, dividend and other rights)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 with respect to any Shares pertaining to his SAR until the date such person has satisfied all of the terms and conditions to receive such Shares, has satisfied any applicable withholding or tax obligations relating to the Award and any Shares have been issued pursuant to the SAR (to the extent the SAR is settled in Shares and as evidenced by an appropriate entry on the books of the Company or a duly authorized transfer agent of the Company). No adjustments shall be made for a dividend or other right for which the record date is prior to the date the Shares are issued, except as provided in Section 11.</w:t>
      </w:r>
    </w:p>
    <w:p>
      <w:pPr>
        <w:spacing w:after="0" w:line="60"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(f)  Exercise of SARs</w:t>
      </w:r>
      <w:r>
        <w:rPr>
          <w:rFonts w:ascii="Times New Roman" w:cs="Times New Roman" w:eastAsia="Times New Roman" w:hAnsi="Times New Roman"/>
          <w:sz w:val="18"/>
          <w:szCs w:val="18"/>
          <w:color w:val="auto"/>
        </w:rPr>
        <w:t>. Upon exercise of a SAR, the Optionee (or any person having the right to exercise the SAR after his or her death) shall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Company (a) Shares, (b) cash or (c)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72" w:lineRule="exact"/>
        <w:rPr>
          <w:sz w:val="20"/>
          <w:szCs w:val="20"/>
          <w:color w:val="auto"/>
        </w:rPr>
      </w:pPr>
    </w:p>
    <w:p>
      <w:pPr>
        <w:jc w:val="both"/>
        <w:ind w:right="14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(g)  Modification, Extension or Assumption of SARs</w:t>
      </w:r>
      <w:r>
        <w:rPr>
          <w:rFonts w:ascii="Times New Roman" w:cs="Times New Roman" w:eastAsia="Times New Roman" w:hAnsi="Times New Roman"/>
          <w:sz w:val="18"/>
          <w:szCs w:val="18"/>
          <w:color w:val="auto"/>
        </w:rPr>
        <w:t>. Within the limitations of the Plan, the Committee may modify, extend or assume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SARs or may accept the cancellation of outstanding SARs (whether granted by the Company or by another issuer) in return for the grant of new SARs for the same or a different number of Shares and at the same or a different Exercise Price;</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ind w:right="40"/>
        <w:spacing w:after="0" w:line="261" w:lineRule="auto"/>
        <w:rPr>
          <w:sz w:val="20"/>
          <w:szCs w:val="20"/>
          <w:color w:val="auto"/>
        </w:rPr>
      </w:pPr>
      <w:r>
        <w:rPr>
          <w:rFonts w:ascii="Times New Roman" w:cs="Times New Roman" w:eastAsia="Times New Roman" w:hAnsi="Times New Roman"/>
          <w:sz w:val="18"/>
          <w:szCs w:val="18"/>
          <w:color w:val="auto"/>
        </w:rPr>
        <w:t>provided, however, that other than in connection with an adjustment of Awards pursuant to Section 11, the Committee may not modify outstanding SARs to lower the Exercise Price nor may the Committee assume or accept the cancellation of outstanding SARs in return for cash or the grant of new Options or SARs with a lower Exercise Price, unless such action has been approved by the Company’s stockholders. The foregoing notwithstanding, no modification of a SAR shall, without the consent of the holder, materially impair his or her rights or obligations under such SAR.</w:t>
      </w:r>
    </w:p>
    <w:p>
      <w:pPr>
        <w:spacing w:after="0" w:line="70" w:lineRule="exact"/>
        <w:rPr>
          <w:sz w:val="20"/>
          <w:szCs w:val="20"/>
          <w:color w:val="auto"/>
        </w:rPr>
      </w:pPr>
    </w:p>
    <w:p>
      <w:pPr>
        <w:ind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(h)  Buyout Provisions</w:t>
      </w:r>
      <w:r>
        <w:rPr>
          <w:rFonts w:ascii="Times New Roman" w:cs="Times New Roman" w:eastAsia="Times New Roman" w:hAnsi="Times New Roman"/>
          <w:sz w:val="18"/>
          <w:szCs w:val="18"/>
          <w:color w:val="auto"/>
        </w:rPr>
        <w:t>. Except with respect to a SAR whose Exercise Price exceeds the Fair Market Value of the Shares subject to the SAR,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may at any time (a) offer to buy out for a payment in cash or cash equivalents a SAR previously granted, or (b) authorize an Optionee to elect to cash out a SAR previously granted, in either case at such time and based upon such terms and conditions as the Committee shall establish.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STOCK UNITS.</w:t>
      </w:r>
    </w:p>
    <w:p>
      <w:pPr>
        <w:spacing w:after="0" w:line="119"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(a)  Stock Unit Agreement</w:t>
      </w:r>
      <w:r>
        <w:rPr>
          <w:rFonts w:ascii="Times New Roman" w:cs="Times New Roman" w:eastAsia="Times New Roman" w:hAnsi="Times New Roman"/>
          <w:sz w:val="18"/>
          <w:szCs w:val="18"/>
          <w:color w:val="auto"/>
        </w:rPr>
        <w:t>. Each grant of Stock Units under the Plan shall be evidenced by a Stock Unit Agreement between the recipient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Stock Units shall be subject to all applicable terms of the Plan and may be subject to any other terms that are not inconsistent with the Plan. The provisions of the various Stock Unit Agreements entered into under the Plan need not be identical. Stock Units may be granted in consideration of a reduction in the Participant’s other compensation.</w:t>
      </w:r>
    </w:p>
    <w:p>
      <w:pPr>
        <w:spacing w:after="0" w:line="72" w:lineRule="exact"/>
        <w:rPr>
          <w:sz w:val="20"/>
          <w:szCs w:val="20"/>
          <w:color w:val="auto"/>
        </w:rPr>
      </w:pPr>
    </w:p>
    <w:p>
      <w:pPr>
        <w:ind w:right="2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(b)  Payment for Awards</w:t>
      </w:r>
      <w:r>
        <w:rPr>
          <w:rFonts w:ascii="Times New Roman" w:cs="Times New Roman" w:eastAsia="Times New Roman" w:hAnsi="Times New Roman"/>
          <w:sz w:val="18"/>
          <w:szCs w:val="18"/>
          <w:color w:val="auto"/>
        </w:rPr>
        <w:t>. To the extent that an Award is granted in the form of Stock Units, no cash consideration shall be required of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recipients.</w:t>
      </w:r>
    </w:p>
    <w:p>
      <w:pPr>
        <w:spacing w:after="0" w:line="50" w:lineRule="exact"/>
        <w:rPr>
          <w:sz w:val="20"/>
          <w:szCs w:val="20"/>
          <w:color w:val="auto"/>
        </w:rPr>
      </w:pPr>
    </w:p>
    <w:p>
      <w:pPr>
        <w:jc w:val="both"/>
        <w:ind w:right="50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(c)  Vesting Conditions</w:t>
      </w:r>
      <w:r>
        <w:rPr>
          <w:rFonts w:ascii="Times New Roman" w:cs="Times New Roman" w:eastAsia="Times New Roman" w:hAnsi="Times New Roman"/>
          <w:sz w:val="18"/>
          <w:szCs w:val="18"/>
          <w:color w:val="auto"/>
        </w:rPr>
        <w:t>. Each Award of Stock Units may or may not be subject to vesting. Vesting shall occur, in full or in installments,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the conditions specified in the Stock Unit Agreement. A Stock Unit Agreement may provide for accelerated vesting in the event of the Participant’s death, Disability or retirement or other events.</w:t>
      </w:r>
    </w:p>
    <w:p>
      <w:pPr>
        <w:spacing w:after="0" w:line="65" w:lineRule="exact"/>
        <w:rPr>
          <w:sz w:val="20"/>
          <w:szCs w:val="20"/>
          <w:color w:val="auto"/>
        </w:rPr>
      </w:pPr>
    </w:p>
    <w:p>
      <w:pPr>
        <w:ind w:right="20" w:firstLine="416"/>
        <w:spacing w:after="0" w:line="257" w:lineRule="auto"/>
        <w:rPr>
          <w:sz w:val="20"/>
          <w:szCs w:val="20"/>
          <w:color w:val="auto"/>
        </w:rPr>
      </w:pPr>
      <w:r>
        <w:rPr>
          <w:rFonts w:ascii="Times New Roman" w:cs="Times New Roman" w:eastAsia="Times New Roman" w:hAnsi="Times New Roman"/>
          <w:sz w:val="18"/>
          <w:szCs w:val="18"/>
          <w:i w:val="1"/>
          <w:iCs w:val="1"/>
          <w:color w:val="auto"/>
        </w:rPr>
        <w:t>(d)  Voting and Dividend Rights</w:t>
      </w:r>
      <w:r>
        <w:rPr>
          <w:rFonts w:ascii="Times New Roman" w:cs="Times New Roman" w:eastAsia="Times New Roman" w:hAnsi="Times New Roman"/>
          <w:sz w:val="18"/>
          <w:szCs w:val="18"/>
          <w:color w:val="auto"/>
        </w:rPr>
        <w:t>. The holders of Stock Units shall have no voting rights. Prior to settlement or forfeiture, any Stock Unit awarded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Dividend equivalents shall not be distributed prior to settlement of the Stock Unit to which the dividend equivalents pertain. Prior to distribution, any dividend equivalents which are not paid shall be subject to the same conditions and restrictions (including without limitation, any forfeiture conditions) as the Stock Units to which they attach.</w:t>
      </w:r>
    </w:p>
    <w:p>
      <w:pPr>
        <w:spacing w:after="0" w:line="74" w:lineRule="exact"/>
        <w:rPr>
          <w:sz w:val="20"/>
          <w:szCs w:val="20"/>
          <w:color w:val="auto"/>
        </w:rPr>
      </w:pPr>
    </w:p>
    <w:p>
      <w:pPr>
        <w:ind w:right="20" w:firstLine="416"/>
        <w:spacing w:after="0" w:line="255" w:lineRule="auto"/>
        <w:rPr>
          <w:sz w:val="20"/>
          <w:szCs w:val="20"/>
          <w:color w:val="auto"/>
        </w:rPr>
      </w:pPr>
      <w:r>
        <w:rPr>
          <w:rFonts w:ascii="Times New Roman" w:cs="Times New Roman" w:eastAsia="Times New Roman" w:hAnsi="Times New Roman"/>
          <w:sz w:val="18"/>
          <w:szCs w:val="18"/>
          <w:i w:val="1"/>
          <w:iCs w:val="1"/>
          <w:color w:val="auto"/>
        </w:rPr>
        <w:t>(e)  Form and Time of Settlement of Stock Units</w:t>
      </w:r>
      <w:r>
        <w:rPr>
          <w:rFonts w:ascii="Times New Roman" w:cs="Times New Roman" w:eastAsia="Times New Roman" w:hAnsi="Times New Roman"/>
          <w:sz w:val="18"/>
          <w:szCs w:val="18"/>
          <w:color w:val="auto"/>
        </w:rPr>
        <w:t>. Settlement of vested Stock Units may be made in the form of (a) cash, (b) Shares or (c)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of both, as determined by the Committee. The actual number of Stock Units eligible for settlement may be larger or smaller than the number included in the original Award, based on predetermined performance factors. Methods of converting Stock Units into cash may include (without limitation) a method based on the average Fair Market Value of Shares over a series of trading days. Vested Stock Units may be settled in a lump sum or in installments. The distribution may occur or commence when all vesting conditions applicable to the Stock Units have been satisfied or have lapsed, or it may be deferred to any later date, subject to compliance with Section 409A of the Code. The amount of a deferred distribution may be increased by an interest factor or by dividend equivalents. Until an Award of Stock Units is settled, the number of such Stock Units shall be subject to adjustment pursuant to Section 11.</w:t>
      </w:r>
    </w:p>
    <w:p>
      <w:pPr>
        <w:spacing w:after="0" w:line="77"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(f)  Death of Recipient</w:t>
      </w:r>
      <w:r>
        <w:rPr>
          <w:rFonts w:ascii="Times New Roman" w:cs="Times New Roman" w:eastAsia="Times New Roman" w:hAnsi="Times New Roman"/>
          <w:sz w:val="18"/>
          <w:szCs w:val="18"/>
          <w:color w:val="auto"/>
        </w:rPr>
        <w:t>. Any Stock Units Award that becomes payable after the recipient’s death shall be distributed to the recipient’s beneficiary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beneficiaries. Each recipient of a Stock Units Award under the Plan shall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Stock Units Award that becomes payable after the recipient’s death shall be distributed to the recipient’s estate.</w:t>
      </w:r>
    </w:p>
    <w:p>
      <w:pPr>
        <w:spacing w:after="0" w:line="75" w:lineRule="exact"/>
        <w:rPr>
          <w:sz w:val="20"/>
          <w:szCs w:val="20"/>
          <w:color w:val="auto"/>
        </w:rPr>
      </w:pPr>
    </w:p>
    <w:p>
      <w:pPr>
        <w:ind w:right="1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(g)  Creditors’ Rights</w:t>
      </w:r>
      <w:r>
        <w:rPr>
          <w:rFonts w:ascii="Times New Roman" w:cs="Times New Roman" w:eastAsia="Times New Roman" w:hAnsi="Times New Roman"/>
          <w:sz w:val="18"/>
          <w:szCs w:val="18"/>
          <w:color w:val="auto"/>
        </w:rPr>
        <w:t>. A holder of Stock Units shall have no rights other than those of a general creditor of the Company. Stock Units represent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unfunded and unsecured obligation of the Company, subject to the terms and conditions of the applicable Stock Unit Agreement.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ADJUSTMENT OF SHARES.</w:t>
      </w:r>
    </w:p>
    <w:p>
      <w:pPr>
        <w:spacing w:after="0" w:line="119" w:lineRule="exact"/>
        <w:rPr>
          <w:sz w:val="20"/>
          <w:szCs w:val="20"/>
          <w:color w:val="auto"/>
        </w:rPr>
      </w:pPr>
    </w:p>
    <w:p>
      <w:pPr>
        <w:ind w:right="140" w:firstLine="416"/>
        <w:spacing w:after="0" w:line="261" w:lineRule="auto"/>
        <w:rPr>
          <w:sz w:val="20"/>
          <w:szCs w:val="20"/>
          <w:color w:val="auto"/>
        </w:rPr>
      </w:pPr>
      <w:r>
        <w:rPr>
          <w:rFonts w:ascii="Times New Roman" w:cs="Times New Roman" w:eastAsia="Times New Roman" w:hAnsi="Times New Roman"/>
          <w:sz w:val="18"/>
          <w:szCs w:val="18"/>
          <w:i w:val="1"/>
          <w:iCs w:val="1"/>
          <w:color w:val="auto"/>
        </w:rPr>
        <w:t>(a)  Adjustments</w:t>
      </w:r>
      <w:r>
        <w:rPr>
          <w:rFonts w:ascii="Times New Roman" w:cs="Times New Roman" w:eastAsia="Times New Roman" w:hAnsi="Times New Roman"/>
          <w:sz w:val="18"/>
          <w:szCs w:val="18"/>
          <w:color w:val="auto"/>
        </w:rPr>
        <w:t>. In the event of a subdivision of the outstanding Stock, a declaration of a dividend payable in Shares, a declaration of a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The class(es) and maximum number of securities available for future Awards under Section 5;</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   The class(es) and number of securities that may be issued pursuant to the exercise of ISOs pursuant to Section 5;</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(iii)   The class(es) and number of securities covered by each outstanding Option and SAR;</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ind w:left="420"/>
        <w:spacing w:after="0"/>
        <w:rPr>
          <w:sz w:val="20"/>
          <w:szCs w:val="20"/>
          <w:color w:val="auto"/>
        </w:rPr>
      </w:pPr>
      <w:r>
        <w:rPr>
          <w:rFonts w:ascii="Times New Roman" w:cs="Times New Roman" w:eastAsia="Times New Roman" w:hAnsi="Times New Roman"/>
          <w:sz w:val="18"/>
          <w:szCs w:val="18"/>
          <w:color w:val="auto"/>
        </w:rPr>
        <w:t>(iv)   The Exercise Price under each outstanding Option and SAR; and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   The classes and number of securities subject to any outstanding Award.</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Committee will make such adjustments, and its determination will be final, binding and conclusive. Except as provided in this Section 11, a Participant shall have no rights by reason of any issue by the Company of stock of any class or securities convertible into stock of any class, any subdivision or consolidation of shares of stock of any class, the payment of any stock dividend or any other increase or decrease in the number of shares of stock of any class.</w:t>
      </w:r>
    </w:p>
    <w:p>
      <w:pPr>
        <w:spacing w:after="0" w:line="70" w:lineRule="exact"/>
        <w:rPr>
          <w:sz w:val="20"/>
          <w:szCs w:val="20"/>
          <w:color w:val="auto"/>
        </w:rPr>
      </w:pPr>
    </w:p>
    <w:p>
      <w:pPr>
        <w:ind w:right="12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(b)  Dissolution or Liquidation</w:t>
      </w:r>
      <w:r>
        <w:rPr>
          <w:rFonts w:ascii="Times New Roman" w:cs="Times New Roman" w:eastAsia="Times New Roman" w:hAnsi="Times New Roman"/>
          <w:sz w:val="18"/>
          <w:szCs w:val="18"/>
          <w:color w:val="auto"/>
        </w:rPr>
        <w:t>. To the extent not previously exercised or settled, Options, SARs and Stock Units shall terminate immediately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dissolution or liquidation of the Company.</w:t>
      </w:r>
    </w:p>
    <w:p>
      <w:pPr>
        <w:spacing w:after="0" w:line="50" w:lineRule="exact"/>
        <w:rPr>
          <w:sz w:val="20"/>
          <w:szCs w:val="20"/>
          <w:color w:val="auto"/>
        </w:rPr>
      </w:pPr>
    </w:p>
    <w:p>
      <w:pPr>
        <w:jc w:val="both"/>
        <w:ind w:right="58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(c)  Reorganizations</w:t>
      </w:r>
      <w:r>
        <w:rPr>
          <w:rFonts w:ascii="Times New Roman" w:cs="Times New Roman" w:eastAsia="Times New Roman" w:hAnsi="Times New Roman"/>
          <w:sz w:val="18"/>
          <w:szCs w:val="18"/>
          <w:color w:val="auto"/>
        </w:rPr>
        <w:t>. In the event that the Company is a party to a merger or other reorganization, outstanding Awards shall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of merger or reorganization. Subject to compliance with Section 409A of the Code, such agreement shall provide for:</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   The continuation of the outstanding Awards by the Company, if the Company is a surviving corporation;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   The assumption of the outstanding Awards by the surviving corporation or its parent or subsidiary;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(iii)   The substitution by the surviving corporation or its parent or subsidiary of its own awards for the outstanding Awards;</w:t>
      </w:r>
    </w:p>
    <w:p>
      <w:pPr>
        <w:spacing w:after="0" w:line="117" w:lineRule="exact"/>
        <w:rPr>
          <w:sz w:val="20"/>
          <w:szCs w:val="20"/>
          <w:color w:val="auto"/>
        </w:rPr>
      </w:pPr>
    </w:p>
    <w:p>
      <w:pPr>
        <w:jc w:val="both"/>
        <w:ind w:right="580" w:firstLine="416"/>
        <w:spacing w:after="0" w:line="266" w:lineRule="auto"/>
        <w:rPr>
          <w:sz w:val="20"/>
          <w:szCs w:val="20"/>
          <w:color w:val="auto"/>
        </w:rPr>
      </w:pPr>
      <w:r>
        <w:rPr>
          <w:rFonts w:ascii="Times New Roman" w:cs="Times New Roman" w:eastAsia="Times New Roman" w:hAnsi="Times New Roman"/>
          <w:sz w:val="18"/>
          <w:szCs w:val="18"/>
          <w:color w:val="auto"/>
        </w:rPr>
        <w:t>(iv)  Full exercisability or vesting and accelerated expiration of the outstanding Awards, provided, however, that the Committee may require Participants to complete and deliver to the Company a notice of exercise before the effective date of the merger or reorganization, which exercise is contingent upon the effectiveness of such merger or reorganization;</w:t>
      </w:r>
    </w:p>
    <w:p>
      <w:pPr>
        <w:spacing w:after="0" w:line="68" w:lineRule="exact"/>
        <w:rPr>
          <w:sz w:val="20"/>
          <w:szCs w:val="20"/>
          <w:color w:val="auto"/>
        </w:rPr>
      </w:pPr>
    </w:p>
    <w:p>
      <w:pPr>
        <w:ind w:right="160" w:firstLine="416"/>
        <w:spacing w:after="0" w:line="282" w:lineRule="auto"/>
        <w:rPr>
          <w:sz w:val="20"/>
          <w:szCs w:val="20"/>
          <w:color w:val="auto"/>
        </w:rPr>
      </w:pPr>
      <w:r>
        <w:rPr>
          <w:rFonts w:ascii="Times New Roman" w:cs="Times New Roman" w:eastAsia="Times New Roman" w:hAnsi="Times New Roman"/>
          <w:sz w:val="18"/>
          <w:szCs w:val="18"/>
          <w:color w:val="auto"/>
        </w:rPr>
        <w:t>(v)  Cancellation of the Award, to the extent not vested or not exercised prior to the effective time of the merger or reorganization, in exchange for such cash consideration, if any, as the Committee, in its sole discretion, may consider appropriate; or</w:t>
      </w:r>
    </w:p>
    <w:p>
      <w:pPr>
        <w:spacing w:after="0" w:line="54" w:lineRule="exact"/>
        <w:rPr>
          <w:sz w:val="20"/>
          <w:szCs w:val="20"/>
          <w:color w:val="auto"/>
        </w:rPr>
      </w:pPr>
    </w:p>
    <w:p>
      <w:pPr>
        <w:ind w:right="100" w:firstLine="416"/>
        <w:spacing w:after="0" w:line="254" w:lineRule="auto"/>
        <w:rPr>
          <w:sz w:val="20"/>
          <w:szCs w:val="20"/>
          <w:color w:val="auto"/>
        </w:rPr>
      </w:pPr>
      <w:r>
        <w:rPr>
          <w:rFonts w:ascii="Times New Roman" w:cs="Times New Roman" w:eastAsia="Times New Roman" w:hAnsi="Times New Roman"/>
          <w:sz w:val="18"/>
          <w:szCs w:val="18"/>
          <w:color w:val="auto"/>
        </w:rPr>
        <w:t>(vi)  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and such amount may be delayed to the same extent that payment of consideration to the holders of common stock in connection with the merger or reorganization is delayed as a result of escrows, earnouts, holdbacks or other contingencies); in each case without the Participant’s consent. Any acceleration of payment or an amount that is subject to Section 409A of the Code will be delayed, if necessary, until the earliest time that such payment would be permissible under Section 409A of the Code without triggering any additional taxes applicable under Section 409A of the Code.</w:t>
      </w:r>
    </w:p>
    <w:p>
      <w:pPr>
        <w:spacing w:after="0" w:line="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need not take the same action or actions with respect to all Awards or portions thereof or with respect to all Participants. The Company may take different actions with respect to the vested and unvested portions of an Award.</w:t>
      </w:r>
    </w:p>
    <w:p>
      <w:pPr>
        <w:spacing w:after="0" w:line="52" w:lineRule="exact"/>
        <w:rPr>
          <w:sz w:val="20"/>
          <w:szCs w:val="20"/>
          <w:color w:val="auto"/>
        </w:rPr>
      </w:pPr>
    </w:p>
    <w:p>
      <w:pPr>
        <w:ind w:right="20" w:firstLine="416"/>
        <w:spacing w:after="0" w:line="257" w:lineRule="auto"/>
        <w:rPr>
          <w:sz w:val="20"/>
          <w:szCs w:val="20"/>
          <w:color w:val="auto"/>
        </w:rPr>
      </w:pPr>
      <w:r>
        <w:rPr>
          <w:rFonts w:ascii="Times New Roman" w:cs="Times New Roman" w:eastAsia="Times New Roman" w:hAnsi="Times New Roman"/>
          <w:sz w:val="18"/>
          <w:szCs w:val="18"/>
          <w:i w:val="1"/>
          <w:iCs w:val="1"/>
          <w:color w:val="auto"/>
        </w:rPr>
        <w:t>(d)  Reservation of Rights</w:t>
      </w:r>
      <w:r>
        <w:rPr>
          <w:rFonts w:ascii="Times New Roman" w:cs="Times New Roman" w:eastAsia="Times New Roman" w:hAnsi="Times New Roman"/>
          <w:sz w:val="18"/>
          <w:szCs w:val="18"/>
          <w:color w:val="auto"/>
        </w:rPr>
        <w:t>. Except as provided in this Section 11, an Optionee, Offeree or Participant shall have no rights by reason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74" w:lineRule="exact"/>
        <w:rPr>
          <w:sz w:val="20"/>
          <w:szCs w:val="20"/>
          <w:color w:val="auto"/>
        </w:rPr>
      </w:pPr>
    </w:p>
    <w:p>
      <w:pPr>
        <w:jc w:val="both"/>
        <w:ind w:right="28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(e)  Change in Control</w:t>
      </w:r>
      <w:r>
        <w:rPr>
          <w:rFonts w:ascii="Times New Roman" w:cs="Times New Roman" w:eastAsia="Times New Roman" w:hAnsi="Times New Roman"/>
          <w:sz w:val="18"/>
          <w:szCs w:val="18"/>
          <w:color w:val="auto"/>
        </w:rPr>
        <w:t>. In its discretion, the Committee pay provide in the Award Agreement governing an Award or at any other time may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such Change in Control, and to such extent as the Committee shall determine. In the absence of such provision in an Award Agreement or any such action taken by the Committee, no acceleration will occur.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DEFERRAL OF AWARDS.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   Committee Powers</w:t>
      </w:r>
      <w:r>
        <w:rPr>
          <w:rFonts w:ascii="Times New Roman" w:cs="Times New Roman" w:eastAsia="Times New Roman" w:hAnsi="Times New Roman"/>
          <w:sz w:val="18"/>
          <w:szCs w:val="18"/>
          <w:color w:val="auto"/>
        </w:rPr>
        <w:t>. Subject to compliance with Section 409A of the Code, the Committee (in its sole discretion) may permit or require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to:</w:t>
      </w:r>
    </w:p>
    <w:p>
      <w:pPr>
        <w:spacing w:after="0" w:line="99" w:lineRule="exact"/>
        <w:rPr>
          <w:sz w:val="20"/>
          <w:szCs w:val="20"/>
          <w:color w:val="auto"/>
        </w:rPr>
      </w:pPr>
    </w:p>
    <w:p>
      <w:pPr>
        <w:ind w:right="360" w:firstLine="416"/>
        <w:spacing w:after="0" w:line="282" w:lineRule="auto"/>
        <w:rPr>
          <w:sz w:val="20"/>
          <w:szCs w:val="20"/>
          <w:color w:val="auto"/>
        </w:rPr>
      </w:pPr>
      <w:r>
        <w:rPr>
          <w:rFonts w:ascii="Times New Roman" w:cs="Times New Roman" w:eastAsia="Times New Roman" w:hAnsi="Times New Roman"/>
          <w:sz w:val="18"/>
          <w:szCs w:val="18"/>
          <w:color w:val="auto"/>
        </w:rPr>
        <w:t>(i)  Have cash that otherwise would be paid to such Participant as a result of the exercise of a SAR or the settlement of Stock Units credited to a deferred compensation account established for such Participant by the Committee as an entry on the Company’s books;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6" w:name="page57"/>
    <w:bookmarkEnd w:id="56"/>
    <w:p>
      <w:pPr>
        <w:ind w:right="500" w:firstLine="416"/>
        <w:spacing w:after="0" w:line="282" w:lineRule="auto"/>
        <w:rPr>
          <w:sz w:val="20"/>
          <w:szCs w:val="20"/>
          <w:color w:val="auto"/>
        </w:rPr>
      </w:pPr>
      <w:r>
        <w:rPr>
          <w:rFonts w:ascii="Times New Roman" w:cs="Times New Roman" w:eastAsia="Times New Roman" w:hAnsi="Times New Roman"/>
          <w:sz w:val="18"/>
          <w:szCs w:val="18"/>
          <w:color w:val="auto"/>
        </w:rPr>
        <w:t>(ii)  Have Shares that otherwise would be delivered to such Participant as a result of the exercise of an Option or SAR converted into an equal number of Stock Units; or</w:t>
      </w:r>
    </w:p>
    <w:p>
      <w:pPr>
        <w:spacing w:after="0" w:line="54"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(iii)  Have Shares that otherwise would be delivered to such Participant as a result of the exercise of an Option or SAR or the settlement of Stock Units converted into amounts credited to a deferred compensation account established for such Participant by the Committee as an entry on the Company’s books. Such amounts shall be determined by reference to the Fair Market Value of such Shares as of the date when they otherwise would have been delivered to such Participant.</w:t>
      </w:r>
    </w:p>
    <w:p>
      <w:pPr>
        <w:spacing w:after="0" w:line="70" w:lineRule="exact"/>
        <w:rPr>
          <w:sz w:val="20"/>
          <w:szCs w:val="20"/>
          <w:color w:val="auto"/>
        </w:rPr>
      </w:pPr>
    </w:p>
    <w:p>
      <w:pPr>
        <w:ind w:firstLine="416"/>
        <w:spacing w:after="0" w:line="257" w:lineRule="auto"/>
        <w:rPr>
          <w:sz w:val="20"/>
          <w:szCs w:val="20"/>
          <w:color w:val="auto"/>
        </w:rPr>
      </w:pPr>
      <w:r>
        <w:rPr>
          <w:rFonts w:ascii="Times New Roman" w:cs="Times New Roman" w:eastAsia="Times New Roman" w:hAnsi="Times New Roman"/>
          <w:sz w:val="18"/>
          <w:szCs w:val="18"/>
          <w:i w:val="1"/>
          <w:iCs w:val="1"/>
          <w:color w:val="auto"/>
        </w:rPr>
        <w:t>(b)  General Rules</w:t>
      </w:r>
      <w:r>
        <w:rPr>
          <w:rFonts w:ascii="Times New Roman" w:cs="Times New Roman" w:eastAsia="Times New Roman" w:hAnsi="Times New Roman"/>
          <w:sz w:val="18"/>
          <w:szCs w:val="18"/>
          <w:color w:val="auto"/>
        </w:rPr>
        <w:t>. A deferred compensation account established under this Section 12 may be credited with interest or other forms of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AWARDS UNDER OTHER PLANS.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may grant awards under other plans or programs. Such awards may be settled in the form of Shares issued under this Plan. Such Shares shall be treated for all purposes under the Plan like Shares issued in settlement of Stock Units and shall, when issued, reduce the number of Shares available under Section 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LEGAL AND REGULATORY REQUIREMENTS.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Shares shall not be issued under the Plan unless the issuance and delivery of such Shares complies with (or is exempt from) all applicable requirements of law, including (without limitation) the Securities Act of 1933, as amended, the rules and regulations promulgated thereunder,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WITHHOLDING TAXES.</w:t>
      </w:r>
    </w:p>
    <w:p>
      <w:pPr>
        <w:spacing w:after="0" w:line="119" w:lineRule="exact"/>
        <w:rPr>
          <w:sz w:val="20"/>
          <w:szCs w:val="20"/>
          <w:color w:val="auto"/>
        </w:rPr>
      </w:pPr>
    </w:p>
    <w:p>
      <w:pPr>
        <w:ind w:right="6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(a)  Withholding Taxes</w:t>
      </w:r>
      <w:r>
        <w:rPr>
          <w:rFonts w:ascii="Times New Roman" w:cs="Times New Roman" w:eastAsia="Times New Roman" w:hAnsi="Times New Roman"/>
          <w:sz w:val="18"/>
          <w:szCs w:val="18"/>
          <w:color w:val="auto"/>
        </w:rPr>
        <w:t>. To the extent required by applicable federal, state, local or foreign law, a Participant or his or her successor shall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65"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(b)  Share Withholding</w:t>
      </w:r>
      <w:r>
        <w:rPr>
          <w:rFonts w:ascii="Times New Roman" w:cs="Times New Roman" w:eastAsia="Times New Roman" w:hAnsi="Times New Roman"/>
          <w:sz w:val="18"/>
          <w:szCs w:val="18"/>
          <w:color w:val="auto"/>
        </w:rPr>
        <w:t>. The Committee may permit a Participant to satisfy all or part of his or her withholding or income tax obligations by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OTHER PROVISIONS APPLICABLE TO AWARDS.</w:t>
      </w:r>
    </w:p>
    <w:p>
      <w:pPr>
        <w:spacing w:after="0" w:line="119"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(a)  Transferability</w:t>
      </w:r>
      <w:r>
        <w:rPr>
          <w:rFonts w:ascii="Times New Roman" w:cs="Times New Roman" w:eastAsia="Times New Roman" w:hAnsi="Times New Roman"/>
          <w:sz w:val="18"/>
          <w:szCs w:val="18"/>
          <w:color w:val="auto"/>
        </w:rPr>
        <w:t>. Unless the agreement evidencing an Award (or an amendment thereto authorized by the Committee) expressly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no Award granted under this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16(a) shall be void and unenforceable against the Company.</w:t>
      </w:r>
    </w:p>
    <w:p>
      <w:pPr>
        <w:spacing w:after="0" w:line="75" w:lineRule="exact"/>
        <w:rPr>
          <w:sz w:val="20"/>
          <w:szCs w:val="20"/>
          <w:color w:val="auto"/>
        </w:rPr>
      </w:pPr>
    </w:p>
    <w:p>
      <w:pPr>
        <w:ind w:right="6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(b)  Performance Criteria</w:t>
      </w:r>
      <w:r>
        <w:rPr>
          <w:rFonts w:ascii="Times New Roman" w:cs="Times New Roman" w:eastAsia="Times New Roman" w:hAnsi="Times New Roman"/>
          <w:sz w:val="18"/>
          <w:szCs w:val="18"/>
          <w:color w:val="auto"/>
        </w:rPr>
        <w:t>. The number of Shares or other benefits granted, issued, retainable and/or vested under an Award may be made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attainment of performance goals.</w:t>
      </w:r>
    </w:p>
    <w:p>
      <w:pPr>
        <w:spacing w:after="0" w:line="52"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(i)  The Committee may utilize performance criteria including, but not limited to any of the following performance criteria: (a) cash flow (including operating cash flow), (b) earnings per share, (c) earnings before any combination of interest, taxes, depreciation or amortization, (d) return on equity, (e) total stockholder return, (f) share price performance, (g) return on capital, (h) return on assets or net assets, (i) revenue, (j) income or net income, (k) operating income or net operating income, (l) operating profit or net operating profit, (m) operating margin or profit margin (including as a percentage of revenue), (n) return on operating revenue, (o) return on invested capital, (p) market segment shares, (q) costs, (r) expenses, (s) achievement of target levels of discovery and/or development of products or services, including but not limited to research or regulatory achievements, (t) third party coverage and/or</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7" w:name="page58"/>
    <w:bookmarkEnd w:id="57"/>
    <w:p>
      <w:pPr>
        <w:ind w:right="260"/>
        <w:spacing w:after="0" w:line="255" w:lineRule="auto"/>
        <w:rPr>
          <w:sz w:val="20"/>
          <w:szCs w:val="20"/>
          <w:color w:val="auto"/>
        </w:rPr>
      </w:pPr>
      <w:r>
        <w:rPr>
          <w:rFonts w:ascii="Times New Roman" w:cs="Times New Roman" w:eastAsia="Times New Roman" w:hAnsi="Times New Roman"/>
          <w:sz w:val="18"/>
          <w:szCs w:val="18"/>
          <w:color w:val="auto"/>
        </w:rPr>
        <w:t>reimbursement objectives, (u) test volume metrics, (v) objective customer indicators (including, without limitation, customer satisfaction), (w) improvements in productivity, (x) attainment of objective operating goals, (y) objective employee metrics or (z) any other measures of performance selected by the Committee (“Qualifying Performance Criteria”), any of which may be measured either individually, alternatively or in any combination, applied to either the individual, the Company as a whole or to a business unit or subsidiary of the Company, either individually, alternatively or in any combination, and measured either annually or cumulatively over a period of years, or on the basis of any other specified period, on an absolute basis or relative to a pre-established target, to previous years’ results or to a designated comparison group or index, and subject to specified adjustments, in each case as specified by the Committee in the Award.</w:t>
      </w:r>
    </w:p>
    <w:p>
      <w:pPr>
        <w:spacing w:after="0" w:line="81"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color w:val="auto"/>
        </w:rPr>
        <w:t>(ii)  Unless specified otherwise by the Committee at the time the performance goals are established, the Committee shall appropriately adjust the method of evaluating performance under a Qualifying Performance Criteria for a performance period as follows: (a) to exclude asset write-downs, (b) to exclude litigation or claim judgments or settlements, (c) to exclude the effect of changes in tax law, accounting principles or other such laws or provisions affecting reported results, (d) to exclude accruals for</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reorganization and restructuring programs, (e) to exclude any extraordinary nonrecurring items as determined under generally accepted accounting principles and/or described in managements’ discussion and analysis of financial condition and results of operations appearing in the Company’s annual report to stockholders for the applicable year, (f) to exclude the dilutive and/or accretive effects of acquisitions or joint ventures, (g) to assume that any business divested by the Company achieved performance objectives at targeted levels during the balance of a performance period following such divestiture, (h)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(i) to exclude the effects of stock based compensation; (j) to exclude costs incurred in connection with potential acquisitions or divestitures that are required to be expensed under generally accepted accounting principles and (k) to make other appropriate adjustments selected by the Committee.</w:t>
      </w:r>
    </w:p>
    <w:p>
      <w:pPr>
        <w:spacing w:after="0" w:line="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Committee shall establish in writing the applicable performance goals (and any variation to the adjustments specified in the preceding subparagraph (ii)), and an objective method for determining the Award earned by a Participant if the goals are attained, while the outcome is substantially uncertain, and shall determine and certify in writing, for each Participant, the extent to which the performance goals have been met prior to payment or vesting of the Award. The Committee may reserve the right, in its sole discretion, to reduce the amount of compensation otherwise payable under the Plan upon the attainment of the pre-established performance goals.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17   NO EMPLOYMENT RIGHTS.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No provision of the Plan, nor any right or Award granted under the Plan, shall be construed to give any person any right to become, to be treated as, or to remain an Employee, Consultant or Outside Director. The Company and its Subsidiaries and Affiliates reserve the right to terminate any person’s Service at any time and for any reason, with or without notice.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18   SECTION 409A.</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Plan is intended to comply with Section 409A of the Code to the extent subject thereto, and, accordingly, to the maximum extent permitted, the Plan shall be interpreted and administered to be in compliance therewith.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additional tax or penalty.</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Award that provides for “nonqualified deferred compensation” within the meaning of Section 409A of the Code shall be subject to such additional rules and requirements as specified by the Committee from time to time in order to comply with Section 409A of the Code. If any amount under such an Award is payable upon a “separation from service” (within the meaning of Section 409A of the Code) to a Participant who is then considered a “specified employee” (within the meaning of Section 409A of the Code),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of the Code. In addition, the settlement of any such Award may not be accelerated except to the extent permitted by Section 409A of the Code.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19   DURATION AND AMENDMENTS.</w:t>
      </w:r>
    </w:p>
    <w:p>
      <w:pPr>
        <w:spacing w:after="0" w:line="119" w:lineRule="exact"/>
        <w:rPr>
          <w:sz w:val="20"/>
          <w:szCs w:val="20"/>
          <w:color w:val="auto"/>
        </w:rPr>
      </w:pPr>
    </w:p>
    <w:p>
      <w:pPr>
        <w:ind w:right="80" w:firstLine="416"/>
        <w:spacing w:after="0" w:line="277" w:lineRule="auto"/>
        <w:rPr>
          <w:sz w:val="20"/>
          <w:szCs w:val="20"/>
          <w:color w:val="auto"/>
        </w:rPr>
      </w:pPr>
      <w:r>
        <w:rPr>
          <w:rFonts w:ascii="Times New Roman" w:cs="Times New Roman" w:eastAsia="Times New Roman" w:hAnsi="Times New Roman"/>
          <w:sz w:val="17"/>
          <w:szCs w:val="17"/>
          <w:i w:val="1"/>
          <w:iCs w:val="1"/>
          <w:color w:val="auto"/>
        </w:rPr>
        <w:t>(a)  Term of the Plan</w:t>
      </w:r>
      <w:r>
        <w:rPr>
          <w:rFonts w:ascii="Times New Roman" w:cs="Times New Roman" w:eastAsia="Times New Roman" w:hAnsi="Times New Roman"/>
          <w:sz w:val="17"/>
          <w:szCs w:val="17"/>
          <w:color w:val="auto"/>
        </w:rPr>
        <w:t>. The Plan, as set forth herein, shall become effective on the Effective Date. No Award may be granted hereunder prior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Date. The Board of Directors may suspend or terminate the Plan at any time. No ISOs may be granted after the tenth anniversary of the earlier of</w:t>
      </w:r>
    </w:p>
    <w:p>
      <w:pPr>
        <w:spacing w:after="0" w:line="1" w:lineRule="exact"/>
        <w:rPr>
          <w:sz w:val="20"/>
          <w:szCs w:val="20"/>
          <w:color w:val="auto"/>
        </w:rPr>
      </w:pPr>
    </w:p>
    <w:p>
      <w:pPr>
        <w:ind w:right="80" w:firstLine="8"/>
        <w:spacing w:after="0" w:line="260" w:lineRule="auto"/>
        <w:tabs>
          <w:tab w:leader="none" w:pos="2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Plan, as amended and restated herein, is adopted in 2022 by the Board of Directors, or (ii) the date the Plan, as amended and restated herein is approved the stockholders of the Company.</w:t>
      </w:r>
    </w:p>
    <w:p>
      <w:pPr>
        <w:spacing w:after="0" w:line="71" w:lineRule="exact"/>
        <w:rPr>
          <w:sz w:val="20"/>
          <w:szCs w:val="20"/>
          <w:color w:val="auto"/>
        </w:rPr>
      </w:pPr>
    </w:p>
    <w:p>
      <w:pPr>
        <w:ind w:right="1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(b)  Right to Amend or Terminate the Plan</w:t>
      </w:r>
      <w:r>
        <w:rPr>
          <w:rFonts w:ascii="Times New Roman" w:cs="Times New Roman" w:eastAsia="Times New Roman" w:hAnsi="Times New Roman"/>
          <w:sz w:val="18"/>
          <w:szCs w:val="18"/>
          <w:color w:val="auto"/>
        </w:rPr>
        <w:t>. The Board of Directors may amend or terminate the Plan at any time and from time to time. Rights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under any Award granted before amendment of the Plan shall not be materially impaired by such</w:t>
      </w:r>
    </w:p>
    <w:p>
      <w:pPr>
        <w:spacing w:after="0" w:line="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8" w:name="page59"/>
    <w:bookmarkEnd w:id="58"/>
    <w:p>
      <w:pPr>
        <w:ind w:right="160"/>
        <w:spacing w:after="0" w:line="282" w:lineRule="auto"/>
        <w:rPr>
          <w:sz w:val="20"/>
          <w:szCs w:val="20"/>
          <w:color w:val="auto"/>
        </w:rPr>
      </w:pPr>
      <w:r>
        <w:rPr>
          <w:rFonts w:ascii="Times New Roman" w:cs="Times New Roman" w:eastAsia="Times New Roman" w:hAnsi="Times New Roman"/>
          <w:sz w:val="18"/>
          <w:szCs w:val="18"/>
          <w:color w:val="auto"/>
        </w:rPr>
        <w:t>amendment, except with consent of the Participant. An amendment of the Plan shall be subject to the approval of the Company’s stockholders only to the extent required by applicable laws, regulations or rules.</w:t>
      </w:r>
    </w:p>
    <w:p>
      <w:pPr>
        <w:spacing w:after="0" w:line="52" w:lineRule="exact"/>
        <w:rPr>
          <w:sz w:val="20"/>
          <w:szCs w:val="20"/>
          <w:color w:val="auto"/>
        </w:rPr>
      </w:pPr>
    </w:p>
    <w:p>
      <w:pPr>
        <w:ind w:right="44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(c)  Effect of Termination</w:t>
      </w:r>
      <w:r>
        <w:rPr>
          <w:rFonts w:ascii="Times New Roman" w:cs="Times New Roman" w:eastAsia="Times New Roman" w:hAnsi="Times New Roman"/>
          <w:sz w:val="18"/>
          <w:szCs w:val="18"/>
          <w:color w:val="auto"/>
        </w:rPr>
        <w:t>. No Awards shall be granted under the Plan after the termination thereof. The termination of the Plan shall not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previously granted under the Plan.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20   AWARDS TO NON-U.S. PARTICIPANTS.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currency or tax policy or custom. The Committee also may impose conditions on the exercise, vesting or settlement of Awards in order to minimize the Company’s obligation with respect to tax equalization for Participants on assignments outside their home country. The Committee may, in its sole discretion, adjust the value of any Awards or any amounts due to Participants hereunder to reflect any foreign currency conversions or fluctuations in foreign currency exchange rates; provided, however, that none of the Company or any Parent, Subsidiary or Affiliate shall be liable for any foreign exchange rate fluctuations between a Participant’s local currency and the United States Dollar that may affect the value of any Awards or of any amounts due to a Participant hereunder.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FORFEITURE, CANCELLATION OR CLAWBACK OF AWARDS.</w:t>
      </w:r>
    </w:p>
    <w:p>
      <w:pPr>
        <w:spacing w:after="0" w:line="121" w:lineRule="exact"/>
        <w:rPr>
          <w:sz w:val="20"/>
          <w:szCs w:val="20"/>
          <w:color w:val="auto"/>
        </w:rPr>
      </w:pPr>
    </w:p>
    <w:p>
      <w:pPr>
        <w:jc w:val="both"/>
        <w:ind w:right="340" w:firstLine="416"/>
        <w:spacing w:after="0" w:line="261" w:lineRule="auto"/>
        <w:rPr>
          <w:sz w:val="20"/>
          <w:szCs w:val="20"/>
          <w:color w:val="auto"/>
        </w:rPr>
      </w:pPr>
      <w:r>
        <w:rPr>
          <w:rFonts w:ascii="Times New Roman" w:cs="Times New Roman" w:eastAsia="Times New Roman" w:hAnsi="Times New Roman"/>
          <w:sz w:val="18"/>
          <w:szCs w:val="18"/>
          <w:color w:val="auto"/>
        </w:rPr>
        <w:t>(a)  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w:t>
      </w:r>
    </w:p>
    <w:p>
      <w:pPr>
        <w:spacing w:after="0" w:line="7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(b)  If the Company is required to prepare an accounting restatement due to the material noncompliance of the Company, as a result of misconduct, with any financial reporting requirement under the securities laws, at the discretion of the Committee,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 (12) month period. In addition, to the extent claw-back or similar provisions applicable to Awards are required by applicable law, listing standards and/or policies adopted by the Company, Awards granted under the Plan shall be subject to such provisions.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GOVERNING LAW.</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Plan, each Award Agreement and each Award and all disputes or controversies arising out of or relating thereto and all other matters shall be governed by, and construed in accordance with, the internal laws of the State of Delaware as to matters within the scope thereof, without regard to the laws of any other jurisdiction that might be applied because of the conflicts of laws principles of any state.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H. Hedrick, certify that:</w:t>
      </w:r>
    </w:p>
    <w:p>
      <w:pPr>
        <w:spacing w:after="0" w:line="144" w:lineRule="exact"/>
        <w:rPr>
          <w:sz w:val="20"/>
          <w:szCs w:val="20"/>
          <w:color w:val="auto"/>
        </w:rPr>
      </w:pPr>
    </w:p>
    <w:p>
      <w:pPr>
        <w:ind w:left="440" w:hanging="432"/>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Plus Therapeutics, Inc.;</w:t>
      </w:r>
    </w:p>
    <w:p>
      <w:pPr>
        <w:spacing w:after="0" w:line="252"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4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4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4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8"/>
          <w:szCs w:val="18"/>
          <w:color w:val="auto"/>
        </w:rPr>
      </w:pPr>
    </w:p>
    <w:p>
      <w:pPr>
        <w:jc w:val="both"/>
        <w:ind w:left="1020" w:right="80" w:hanging="479"/>
        <w:spacing w:after="0" w:line="266" w:lineRule="auto"/>
        <w:tabs>
          <w:tab w:leader="none" w:pos="96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96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6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4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020" w:hanging="479"/>
        <w:spacing w:after="0" w:line="282" w:lineRule="auto"/>
        <w:tabs>
          <w:tab w:leader="none" w:pos="96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020" w:right="520" w:hanging="479"/>
        <w:spacing w:after="0" w:line="282" w:lineRule="auto"/>
        <w:tabs>
          <w:tab w:leader="none" w:pos="96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460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Marc H. Hedrick,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Sims, certify that:</w:t>
      </w:r>
    </w:p>
    <w:p>
      <w:pPr>
        <w:spacing w:after="0" w:line="117"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Plus Therapeutics, Inc.;</w:t>
      </w:r>
    </w:p>
    <w:p>
      <w:pPr>
        <w:spacing w:after="0" w:line="225"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40" w:hanging="479"/>
        <w:spacing w:after="0" w:line="266"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80" w:hanging="479"/>
        <w:spacing w:after="0" w:line="282"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460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Andrew Sims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SECURITIES EXCHANGE ACT RULE 13a-14(b), AS ADOPTED PURSUANT TO SECTION 906 OF THE SARBANES-OXLEY ACT OF 2002</w:t>
      </w:r>
    </w:p>
    <w:p>
      <w:pPr>
        <w:spacing w:after="0" w:line="15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Plus Therapeutics, Inc. for the quarterly period ended June 30, 2025 as filed with the Securities and Exchange Commission on the date hereof, Marc H. Hedrick, as President &amp; Chief Executive Officer of Plus Therapeutics, Inc., and Andrew Sims, as VP of Finance and Chief Financial Officer of Plus Therapeutics, Inc., each hereby certifies, respectively, that:</w:t>
      </w:r>
    </w:p>
    <w:p>
      <w:pPr>
        <w:spacing w:after="0" w:line="95" w:lineRule="exact"/>
        <w:rPr>
          <w:sz w:val="20"/>
          <w:szCs w:val="20"/>
          <w:color w:val="auto"/>
        </w:rPr>
      </w:pPr>
    </w:p>
    <w:p>
      <w:pPr>
        <w:ind w:left="520" w:right="440" w:hanging="512"/>
        <w:spacing w:after="0" w:line="282" w:lineRule="auto"/>
        <w:tabs>
          <w:tab w:leader="none" w:pos="4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report of Plus Therapeutics, Inc. that this certification accompanies fully complies with the requirements of Section 13(a) of the Securities Exchange Act of 1934.</w:t>
      </w:r>
    </w:p>
    <w:p>
      <w:pPr>
        <w:spacing w:after="0" w:line="80" w:lineRule="exact"/>
        <w:rPr>
          <w:rFonts w:ascii="Times New Roman" w:cs="Times New Roman" w:eastAsia="Times New Roman" w:hAnsi="Times New Roman"/>
          <w:sz w:val="18"/>
          <w:szCs w:val="18"/>
          <w:color w:val="auto"/>
        </w:rPr>
      </w:pPr>
    </w:p>
    <w:p>
      <w:pPr>
        <w:ind w:left="520" w:right="560" w:hanging="512"/>
        <w:spacing w:after="0" w:line="282" w:lineRule="auto"/>
        <w:tabs>
          <w:tab w:leader="none" w:pos="4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report of Plus Therapeutics, Inc. that this certification accompanies fairly presents, in all material respects, the financial condition and results of operations of Plus Therapeutics, Inc.</w:t>
      </w:r>
    </w:p>
    <w:p>
      <w:pPr>
        <w:spacing w:after="0" w:line="189" w:lineRule="exact"/>
        <w:rPr>
          <w:sz w:val="20"/>
          <w:szCs w:val="20"/>
          <w:color w:val="auto"/>
        </w:rPr>
      </w:pPr>
    </w:p>
    <w:p>
      <w:pPr>
        <w:ind w:left="6660"/>
        <w:spacing w:after="0"/>
        <w:tabs>
          <w:tab w:leader="none" w:pos="7100" w:val="left"/>
        </w:tabs>
        <w:rPr>
          <w:sz w:val="20"/>
          <w:szCs w:val="20"/>
          <w:color w:val="auto"/>
        </w:rPr>
      </w:pPr>
      <w:r>
        <w:rPr>
          <w:rFonts w:ascii="Times New Roman" w:cs="Times New Roman" w:eastAsia="Times New Roman" w:hAnsi="Times New Roman"/>
          <w:sz w:val="18"/>
          <w:szCs w:val="18"/>
          <w:color w:val="auto"/>
        </w:rPr>
        <w:t>By:</w:t>
        <w:tab/>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8">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1" w:lineRule="exact"/>
        <w:rPr>
          <w:sz w:val="20"/>
          <w:szCs w:val="20"/>
          <w:color w:val="auto"/>
        </w:rPr>
      </w:pPr>
    </w:p>
    <w:p>
      <w:pPr>
        <w:spacing w:after="0"/>
        <w:tabs>
          <w:tab w:leader="none" w:pos="7100" w:val="left"/>
        </w:tabs>
        <w:rPr>
          <w:sz w:val="20"/>
          <w:szCs w:val="20"/>
          <w:color w:val="auto"/>
        </w:rPr>
      </w:pPr>
      <w:r>
        <w:rPr>
          <w:rFonts w:ascii="Times New Roman" w:cs="Times New Roman" w:eastAsia="Times New Roman" w:hAnsi="Times New Roman"/>
          <w:sz w:val="18"/>
          <w:szCs w:val="18"/>
          <w:color w:val="auto"/>
        </w:rPr>
        <w:t>Dated: August 14, 2025</w:t>
      </w:r>
      <w:r>
        <w:rPr>
          <w:sz w:val="20"/>
          <w:szCs w:val="20"/>
          <w:color w:val="auto"/>
        </w:rPr>
        <w:tab/>
      </w:r>
      <w:r>
        <w:rPr>
          <w:rFonts w:ascii="Times New Roman" w:cs="Times New Roman" w:eastAsia="Times New Roman" w:hAnsi="Times New Roman"/>
          <w:sz w:val="17"/>
          <w:szCs w:val="17"/>
          <w:color w:val="auto"/>
        </w:rPr>
        <w:t>Marc H. Hedrick</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6660"/>
        <w:spacing w:after="0"/>
        <w:tabs>
          <w:tab w:leader="none" w:pos="7100" w:val="left"/>
        </w:tabs>
        <w:rPr>
          <w:sz w:val="20"/>
          <w:szCs w:val="20"/>
          <w:color w:val="auto"/>
        </w:rPr>
      </w:pPr>
      <w:r>
        <w:rPr>
          <w:rFonts w:ascii="Times New Roman" w:cs="Times New Roman" w:eastAsia="Times New Roman" w:hAnsi="Times New Roman"/>
          <w:sz w:val="18"/>
          <w:szCs w:val="18"/>
          <w:color w:val="auto"/>
        </w:rPr>
        <w:t>By:</w:t>
        <w:tab/>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17145</wp:posOffset>
            </wp:positionV>
            <wp:extent cx="26142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1" w:lineRule="exact"/>
        <w:rPr>
          <w:sz w:val="20"/>
          <w:szCs w:val="20"/>
          <w:color w:val="auto"/>
        </w:rPr>
      </w:pPr>
    </w:p>
    <w:p>
      <w:pPr>
        <w:spacing w:after="0"/>
        <w:tabs>
          <w:tab w:leader="none" w:pos="7100" w:val="left"/>
        </w:tabs>
        <w:rPr>
          <w:sz w:val="20"/>
          <w:szCs w:val="20"/>
          <w:color w:val="auto"/>
        </w:rPr>
      </w:pPr>
      <w:r>
        <w:rPr>
          <w:rFonts w:ascii="Times New Roman" w:cs="Times New Roman" w:eastAsia="Times New Roman" w:hAnsi="Times New Roman"/>
          <w:sz w:val="18"/>
          <w:szCs w:val="18"/>
          <w:color w:val="auto"/>
        </w:rPr>
        <w:t>Dated: August 14, 2025</w:t>
      </w:r>
      <w:r>
        <w:rPr>
          <w:sz w:val="20"/>
          <w:szCs w:val="20"/>
          <w:color w:val="auto"/>
        </w:rPr>
        <w:tab/>
      </w:r>
      <w:r>
        <w:rPr>
          <w:rFonts w:ascii="Times New Roman" w:cs="Times New Roman" w:eastAsia="Times New Roman" w:hAnsi="Times New Roman"/>
          <w:sz w:val="17"/>
          <w:szCs w:val="17"/>
          <w:color w:val="auto"/>
        </w:rPr>
        <w:t>Andrew Sims</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Financial Officer &amp; VP of Finance</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3"/>
    </w:lvl>
  </w:abstractNum>
  <w:abstractNum w:abstractNumId="4">
    <w:nsid w:val="4E6AFB66"/>
    <w:multiLevelType w:val="hybridMultilevel"/>
    <w:lvl w:ilvl="0">
      <w:lvlJc w:val="left"/>
      <w:lvlText w:val="%1."/>
      <w:numFmt w:val="decimal"/>
      <w:start w:val="4"/>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6"/>
    </w:lvl>
  </w:abstractNum>
  <w:abstractNum w:abstractNumId="7">
    <w:nsid w:val="431BD7B7"/>
    <w:multiLevelType w:val="hybridMultilevel"/>
    <w:lvl w:ilvl="0">
      <w:lvlJc w:val="left"/>
      <w:lvlText w:val="%1."/>
      <w:numFmt w:val="decimal"/>
      <w:start w:val="7"/>
    </w:lvl>
  </w:abstractNum>
  <w:abstractNum w:abstractNumId="8">
    <w:nsid w:val="3F2DBA31"/>
    <w:multiLevelType w:val="hybridMultilevel"/>
    <w:lvl w:ilvl="0">
      <w:lvlJc w:val="left"/>
      <w:lvlText w:val="%1."/>
      <w:numFmt w:val="decimal"/>
      <w:start w:val="8"/>
    </w:lvl>
  </w:abstractNum>
  <w:abstractNum w:abstractNumId="9">
    <w:nsid w:val="7C83E458"/>
    <w:multiLevelType w:val="hybridMultilevel"/>
    <w:lvl w:ilvl="0">
      <w:lvlJc w:val="left"/>
      <w:lvlText w:val="%1."/>
      <w:numFmt w:val="decimal"/>
      <w:start w:val="9"/>
    </w:lvl>
  </w:abstractNum>
  <w:abstractNum w:abstractNumId="10">
    <w:nsid w:val="257130A3"/>
    <w:multiLevelType w:val="hybridMultilevel"/>
    <w:lvl w:ilvl="0">
      <w:lvlJc w:val="left"/>
      <w:lvlText w:val="%1."/>
      <w:numFmt w:val="decimal"/>
      <w:start w:val="10"/>
    </w:lvl>
  </w:abstractNum>
  <w:abstractNum w:abstractNumId="11">
    <w:nsid w:val="62BBD95A"/>
    <w:multiLevelType w:val="hybridMultilevel"/>
    <w:lvl w:ilvl="0">
      <w:lvlJc w:val="left"/>
      <w:lvlText w:val="%1."/>
      <w:numFmt w:val="decimal"/>
      <w:start w:val="11"/>
    </w:lvl>
  </w:abstractNum>
  <w:abstractNum w:abstractNumId="12">
    <w:nsid w:val="436C6125"/>
    <w:multiLevelType w:val="hybridMultilevel"/>
    <w:lvl w:ilvl="0">
      <w:lvlJc w:val="left"/>
      <w:lvlText w:val="%1."/>
      <w:numFmt w:val="decimal"/>
      <w:start w:val="12"/>
    </w:lvl>
  </w:abstractNum>
  <w:abstractNum w:abstractNumId="13">
    <w:nsid w:val="628C895D"/>
    <w:multiLevelType w:val="hybridMultilevel"/>
    <w:lvl w:ilvl="0">
      <w:lvlJc w:val="left"/>
      <w:lvlText w:val="%1."/>
      <w:numFmt w:val="decimal"/>
      <w:start w:val="13"/>
    </w:lvl>
  </w:abstractNum>
  <w:abstractNum w:abstractNumId="14">
    <w:nsid w:val="333AB105"/>
    <w:multiLevelType w:val="hybridMultilevel"/>
    <w:lvl w:ilvl="0">
      <w:lvlJc w:val="left"/>
      <w:lvlText w:val="%1."/>
      <w:numFmt w:val="decimal"/>
      <w:start w:val="14"/>
    </w:lvl>
  </w:abstractNum>
  <w:abstractNum w:abstractNumId="15">
    <w:nsid w:val="721DA317"/>
    <w:multiLevelType w:val="hybridMultilevel"/>
    <w:lvl w:ilvl="0">
      <w:lvlJc w:val="left"/>
      <w:lvlText w:val="%1."/>
      <w:numFmt w:val="decimal"/>
      <w:start w:val="15"/>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lowerRoman"/>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7" Type="http://schemas.openxmlformats.org/officeDocument/2006/relationships/image" Target="media/image240.png"/><Relationship Id="rId278" Type="http://schemas.openxmlformats.org/officeDocument/2006/relationships/image" Target="media/image241.png"/><Relationship Id="rId279" Type="http://schemas.openxmlformats.org/officeDocument/2006/relationships/image" Target="media/image242.png"/><Relationship Id="rId280" Type="http://schemas.openxmlformats.org/officeDocument/2006/relationships/image" Target="media/image243.png"/><Relationship Id="rId281" Type="http://schemas.openxmlformats.org/officeDocument/2006/relationships/image" Target="media/image244.png"/><Relationship Id="rId282" Type="http://schemas.openxmlformats.org/officeDocument/2006/relationships/image" Target="media/image245.png"/><Relationship Id="rId283" Type="http://schemas.openxmlformats.org/officeDocument/2006/relationships/image" Target="media/image246.png"/><Relationship Id="rId284" Type="http://schemas.openxmlformats.org/officeDocument/2006/relationships/image" Target="media/image247.png"/><Relationship Id="rId285" Type="http://schemas.openxmlformats.org/officeDocument/2006/relationships/image" Target="media/image248.png"/><Relationship Id="rId286" Type="http://schemas.openxmlformats.org/officeDocument/2006/relationships/image" Target="media/image249.png"/><Relationship Id="rId287" Type="http://schemas.openxmlformats.org/officeDocument/2006/relationships/image" Target="media/image250.png"/><Relationship Id="rId288" Type="http://schemas.openxmlformats.org/officeDocument/2006/relationships/image" Target="media/image251.png"/><Relationship Id="rId289" Type="http://schemas.openxmlformats.org/officeDocument/2006/relationships/image" Target="media/image252.png"/><Relationship Id="rId290" Type="http://schemas.openxmlformats.org/officeDocument/2006/relationships/image" Target="media/image253.png"/><Relationship Id="rId291" Type="http://schemas.openxmlformats.org/officeDocument/2006/relationships/image" Target="media/image254.png"/><Relationship Id="rId292" Type="http://schemas.openxmlformats.org/officeDocument/2006/relationships/image" Target="media/image255.png"/><Relationship Id="rId293" Type="http://schemas.openxmlformats.org/officeDocument/2006/relationships/image" Target="media/image256.png"/><Relationship Id="rId294" Type="http://schemas.openxmlformats.org/officeDocument/2006/relationships/image" Target="media/image257.png"/><Relationship Id="rId295" Type="http://schemas.openxmlformats.org/officeDocument/2006/relationships/image" Target="media/image258.png"/><Relationship Id="rId296" Type="http://schemas.openxmlformats.org/officeDocument/2006/relationships/image" Target="media/image259.png"/><Relationship Id="rId297" Type="http://schemas.openxmlformats.org/officeDocument/2006/relationships/image" Target="media/image260.png"/><Relationship Id="rId298" Type="http://schemas.openxmlformats.org/officeDocument/2006/relationships/image" Target="media/image261.png"/><Relationship Id="rId299" Type="http://schemas.openxmlformats.org/officeDocument/2006/relationships/image" Target="media/image262.png"/><Relationship Id="rId300" Type="http://schemas.openxmlformats.org/officeDocument/2006/relationships/image" Target="media/image263.png"/><Relationship Id="rId243" Type="http://schemas.openxmlformats.org/officeDocument/2006/relationships/hyperlink" Target="https://www.sec.gov/Archives/edgar/data/0001095981/000114036116057505/ex3_1.htm" TargetMode="External"/><Relationship Id="rId244" Type="http://schemas.openxmlformats.org/officeDocument/2006/relationships/hyperlink" Target="https://www.sec.gov/Archives/edgar/data/0001095981/000109598116000063/ex3_1.htm" TargetMode="External"/><Relationship Id="rId245" Type="http://schemas.openxmlformats.org/officeDocument/2006/relationships/hyperlink" Target="https://www.sec.gov/Archives/edgar/data/0001095981/000156459018014245/cytx-ex31_6.htm" TargetMode="External"/><Relationship Id="rId246" Type="http://schemas.openxmlformats.org/officeDocument/2006/relationships/hyperlink" Target="https://www.sec.gov/Archives/edgar/data/1095981/000156459019026454/cytx-ex31_6.htm" TargetMode="External"/><Relationship Id="rId247" Type="http://schemas.openxmlformats.org/officeDocument/2006/relationships/hyperlink" Target="https://www.sec.gov/Archives/edgar/data/0001095981/000156459019028996/pstv-ex31_18.htm" TargetMode="External"/><Relationship Id="rId248" Type="http://schemas.openxmlformats.org/officeDocument/2006/relationships/hyperlink" Target="https://www.sec.gov/Archives/edgar/data/0001095981/000119312523127227/d475493dex31.htm" TargetMode="External"/><Relationship Id="rId249" Type="http://schemas.openxmlformats.org/officeDocument/2006/relationships/hyperlink" Target="https://www.sec.gov/Archives/edgar/data/1095981/000095017025062742/pstv-ex3_1.htm" TargetMode="External"/><Relationship Id="rId250" Type="http://schemas.openxmlformats.org/officeDocument/2006/relationships/hyperlink" Target="https://www.sec.gov/Archives/edgar/data/0001095981/000119312521277718/d164672dex31.htm" TargetMode="External"/><Relationship Id="rId251" Type="http://schemas.openxmlformats.org/officeDocument/2006/relationships/hyperlink" Target="https://www.sec.gov/Archives/edgar/data/1095981/000156459017024297/cytx-ex31_6.htm" TargetMode="External"/><Relationship Id="rId252" Type="http://schemas.openxmlformats.org/officeDocument/2006/relationships/hyperlink" Target="https://www.sec.gov/Archives/edgar/data/1095981/000156459018017443/cytx-ex31_7.htm" TargetMode="External"/><Relationship Id="rId253" Type="http://schemas.openxmlformats.org/officeDocument/2006/relationships/hyperlink" Target="https://www.sec.gov/Archives/edgar/data/1095981/000119312525142093/d942989dex41.htm" TargetMode="External"/><Relationship Id="rId254" Type="http://schemas.openxmlformats.org/officeDocument/2006/relationships/hyperlink" Target="https://www.sec.gov/Archives/edgar/data/1095981/000119312525028151/d916701dex41.htm" TargetMode="External"/><Relationship Id="rId255" Type="http://schemas.openxmlformats.org/officeDocument/2006/relationships/hyperlink" Target="https://www.sec.gov/Archives/edgar/data/1095981/000119312525028151/d916701dex42.htm" TargetMode="External"/><Relationship Id="rId258" Type="http://schemas.openxmlformats.org/officeDocument/2006/relationships/hyperlink" Target="https://www.sec.gov/Archives/edgar/data/1095981/000119312525045305/d875007dex41.htm" TargetMode="External"/><Relationship Id="rId259" Type="http://schemas.openxmlformats.org/officeDocument/2006/relationships/hyperlink" Target="https://www.sec.gov/Archives/edgar/data/1095981/000119312525045305/d875007dex42.htm" TargetMode="External"/><Relationship Id="rId260" Type="http://schemas.openxmlformats.org/officeDocument/2006/relationships/hyperlink" Target="https://www.sec.gov/Archives/edgar/data/1095981/000119312525045305/d875007dex43.htm" TargetMode="External"/><Relationship Id="rId261" Type="http://schemas.openxmlformats.org/officeDocument/2006/relationships/hyperlink" Target="https://www.sec.gov/Archives/edgar/data/1095981/000119312525028151/d916701dex101.htm" TargetMode="External"/><Relationship Id="rId262" Type="http://schemas.openxmlformats.org/officeDocument/2006/relationships/hyperlink" Target="https://www.sec.gov/Archives/edgar/data/1095981/000119312525028151/d916701dex102.htm" TargetMode="External"/><Relationship Id="rId263" Type="http://schemas.openxmlformats.org/officeDocument/2006/relationships/hyperlink" Target="https://www.sec.gov/Archives/edgar/data/1095981/000119312525028151/d916701dex103.htm" TargetMode="External"/><Relationship Id="rId264" Type="http://schemas.openxmlformats.org/officeDocument/2006/relationships/hyperlink" Target="https://www.sec.gov/Archives/edgar/data/1095981/000119312525028151/d916701dex104.htm" TargetMode="External"/><Relationship Id="rId265" Type="http://schemas.openxmlformats.org/officeDocument/2006/relationships/hyperlink" Target="https://www.sec.gov/Archives/edgar/data/1095981/000119312525028151/d916701dex105.htm" TargetMode="External"/><Relationship Id="rId266" Type="http://schemas.openxmlformats.org/officeDocument/2006/relationships/hyperlink" Target="https://www.sec.gov/Archives/edgar/data/1095981/000119312525028151/d916701dex106.htm" TargetMode="External"/><Relationship Id="rId267" Type="http://schemas.openxmlformats.org/officeDocument/2006/relationships/hyperlink" Target="https://www.sec.gov/Archives/edgar/data/1095981/000119312525028151/d916701dex107.htm" TargetMode="External"/><Relationship Id="rId268" Type="http://schemas.openxmlformats.org/officeDocument/2006/relationships/hyperlink" Target="https://www.sec.gov/Archives/edgar/data/1095981/000119312525045305/d875007dex101.htm" TargetMode="External"/><Relationship Id="rId269" Type="http://schemas.openxmlformats.org/officeDocument/2006/relationships/hyperlink" Target="https://www.sec.gov/Archives/edgar/data/1095981/000119312525045305/d875007dex102.htm" TargetMode="External"/><Relationship Id="rId270" Type="http://schemas.openxmlformats.org/officeDocument/2006/relationships/hyperlink" Target="https://www.sec.gov/Archives/edgar/data/1095981/000119312525045305/d875007dex103.htm" TargetMode="External"/><Relationship Id="rId271" Type="http://schemas.openxmlformats.org/officeDocument/2006/relationships/hyperlink" Target="https://www.sec.gov/Archives/edgar/data/1095981/000119312525142093/d942989dex101.htm" TargetMode="External"/><Relationship Id="rId274" Type="http://schemas.openxmlformats.org/officeDocument/2006/relationships/hyperlink" Target="https://www.sec.gov/Archives/edgar/data/1095981/000119312525143665/d925162dex101.htm" TargetMode="External"/><Relationship Id="rId275" Type="http://schemas.openxmlformats.org/officeDocument/2006/relationships/hyperlink" Target="https://www.sec.gov/Archives/edgar/data/1095981/000119312525143665/d925162dex102.htm" TargetMode="External"/><Relationship Id="rId276" Type="http://schemas.openxmlformats.org/officeDocument/2006/relationships/hyperlink" Target="https://www.sec.gov/Archives/edgar/data/1095981/000119312525178940/d942543dex10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2025-08-14T15:32:33Z</dcterms:created>
  <dcterms:modified xsi:type="dcterms:W3CDTF">2025-08-14T15:32:33Z</dcterms:modified>
</cp:coreProperties>
</file>