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50331.htm"/>
      <w:bookmarkStart w:id="1" w:name="kspstv2025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001-34375</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PLUS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left"/>
        <w:rPr/>
      </w:pPr>
      <w:r>
        <w:rPr/>
        <w:t> </w:t>
      </w:r>
    </w:p>
    <w:p>
      <w:pPr>
        <w:pStyle w:val="TextBody"/>
        <w:bidi w:val="0"/>
        <w:jc w:val="left"/>
        <w:rPr/>
      </w:pPr>
      <w:r>
        <w:rPr/>
        <w:t> </w:t>
      </w:r>
    </w:p>
    <w:tbl>
      <w:tblPr>
        <w:tblW w:w="5398" w:type="dxa"/>
        <w:jc w:val="left"/>
        <w:tblInd w:w="0" w:type="dxa"/>
        <w:tblLayout w:type="fixed"/>
        <w:tblCellMar>
          <w:top w:w="28" w:type="dxa"/>
          <w:left w:w="28" w:type="dxa"/>
          <w:bottom w:w="28" w:type="dxa"/>
          <w:right w:w="28" w:type="dxa"/>
        </w:tblCellMar>
      </w:tblPr>
      <w:tblGrid>
        <w:gridCol w:w="3691"/>
        <w:gridCol w:w="146"/>
        <w:gridCol w:w="156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8"/>
              </w:rPr>
            </w:pPr>
            <w:r>
              <w:rPr>
                <w:rFonts w:ascii="Times New Roman" w:hAnsi="Times New Roman"/>
                <w:b/>
                <w:caps/>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33-0827593</w:t>
            </w:r>
          </w:p>
        </w:tc>
      </w:tr>
      <w:tr>
        <w:trPr/>
        <w:tc>
          <w:tcPr>
            <w:tcW w:w="36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2710 REED ROAD, SUITE 160, HOUSTON, TX</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77051</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(737) 255-7194</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pBdr>
          <w:bottom w:val="single" w:sz="4" w:space="1" w:color="000000"/>
        </w:pBdr>
        <w:bidi w:val="0"/>
        <w:jc w:val="left"/>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548" w:type="dxa"/>
        <w:jc w:val="left"/>
        <w:tblInd w:w="0" w:type="dxa"/>
        <w:tblLayout w:type="fixed"/>
        <w:tblCellMar>
          <w:top w:w="28" w:type="dxa"/>
          <w:left w:w="28" w:type="dxa"/>
          <w:bottom w:w="28" w:type="dxa"/>
          <w:right w:w="28" w:type="dxa"/>
        </w:tblCellMar>
      </w:tblPr>
      <w:tblGrid>
        <w:gridCol w:w="2506"/>
        <w:gridCol w:w="1561"/>
        <w:gridCol w:w="3481"/>
      </w:tblGrid>
      <w:tr>
        <w:trPr/>
        <w:tc>
          <w:tcPr>
            <w:tcW w:w="25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PSTV</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635" w:type="dxa"/>
        <w:jc w:val="left"/>
        <w:tblInd w:w="0" w:type="dxa"/>
        <w:tblLayout w:type="fixed"/>
        <w:tblCellMar>
          <w:top w:w="28" w:type="dxa"/>
          <w:left w:w="28" w:type="dxa"/>
          <w:bottom w:w="28" w:type="dxa"/>
          <w:right w:w="28" w:type="dxa"/>
        </w:tblCellMar>
      </w:tblPr>
      <w:tblGrid>
        <w:gridCol w:w="1771"/>
        <w:gridCol w:w="316"/>
        <w:gridCol w:w="14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May 27, 2025, there were 32,717,054</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1"/>
        <w:gridCol w:w="391"/>
        <w:gridCol w:w="772"/>
        <w:gridCol w:w="391"/>
        <w:gridCol w:w="7182"/>
        <w:gridCol w:w="146"/>
        <w:gridCol w:w="512"/>
      </w:tblGrid>
      <w:tr>
        <w:trPr/>
        <w:tc>
          <w:tcPr>
            <w:tcW w:w="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2"/>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rPr>
                <w:t>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balance_sheets">
              <w:r>
                <w:rPr>
                  <w:rStyle w:val="InternetLink"/>
                  <w:rFonts w:ascii="Times New Roman" w:hAnsi="Times New Roman"/>
                  <w:color w:val="0000FF"/>
                  <w:sz w:val="20"/>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ements_operat">
              <w:r>
                <w:rPr>
                  <w:rStyle w:val="InternetLink"/>
                  <w:rFonts w:ascii="Times New Roman" w:hAnsi="Times New Roman"/>
                  <w:color w:val="0000FF"/>
                  <w:sz w:val="20"/>
                </w:rPr>
                <w:t xml:space="preserve">Condensed Consolidated Statements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m_stock_equit">
              <w:r>
                <w:rPr>
                  <w:rStyle w:val="InternetLink"/>
                  <w:rFonts w:ascii="Times New Roman" w:hAnsi="Times New Roman"/>
                  <w:color w:val="000080"/>
                  <w:sz w:val="20"/>
                </w:rPr>
                <w:t>Condensed Consolidated Statements of Stockholders’ Equity/(Deficit</w:t>
              </w:r>
            </w:hyperlink>
            <w:r>
              <w:rPr>
                <w:rFonts w:ascii="Times New Roman" w:hAnsi="Times New Roman"/>
                <w:color w:val="0000FF"/>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ements_cash_f">
              <w:r>
                <w:rPr>
                  <w:rStyle w:val="InternetLink"/>
                  <w:rFonts w:ascii="Times New Roman" w:hAnsi="Times New Roman"/>
                  <w:color w:val="0000FF"/>
                  <w:sz w:val="20"/>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toconsolidatedfinancialstatemen">
              <w:r>
                <w:rPr>
                  <w:rStyle w:val="InternetLink"/>
                  <w:rFonts w:ascii="Times New Roman" w:hAnsi="Times New Roman"/>
                  <w:color w:val="0000FF"/>
                  <w:sz w:val="20"/>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color w:val="0000FF"/>
                  <w:sz w:val="22"/>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
              <w:r>
                <w:rPr>
                  <w:rStyle w:val="InternetLink"/>
                  <w:rFonts w:ascii="Times New Roman" w:hAnsi="Times New Roman"/>
                  <w:color w:val="0000FF"/>
                  <w:sz w:val="20"/>
                </w:rPr>
                <w:t xml:space="preserve">Unregistered Sales of Equity Securities and 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80"/>
                  <w:sz w:val="20"/>
                </w:rPr>
                <w:t>Exhibits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CAUTIONARY STATEMENT REGARDING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(this “Quarterly Report”)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pStyle w:val="TextBody"/>
        <w:bidi w:val="0"/>
        <w:jc w:val="both"/>
        <w:rPr>
          <w:rFonts w:ascii="Times New Roman" w:hAnsi="Times New Roman"/>
          <w:sz w:val="20"/>
        </w:rPr>
      </w:pPr>
      <w:r>
        <w:rPr>
          <w:rFonts w:ascii="Times New Roman" w:hAnsi="Times New Roman"/>
          <w:i/>
          <w:color w:val="000000"/>
          <w:sz w:val="20"/>
        </w:rPr>
        <w:t>These statements include, without limitation, statements about our anticipated expenditures, including research and development, and general and administrative expenses; our intent to regain and maintain compliance with Nasdaq listing standards;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our ability to satisfy our obligations under the terms of our capital raising transactions including registering shares issuable in such transactions; portions of the “Liquidity and Capital Resources” section of this “Quarterly Report” including our potential need for additional financing and the availability thereof; our ability to integrate into our business and operations, develop, fully utilize and monetize acquired assets; our ability to continue as a going concern;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and a material security breach or cyber security attack affecting our operations and property.</w:t>
      </w:r>
      <w:r>
        <w:rPr>
          <w:rFonts w:ascii="Times New Roman" w:hAnsi="Times New Roman"/>
          <w:color w:val="000000"/>
          <w:sz w:val="20"/>
        </w:rPr>
        <w:t xml:space="preserve"> </w:t>
      </w:r>
    </w:p>
    <w:p>
      <w:pPr>
        <w:pStyle w:val="TextBody"/>
        <w:bidi w:val="0"/>
        <w:jc w:val="both"/>
        <w:rPr>
          <w:rFonts w:ascii="Times New Roman" w:hAnsi="Times New Roman"/>
          <w:i/>
          <w:color w:val="000000"/>
          <w:sz w:val="20"/>
        </w:rPr>
      </w:pPr>
      <w:r>
        <w:rPr>
          <w:rFonts w:ascii="Times New Roman" w:hAnsi="Times New Roman"/>
          <w:i/>
          <w:color w:val="000000"/>
          <w:sz w:val="20"/>
        </w:rPr>
        <w:t>Our actual results may differ, including materially, from those anticipated in these forward-looking statements as a result of various factors, including, but not limited to, the following: our ability to remain listed on Nasdaq;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“Quarterly Report” are also subject to a number of additional material risks and uncertainties, including but not limited to the risks described under “Part I – Item 1A – Risk Factors” in our Annual Report on Form 10-K for the year ended December 31, 2024, filed with the Securities and Exchange Commission (the “SEC”) on March 31, 2025 and under “Part II – Item 1A – Risk Factors” in this Quarterly Report. These risks and uncertainties could cause actual results to differ materially from expectations or those expressed in these forward-looking statements.</w:t>
      </w:r>
    </w:p>
    <w:p>
      <w:pPr>
        <w:pStyle w:val="TextBody"/>
        <w:bidi w:val="0"/>
        <w:jc w:val="both"/>
        <w:rPr>
          <w:rFonts w:ascii="Times New Roman" w:hAnsi="Times New Roman"/>
          <w:sz w:val="20"/>
        </w:rPr>
      </w:pPr>
      <w:r>
        <w:rPr>
          <w:rFonts w:ascii="Times New Roman" w:hAnsi="Times New Roman"/>
          <w:i/>
          <w:color w:val="000000"/>
          <w:sz w:val="20"/>
        </w:rPr>
        <w:t>We caution you not to place undue reliance on the forward-looking statements contained in this “Quarterly Report”. These statements, like all statements in this report, speak only as of the date of this report (unless an earlier date is indicated) and the Company undertakes no obligation to update or revise the statements except as required by law. Such forward-looking statements are not guarantees of future performance.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solidated_condens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 data)</w:t>
      </w:r>
    </w:p>
    <w:tbl>
      <w:tblPr>
        <w:tblW w:w="10205" w:type="dxa"/>
        <w:jc w:val="left"/>
        <w:tblInd w:w="0" w:type="dxa"/>
        <w:tblLayout w:type="fixed"/>
        <w:tblCellMar>
          <w:top w:w="28" w:type="dxa"/>
          <w:left w:w="28" w:type="dxa"/>
          <w:bottom w:w="28" w:type="dxa"/>
          <w:right w:w="28" w:type="dxa"/>
        </w:tblCellMar>
      </w:tblPr>
      <w:tblGrid>
        <w:gridCol w:w="6844"/>
        <w:gridCol w:w="146"/>
        <w:gridCol w:w="222"/>
        <w:gridCol w:w="888"/>
        <w:gridCol w:w="166"/>
        <w:gridCol w:w="146"/>
        <w:gridCol w:w="236"/>
        <w:gridCol w:w="943"/>
        <w:gridCol w:w="614"/>
      </w:tblGrid>
      <w:tr>
        <w:trPr/>
        <w:tc>
          <w:tcPr>
            <w:tcW w:w="6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right-use-of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1,952 shares issued and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100,000,000 shares authorized; 17,258,051 and 16,999,626 issued and outstanding at March 31, 2025, and 6,154,758 issued and 5,896,333 outstanding as of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258,425 shares 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485,024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(493,479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condens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80"/>
        <w:gridCol w:w="146"/>
        <w:gridCol w:w="231"/>
        <w:gridCol w:w="1138"/>
        <w:gridCol w:w="182"/>
        <w:gridCol w:w="160"/>
        <w:gridCol w:w="231"/>
        <w:gridCol w:w="1023"/>
        <w:gridCol w:w="814"/>
      </w:tblGrid>
      <w:tr>
        <w:trPr/>
        <w:tc>
          <w:tcPr>
            <w:tcW w:w="6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(17,401</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 average shares used in calculating net loss per share</w:t>
              <w:br/>
              <w:t>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14,566,724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4,321,731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6" w:name="consolidated_condensed_statm_stock_equit"/>
      <w:bookmarkEnd w:id="6"/>
      <w:r>
        <w:rPr>
          <w:rFonts w:ascii="Times New Roman" w:hAnsi="Times New Roman"/>
          <w:b/>
          <w:color w:val="000000"/>
          <w:sz w:val="20"/>
        </w:rPr>
        <w:t>CONDENSED CONSOLIDATED STATEMENTS OF STOCKHOLDERS’ EQUITY/(DEFICIT)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316" w:type="dxa"/>
        <w:jc w:val="left"/>
        <w:tblInd w:w="0" w:type="dxa"/>
        <w:tblLayout w:type="fixed"/>
        <w:tblCellMar>
          <w:top w:w="28" w:type="dxa"/>
          <w:left w:w="28" w:type="dxa"/>
          <w:bottom w:w="28" w:type="dxa"/>
          <w:right w:w="28" w:type="dxa"/>
        </w:tblCellMar>
      </w:tblPr>
      <w:tblGrid>
        <w:gridCol w:w="931"/>
        <w:gridCol w:w="146"/>
        <w:gridCol w:w="436"/>
        <w:gridCol w:w="146"/>
        <w:gridCol w:w="146"/>
        <w:gridCol w:w="181"/>
        <w:gridCol w:w="169"/>
        <w:gridCol w:w="402"/>
        <w:gridCol w:w="146"/>
        <w:gridCol w:w="146"/>
        <w:gridCol w:w="146"/>
        <w:gridCol w:w="766"/>
        <w:gridCol w:w="146"/>
        <w:gridCol w:w="181"/>
        <w:gridCol w:w="169"/>
        <w:gridCol w:w="402"/>
        <w:gridCol w:w="146"/>
        <w:gridCol w:w="146"/>
        <w:gridCol w:w="146"/>
        <w:gridCol w:w="631"/>
        <w:gridCol w:w="151"/>
        <w:gridCol w:w="181"/>
        <w:gridCol w:w="159"/>
        <w:gridCol w:w="412"/>
        <w:gridCol w:w="151"/>
        <w:gridCol w:w="181"/>
        <w:gridCol w:w="149"/>
        <w:gridCol w:w="602"/>
        <w:gridCol w:w="151"/>
        <w:gridCol w:w="181"/>
        <w:gridCol w:w="163"/>
        <w:gridCol w:w="708"/>
        <w:gridCol w:w="151"/>
        <w:gridCol w:w="181"/>
        <w:gridCol w:w="181"/>
        <w:gridCol w:w="690"/>
        <w:gridCol w:w="19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4,522,656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(78,559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479,274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(480,501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4,522,656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(258,425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479,420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(483,762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6,154,758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(258,425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(493,479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6,535,731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Series B Warrants from May 2024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Exchange of warrants for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prefunded warrants and warrants for debt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4,069,738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17,258,051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(258,425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487,722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(510,880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(23,641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bookmarkStart w:id="7" w:name="consolidated_condens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315"/>
        <w:gridCol w:w="146"/>
        <w:gridCol w:w="296"/>
        <w:gridCol w:w="1001"/>
        <w:gridCol w:w="251"/>
        <w:gridCol w:w="221"/>
        <w:gridCol w:w="296"/>
        <w:gridCol w:w="864"/>
        <w:gridCol w:w="815"/>
      </w:tblGrid>
      <w:tr>
        <w:trPr/>
        <w:tc>
          <w:tcPr>
            <w:tcW w:w="6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(3,261</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deferred financing costs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3,211</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Reduction in the carrying amount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Increases (decreases) in cash caused by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Grant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Redemption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of term loan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line of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(3,703</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notes payable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common stock, prefunded warrants and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14,780</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9,791</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(5,653</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9,867</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flows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Exchange of warrants for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3,694</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Redemption of notes by issuance of common stock, prefunded warrants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Unpaid offering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notestoconsolidatedfinancialstatemen"/>
      <w:bookmarkEnd w:id="8"/>
      <w:r>
        <w:rPr>
          <w:rFonts w:ascii="Times New Roman" w:hAnsi="Times New Roman"/>
          <w:b/>
          <w:color w:val="000000"/>
          <w:sz w:val="20"/>
        </w:rPr>
        <w:t>PLUS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March 31,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Basis of Presentation and New Accounting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for the three months ended March 31, 2025 and 2024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consolidated balance sheet at December 31, 2024 has been derived from the audited consolidated financial statements at December 31, 2024,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(the “Company”) have been included. Operating results for the three months ended March 31, 2025 are not necessarily indicative of the results that may be expected for the year ending December 31, 2025. These condensed consolidated financial statements should be read in conjunction with the consolidated financial statements and notes therein included in the Company’s Annual Report on Form 10-K for the year ended December 31, 2024, filed with the Securities and Exchange Commission on March 31, 2025.</w:t>
      </w:r>
    </w:p>
    <w:p>
      <w:pPr>
        <w:pStyle w:val="TextBody"/>
        <w:bidi w:val="0"/>
        <w:spacing w:before="120" w:after="283"/>
        <w:jc w:val="both"/>
        <w:rPr>
          <w:rFonts w:ascii="Times New Roman" w:hAnsi="Times New Roman"/>
          <w:sz w:val="20"/>
        </w:rPr>
      </w:pPr>
      <w:r>
        <w:rPr>
          <w:rFonts w:ascii="Times New Roman" w:hAnsi="Times New Roman"/>
          <w:b/>
          <w:color w:val="000000"/>
          <w:sz w:val="20"/>
        </w:rPr>
        <w:t>Grant Revenue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each grant, the Company determines if it has a collaboration in accordance with ASC Topic 808, Collaborative Arrangements (“ASC 808”). For grants outside the scope of ASC 808, the Company applies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considers the guidance in ASC Topic 730, Research and Development, which requires an assessment, at the inception of each grant, of whether each grant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Warrants are accounted for as either derivative liabilities or as equity instruments depending on the specific terms of the agreement in accordance with applicable accounting guidance provided in ASC Topic 815 - Derivatives and Hedging.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derivative liabilities in the condensed consolidated statements of operations. The Company periodically evaluates changes in facts and circumstances that could impact the classification of warrants.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Financial Accounting Standards Board (the “FASB”) issued Accounting Standards Update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The Company adopted this ASU as of January 1, 2025 which did not have a material impact on the Company’s consolidated financial statements and related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January 1, 2028. The Company is in the process of analyzing the impact that the adoption of ASU 2024-03 will have on its disclosures.</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2. 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estimating fair value of its derivative instruments, reviewing assets for impairment and determining the assumptions used in measuring stock-based compensation expense. </w:t>
      </w:r>
    </w:p>
    <w:p>
      <w:pPr>
        <w:pStyle w:val="TextBody"/>
        <w:bidi w:val="0"/>
        <w:jc w:val="left"/>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3. 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incurred a net loss of $17.4 million for the three months ended March 31, 2025. The Company had an accumulated deficit of $510.9 million as of March 31, 2025. Additionally, the Company used net cash of $6.2 million to fund its operating activities for the three months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Company’s operating losses have been funded primarily from outside sources of invested capital from issuance of its common stock, preferred stock, convertible notes and warrants, proceeds from its term loan, line of credit and grant funding. However, the Company has had, and will continue to have, an ongoing need to raise additional cash from outside sources to fund its future clinical development programs and other operations. There can be no assurance that the Company will be able to continue to raise additional capital in the future. The Company’s inability to raise additional cash would have a material and adverse impact on its operations. These factors raise substantial doubt about the Company’s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in more detail in Note 12, the Company has entered into various financing agreements and raised capital by issuing convertible notes, its common stock, preferred stock and warrants to purchase its common stock. </w:t>
      </w:r>
    </w:p>
    <w:p>
      <w:pPr>
        <w:pStyle w:val="TextBody"/>
        <w:bidi w:val="0"/>
        <w:spacing w:before="120" w:after="283"/>
        <w:jc w:val="both"/>
        <w:rPr>
          <w:rFonts w:ascii="Times New Roman" w:hAnsi="Times New Roman"/>
          <w:sz w:val="20"/>
        </w:rPr>
      </w:pPr>
      <w:r>
        <w:rPr>
          <w:rFonts w:ascii="Times New Roman" w:hAnsi="Times New Roman"/>
          <w:i/>
          <w:color w:val="000000"/>
          <w:sz w:val="20"/>
        </w:rPr>
        <w:t>Nasdaq Listing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8, 2024, the Company received a written notice (the “Notice”) from the Listing Qualifications staff (the “Staff”) of The Nasdaq Stock Market LLC (the “Nasdaq)”), notifying the Company that it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5, 2024, Nasdaq notified the Company that it had not regained compliance with Nasdaq Listing Rule 5550(b)(1). The Company requested a hearing before the Nasdaq hearing panel (“Panel”), and on October 30, 2024, the Company received a decision from the Panel, notifying the Company that it had until March 4, 2025, to demonstrate compliance with the Minimum Stockholders’ Equity Requirement.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7, 2025, the Company received notification from Nasdaq that it had regained compliance with the Minimum Stockholders’ Equity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Nasdaq Listing Rule 5815(d)(4)(B), the Company will be subject to a Mandatory Panel Monitor until March 7, 2026. If the Staff finds the Company again out of compliance with the Minimum Stockholders’ Equity Requirement before that date, the Company would not be permitted to provide the Staff with a plan of compliance with respect to that deficiency and the Staff would not be permitted to grant additional time for the Company to regain compliance with respect to that deficiency, nor would the Company be afforded an applicable cure or compliance period. Instead, the Staff would issue a “Delist Determination Letter” and the Company would have an opportunity to request a Nasdaq hearing panel regarding its continued listing.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on May 16, 2025, the Company received notice from Nasdaq that, because the closing bid price for the Company’s common stock has fallen below $1.00 per share for 30 consecutive business days, the Company no longer complies with the minimum bid price requirement pursuant to Nasdaq Listing Rule 5550(a)(2) (the “Minimum Bid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Nasdaq’s Minimum Bid Requirement notice has no immediate effect on the listing or trading of the Company’s common stock. Pursuant to Nasdaq Listing Rule 5810(c)(3)(A), the Company is provided an initial compliance period of 180 calendar days, or until November 12, 2025, to regain compliance with the Minimum Bid Requirement. To regain compliance, the closing bid price of the Company’s common stock must meet or exceed $1.00 per share for a minimum of 10 consecutive business days prior to November 12,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Company does not achieve compliance with the Minimum Bid Requirement by November 12, 2025, the Company may be eligible for an additional 180 calendar days to regain compliance. To qualify, the Company would be required to meet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Nasdaq staff determines that the Company will not be able to cure the deficiency, or if the Company is otherwise not eligible for such additional compliance period, Nasdaq will provide notice that the Company’s common stock will be subject to delisting. In the event the Company receives notice that its common stock is being delisted, Nasdaq rules permit the Company to appeal any delisting determination by the Nasdaq staff.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2, 2025, the stockholders granted discretionary authority to the Company’s board of directors to (i) amend the Company’s Certificate of Incorporation to combine outstanding shares of the Company’s common stock into a lesser number of outstanding shares, or a “reverse stock split,” at a specific ratio within a range of one-for twenty five (1-for-25) to a maximum of one-for-two hundred fifty (1-for-250), with the exact ratio to be determined by the board of directors in its sole discretion; and (ii) effect the reverse stock split, if at all, within twelve (12) months of the date the proposal is approved by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21, 2025, the Company received a notice from the Nasdaq staff that, as a result of the Company’s delay in filing its Quarterly Report on Form 10-Q for the period ended March 31, 2025, the Company was not in compliance with Nasdaq Listing Rule 5250(c)(1) (the “Rule”), which requires Nasdaq-listed companies to timely file all required periodic financial reports with the U.S. Securities and Exchange Commission (the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notice states that the Company has until July 21, 2025, to submit to Nasdaq an update to its plan to regain compliance with the Rule. The notice also indicates that any additional exception to allow the Company to regain compliance with all delinquent filings will be limited to up to 180 calendar days from the due date of the filing, or until November 17, 2025. The notice has no immediate effect on the listing of the Company’s securities on Nasdaq.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can be no assurance that the Company will be able to regain compliance with the Minimum Bid Requirement, or maintain compliance with the other listing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continues to seek additional capital from other financing alternatives and other sources in order to ensure adequate funding is available to allow the Company to continue research and product development activities. If sufficient capital is not raised, the Company will at a minimum need to significantly reduce or curtail its research and development and other operations, and this would negatively affect its ability to achieve corporate growth goals.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Should the Company fail to raise additional cash, it would have a material adverse impact on its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240" w:after="283"/>
        <w:jc w:val="left"/>
        <w:rPr>
          <w:rFonts w:ascii="Times New Roman" w:hAnsi="Times New Roman"/>
          <w:sz w:val="20"/>
        </w:rPr>
      </w:pPr>
      <w:r>
        <w:rPr>
          <w:rFonts w:ascii="Times New Roman" w:hAnsi="Times New Roman"/>
          <w:b/>
          <w:color w:val="000000"/>
          <w:sz w:val="20"/>
        </w:rPr>
        <w:t>4. Fair</w:t>
      </w:r>
      <w:r>
        <w:rPr>
          <w:rFonts w:ascii="Times New Roman" w:hAnsi="Times New Roman"/>
          <w:color w:val="000000"/>
          <w:sz w:val="20"/>
        </w:rPr>
        <w:t xml:space="preserve"> </w:t>
      </w:r>
      <w:r>
        <w:rPr>
          <w:rFonts w:ascii="Times New Roman" w:hAnsi="Times New Roman"/>
          <w:b/>
          <w:color w:val="000000"/>
          <w:sz w:val="20"/>
        </w:rPr>
        <w:t>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2: Quoted prices for similar assets or liabilities in active markets; quoted prices for identical or similar instruments in markets that are not active; and model-derived valuations in which all significant inputs are observable in active markets.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Valuations derived from valuation techniques in which one or more significant inputs are unobservable in active markets.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Assets recorded at fair value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investments in money market accounts, which are included in cash and cash equivalents on the consolidated balance sheets. Fair value inputs for these investments are considered Level 1 measurements within the fair value hierarchy since money market account fair values are known and observable through daily published floating net asset values.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2024, the Company had total investments of $3.5 million of money market accounts, treasury bills, and government agency bonds, with total amortized cost and fair value of $3.5 million. These investments are collateralized marketable securities. As of December 31, 2024, the Company classified available-for-sales as short-term investments in the condensed consolidated balance sheet because the maturity dates were less than one year from the date of the purchase.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Company’s fair value hierarchy for its financial assets measured at fair value on a recurring basis as of March 31, 2025 and December 31, 2024, respectively (in thousands). </w:t>
      </w:r>
    </w:p>
    <w:p>
      <w:pPr>
        <w:pStyle w:val="TextBody"/>
        <w:bidi w:val="0"/>
        <w:jc w:val="both"/>
        <w:rPr/>
      </w:pPr>
      <w:r>
        <w:rPr/>
        <w:t> </w:t>
      </w:r>
    </w:p>
    <w:tbl>
      <w:tblPr>
        <w:tblW w:w="6904" w:type="dxa"/>
        <w:jc w:val="left"/>
        <w:tblInd w:w="0" w:type="dxa"/>
        <w:tblLayout w:type="fixed"/>
        <w:tblCellMar>
          <w:top w:w="28" w:type="dxa"/>
          <w:left w:w="28" w:type="dxa"/>
          <w:bottom w:w="28" w:type="dxa"/>
          <w:right w:w="28" w:type="dxa"/>
        </w:tblCellMar>
      </w:tblPr>
      <w:tblGrid>
        <w:gridCol w:w="3301"/>
        <w:gridCol w:w="253"/>
        <w:gridCol w:w="662"/>
        <w:gridCol w:w="146"/>
        <w:gridCol w:w="196"/>
        <w:gridCol w:w="511"/>
        <w:gridCol w:w="146"/>
        <w:gridCol w:w="196"/>
        <w:gridCol w:w="511"/>
        <w:gridCol w:w="146"/>
        <w:gridCol w:w="233"/>
        <w:gridCol w:w="412"/>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Using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2025</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presented in cash equivalents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Using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Cash equivalents</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Investments</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bills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Government agency bonds</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Total Investments</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i/>
          <w:color w:val="000000"/>
          <w:sz w:val="20"/>
        </w:rPr>
        <w:t>Liabilities recorded at fair value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detailed in Note 12 below, the Company elected to account for convertible notes (consisting of funding notes and exchange notes) issued on February 13, 2025 at fair value as of the issuance date and immediately before settlement date of March 4, 2025. The convertible notes are valued using the binomial lattice model with the following key level 3 inputs: </w:t>
      </w:r>
    </w:p>
    <w:p>
      <w:pPr>
        <w:pStyle w:val="TextBody"/>
        <w:bidi w:val="0"/>
        <w:jc w:val="both"/>
        <w:rPr/>
      </w:pPr>
      <w:r>
        <w:rPr/>
        <w:t> </w:t>
      </w:r>
    </w:p>
    <w:tbl>
      <w:tblPr>
        <w:tblW w:w="5620" w:type="dxa"/>
        <w:jc w:val="left"/>
        <w:tblInd w:w="0" w:type="dxa"/>
        <w:tblLayout w:type="fixed"/>
        <w:tblCellMar>
          <w:top w:w="28" w:type="dxa"/>
          <w:left w:w="28" w:type="dxa"/>
          <w:bottom w:w="28" w:type="dxa"/>
          <w:right w:w="28" w:type="dxa"/>
        </w:tblCellMar>
      </w:tblPr>
      <w:tblGrid>
        <w:gridCol w:w="2371"/>
        <w:gridCol w:w="146"/>
        <w:gridCol w:w="406"/>
        <w:gridCol w:w="899"/>
        <w:gridCol w:w="271"/>
        <w:gridCol w:w="146"/>
        <w:gridCol w:w="286"/>
        <w:gridCol w:w="779"/>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settlement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 - 4.28%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provides a roll forward of the fair value of the convertible notes (in thousands): </w:t>
      </w:r>
    </w:p>
    <w:p>
      <w:pPr>
        <w:pStyle w:val="TextBody"/>
        <w:bidi w:val="0"/>
        <w:jc w:val="both"/>
        <w:rPr/>
      </w:pPr>
      <w:r>
        <w:rPr/>
        <w:t> </w:t>
      </w:r>
    </w:p>
    <w:tbl>
      <w:tblPr>
        <w:tblW w:w="6505" w:type="dxa"/>
        <w:jc w:val="left"/>
        <w:tblInd w:w="0" w:type="dxa"/>
        <w:tblLayout w:type="fixed"/>
        <w:tblCellMar>
          <w:top w:w="28" w:type="dxa"/>
          <w:left w:w="28" w:type="dxa"/>
          <w:bottom w:w="28" w:type="dxa"/>
          <w:right w:w="28" w:type="dxa"/>
        </w:tblCellMar>
      </w:tblPr>
      <w:tblGrid>
        <w:gridCol w:w="3421"/>
        <w:gridCol w:w="146"/>
        <w:gridCol w:w="289"/>
        <w:gridCol w:w="866"/>
        <w:gridCol w:w="166"/>
        <w:gridCol w:w="146"/>
        <w:gridCol w:w="315"/>
        <w:gridCol w:w="945"/>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Funding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detailed in Note 12 below, the Company issued March 2025 Series A and March 2025 Series B common stock warrants in connection with the March 2025 Private Placement. The March 2025 Series A and March 2025 Series B common stock warrants are accounted for as liability at fair value, using the Monte Carlo simulation, with the following key level 3 inputs: </w:t>
      </w:r>
    </w:p>
    <w:tbl>
      <w:tblPr>
        <w:tblW w:w="5290" w:type="dxa"/>
        <w:jc w:val="left"/>
        <w:tblInd w:w="0" w:type="dxa"/>
        <w:tblLayout w:type="fixed"/>
        <w:tblCellMar>
          <w:top w:w="28" w:type="dxa"/>
          <w:left w:w="28" w:type="dxa"/>
          <w:bottom w:w="28" w:type="dxa"/>
          <w:right w:w="28" w:type="dxa"/>
        </w:tblCellMar>
      </w:tblPr>
      <w:tblGrid>
        <w:gridCol w:w="2011"/>
        <w:gridCol w:w="146"/>
        <w:gridCol w:w="186"/>
        <w:gridCol w:w="729"/>
        <w:gridCol w:w="271"/>
        <w:gridCol w:w="146"/>
        <w:gridCol w:w="302"/>
        <w:gridCol w:w="1183"/>
        <w:gridCol w:w="31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the February 2025 Warrants issued in connection with the Funding Notes were required to be classified as liability and recorded at fair value. The Company estimated the fair value of the February 2025 Warrants using the Black Scholes model at issuance as of February 13, 2025 and as of redemption date of March 4, 2025, using the following level 3 inputs: </w:t>
      </w:r>
    </w:p>
    <w:p>
      <w:pPr>
        <w:pStyle w:val="TextBody"/>
        <w:bidi w:val="0"/>
        <w:jc w:val="both"/>
        <w:rPr/>
      </w:pPr>
      <w:r>
        <w:rPr/>
        <w:t> </w:t>
      </w:r>
    </w:p>
    <w:tbl>
      <w:tblPr>
        <w:tblW w:w="5230" w:type="dxa"/>
        <w:jc w:val="left"/>
        <w:tblInd w:w="0" w:type="dxa"/>
        <w:tblLayout w:type="fixed"/>
        <w:tblCellMar>
          <w:top w:w="28" w:type="dxa"/>
          <w:left w:w="28" w:type="dxa"/>
          <w:bottom w:w="28" w:type="dxa"/>
          <w:right w:w="28" w:type="dxa"/>
        </w:tblCellMar>
      </w:tblPr>
      <w:tblGrid>
        <w:gridCol w:w="2371"/>
        <w:gridCol w:w="146"/>
        <w:gridCol w:w="285"/>
        <w:gridCol w:w="630"/>
        <w:gridCol w:w="271"/>
        <w:gridCol w:w="146"/>
        <w:gridCol w:w="286"/>
        <w:gridCol w:w="779"/>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settlement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provides a roll forward of the fair value of liability classified common stock warrants during the quarter ended March 31, 2025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23"/>
        <w:gridCol w:w="408"/>
        <w:gridCol w:w="1223"/>
        <w:gridCol w:w="166"/>
        <w:gridCol w:w="146"/>
        <w:gridCol w:w="516"/>
        <w:gridCol w:w="1405"/>
        <w:gridCol w:w="146"/>
        <w:gridCol w:w="146"/>
        <w:gridCol w:w="459"/>
        <w:gridCol w:w="1473"/>
        <w:gridCol w:w="146"/>
        <w:gridCol w:w="146"/>
        <w:gridCol w:w="211"/>
        <w:gridCol w:w="676"/>
        <w:gridCol w:w="215"/>
      </w:tblGrid>
      <w:tr>
        <w:trPr/>
        <w:tc>
          <w:tcPr>
            <w:tcW w:w="27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2025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2025 Series A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2025 Series B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2025</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2025</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or if-converted method, as applicable. Potential common shares were related to outstanding but unexercised options, multiple series of convertible preferred stock, and warrants for all periods presented. Pre-funded warrants totaling 23,972,400 were included in the weighted average shares outstanding (as of the beginning of the period or the date of the grant, whichever is earlier) in the computation of basic and dilutive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March 2025 Series A Warrants and March 2025 Series B Warrants (and for the period in which the February 2025 Warrants, Funded Notes, and Exchange Notes were outstanding) are participating securities because holders of such instruments participate in the event a dividend is paid on common stock, however such holders do not have a contractual obligation to share in the Company’s losses. As such, losses are attributed entirely to common stockholders.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provides a summary of instruments where underlying shares issuable upon exercise or conversion were excluded from the diluted loss per share calculation for the periods presented because their effect would be anti-dilutive. Additionally, the shares underlying the February 2025 Warrants, Funding Notes and Exchange Notes, each outstanding during the three months ended March 31, 2025, were excluded from diluted loss per share as their effect would be anti-dilutive. </w:t>
      </w:r>
    </w:p>
    <w:p>
      <w:pPr>
        <w:pStyle w:val="TextBody"/>
        <w:bidi w:val="0"/>
        <w:jc w:val="both"/>
        <w:rPr/>
      </w:pPr>
      <w:r>
        <w:rPr/>
        <w:t> </w:t>
      </w:r>
    </w:p>
    <w:tbl>
      <w:tblPr>
        <w:tblW w:w="5289" w:type="dxa"/>
        <w:jc w:val="left"/>
        <w:tblInd w:w="0" w:type="dxa"/>
        <w:tblLayout w:type="fixed"/>
        <w:tblCellMar>
          <w:top w:w="28" w:type="dxa"/>
          <w:left w:w="28" w:type="dxa"/>
          <w:bottom w:w="28" w:type="dxa"/>
          <w:right w:w="28" w:type="dxa"/>
        </w:tblCellMar>
      </w:tblPr>
      <w:tblGrid>
        <w:gridCol w:w="2656"/>
        <w:gridCol w:w="146"/>
        <w:gridCol w:w="146"/>
        <w:gridCol w:w="931"/>
        <w:gridCol w:w="146"/>
        <w:gridCol w:w="146"/>
        <w:gridCol w:w="146"/>
        <w:gridCol w:w="78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In addition, as described in more detail in Note 12, the Company issued March 2025 Series A Warrants and March 2025 Series B Warrants on March 4, 2025 in connection with the March 2025 Private Placement. The March 2025 Series A Warrants and March 2025 Series B Warrants were subject to stockholder approval as of March 31, 2025. Consequently, they were excluded from net loss per share calculation for the three months ended March 31, 2025. If they were included in the diluted loss per share calculation, the effect would have been anti-dilutive. Refer to Note 12 for warrant details. </w:t>
      </w:r>
    </w:p>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6. Grant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CPRIT Grant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 xml:space="preserve">On September 19, 2022, the Company entered into that certain </w:t>
      </w:r>
      <w:r>
        <w:rPr>
          <w:rFonts w:ascii="Times New Roman" w:hAnsi="Times New Roman"/>
          <w:color w:val="231F20"/>
          <w:sz w:val="20"/>
        </w:rPr>
        <w:t>Cancer Research Grant Contract (the “CPRIT Contract”), effective as of August 31, 2022,</w:t>
      </w:r>
      <w:r>
        <w:rPr>
          <w:rFonts w:ascii="Times New Roman" w:hAnsi="Times New Roman"/>
          <w:color w:val="000000"/>
          <w:sz w:val="20"/>
        </w:rPr>
        <w:t xml:space="preserve"> with the </w:t>
      </w:r>
      <w:r>
        <w:rPr>
          <w:rFonts w:ascii="Times New Roman" w:hAnsi="Times New Roman"/>
          <w:color w:val="231F20"/>
          <w:sz w:val="20"/>
        </w:rPr>
        <w:t>Cancer Prevention and Research Institute of Texas (“CPRIT”)</w:t>
      </w:r>
      <w:r>
        <w:rPr>
          <w:rFonts w:ascii="Times New Roman" w:hAnsi="Times New Roman"/>
          <w:color w:val="000000"/>
          <w:sz w:val="20"/>
        </w:rPr>
        <w:t xml:space="preserve">, pursuant to which CPRIT provides the Company with a CPRIT grant (“CPRIT Grant”) over a three-year period to fund the continued development of REYOBIQ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REYOBIQ based on specific dollar thresholds and tiered low single digit royalty rates until CPRIT receives the aggregate amount of 400% of the proceeds awarded under the CPRIT Grant, and certain reporting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$1.1 million and $1.7 million in grant revenue from the CPRIT Contract during the three months ended March 31, 2025 and 2024, respectively. As of March 31, 2025, the Company had $0.4 million of deferred grant liability related to the CPRIT Grant. As of December 31, 2024, the Company had $0.6 million of grant revenue receivable related to the CPRIT Grant. </w:t>
      </w:r>
    </w:p>
    <w:p>
      <w:pPr>
        <w:pStyle w:val="TextBody"/>
        <w:bidi w:val="0"/>
        <w:spacing w:before="120" w:after="283"/>
        <w:jc w:val="both"/>
        <w:rPr>
          <w:rFonts w:ascii="Times New Roman" w:hAnsi="Times New Roman"/>
          <w:sz w:val="20"/>
        </w:rPr>
      </w:pPr>
      <w:r>
        <w:rPr>
          <w:rFonts w:ascii="Times New Roman" w:hAnsi="Times New Roman"/>
          <w:i/>
          <w:color w:val="000000"/>
          <w:sz w:val="20"/>
        </w:rPr>
        <w:t>Department of Defense Award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On October 4, 2024, the Company received its first payment under the DoD Award in the amount of $0.9 million, which was recorded as deferred grant liability as of March 31, 2025 and December 31, 2024. As of December 31, 2024 and March 31, 2025, no grant revenue has been recognized related to the DoD Award.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leases certain office space in Charlottesville, Virginia (the “Charlottesville Lease”). The Charlottesville Lease expires on March 31, 2026.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Manufacturing Agreement with SpectronRX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5, 2024, the Company entered into a manufacturing services agreement with SpectronRx for drug product development and manufacturing, which includes an initial commitment fee of $0.3 million. Under this agreement, the Company will own all rights to intellectual property related to the products developed, while SpectronRx retains rights to its own technology. 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year ended December 31, 2024 and the three months ended March 31, 2025, the Company did not recognize any expenses related to this agreement. </w:t>
      </w:r>
    </w:p>
    <w:p>
      <w:pPr>
        <w:pStyle w:val="TextBody"/>
        <w:bidi w:val="0"/>
        <w:spacing w:before="40" w:after="283"/>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March 31, 2025, the Company did not have any clinical research study obligations.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service and subscription-based agreements, which are recorded in accounts payable and accrued expenses, with an offsetting amount included in deferred costs within other current assets.</w:t>
      </w:r>
    </w:p>
    <w:p>
      <w:pPr>
        <w:pStyle w:val="TextBody"/>
        <w:bidi w:val="0"/>
        <w:spacing w:before="120" w:after="283"/>
        <w:jc w:val="both"/>
        <w:rPr>
          <w:rFonts w:ascii="Times New Roman" w:hAnsi="Times New Roman"/>
          <w:sz w:val="20"/>
        </w:rPr>
      </w:pPr>
      <w:r>
        <w:rPr>
          <w:rFonts w:ascii="Times New Roman" w:hAnsi="Times New Roman"/>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Company is subject to legal proceedings and claims, whether asserted or unasserted, that arise in the ordinary course of business. Due to their nature, such legal proceedings involve inherent uncertainties including, but not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court rulings, negotiations between affected parties and governmental actions. Management assesses the probability of loss for such contingencies and accrues a liability and/or discloses the relevant circumstances, as appropriate. </w:t>
      </w:r>
    </w:p>
    <w:p>
      <w:pPr>
        <w:pStyle w:val="TextBody"/>
        <w:bidi w:val="0"/>
        <w:jc w:val="left"/>
        <w:rPr>
          <w:rFonts w:ascii="Times New Roman" w:hAnsi="Times New Roman"/>
          <w:sz w:val="20"/>
        </w:rPr>
      </w:pPr>
      <w:r>
        <w:rPr>
          <w:rFonts w:ascii="Times New Roman" w:hAnsi="Times New Roman"/>
          <w:b/>
          <w:color w:val="000000"/>
          <w:sz w:val="20"/>
        </w:rPr>
        <w:t>8. Composition of Certain Financial Statement Captions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other current assets were comprised of the following (in thousands):</w:t>
      </w:r>
    </w:p>
    <w:tbl>
      <w:tblPr>
        <w:tblW w:w="5355" w:type="dxa"/>
        <w:jc w:val="left"/>
        <w:tblInd w:w="0" w:type="dxa"/>
        <w:tblLayout w:type="fixed"/>
        <w:tblCellMar>
          <w:top w:w="28" w:type="dxa"/>
          <w:left w:w="28" w:type="dxa"/>
          <w:bottom w:w="28" w:type="dxa"/>
          <w:right w:w="28" w:type="dxa"/>
        </w:tblCellMar>
      </w:tblPr>
      <w:tblGrid>
        <w:gridCol w:w="1966"/>
        <w:gridCol w:w="146"/>
        <w:gridCol w:w="340"/>
        <w:gridCol w:w="920"/>
        <w:gridCol w:w="146"/>
        <w:gridCol w:w="146"/>
        <w:gridCol w:w="403"/>
        <w:gridCol w:w="1097"/>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 Line of Credit Facility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31, 2024, the Company drew down $3.3 million on a margin loan facility under a line of credit (the “Pershing Credit Facility”) with Pershing LLC (“Pershing”), an affiliate of The Bank of New York Mellon Corporation. The available credit line limit under the Pershing Credit Facility fluctuated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have required the Company from time-to-time to deposit additional funds or marketable securities in order to restore the level of collateral to an acceptable level. The amounts borrowed under the Pershing Credit Facility were due on demand. As of December 31, 2024, the Company held collateralized marketable securities with Pershing with a total value of $3.5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Borrowings under the Pershing Credit Facility bore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were calculated on a monthly basis and, unless paid, were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3, 2025, the Pershing Credit Facility was fully repaid and the collateralized marketable securities were fully redeemed. </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UT Health Science Center at San Antonio (“UTHSCSA”) License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pStyle w:val="TextBody"/>
        <w:bidi w:val="0"/>
        <w:spacing w:before="120" w:after="283"/>
        <w:jc w:val="both"/>
        <w:rPr>
          <w:rFonts w:ascii="Times New Roman" w:hAnsi="Times New Roman"/>
          <w:sz w:val="20"/>
        </w:rPr>
      </w:pPr>
      <w:r>
        <w:rPr>
          <w:rFonts w:ascii="Times New Roman" w:hAnsi="Times New Roman"/>
          <w:i/>
          <w:color w:val="000000"/>
          <w:sz w:val="20"/>
        </w:rPr>
        <w:t>NanoTx License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March 31, 2025, the Company accrued $0.3 million of payments due to NanoTx as a result of the CPRIT grant proceeds received (see Note 6, Grant Revenue of the condensed consolidated financial statements for additional information).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Biocept Asset Acquisitions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On April 26, 2024, the Company, after having its bid accepted by the United States Bankruptcy Court for the District of Delaware, acquired from Biocept, Inc. (“Biocept”), for a total cash payment of $400,000, substantially all of the right, title and interest in a cerebrospinal fluid cancer diagnostic portfolio (the “CNSide</w:t>
      </w:r>
      <w:r>
        <w:rPr>
          <w:rFonts w:ascii="Times New Roman" w:hAnsi="Times New Roman"/>
          <w:color w:val="000000"/>
          <w:sz w:val="13"/>
        </w:rPr>
        <w:t>TM</w:t>
      </w:r>
      <w:r>
        <w:rPr>
          <w:rFonts w:ascii="Times New Roman" w:hAnsi="Times New Roman"/>
          <w:color w:val="000000"/>
          <w:sz w:val="20"/>
        </w:rPr>
        <w:t xml:space="preserve"> Platform”), including (i) intellectual property, (ii) inventory and raw materials, and (iii) data, information, results and reports pertaining to the completed and on-going clinical studies involving the use of the CNSide</w:t>
      </w:r>
      <w:r>
        <w:rPr>
          <w:rFonts w:ascii="Times New Roman" w:hAnsi="Times New Roman"/>
          <w:color w:val="000000"/>
          <w:sz w:val="13"/>
        </w:rPr>
        <w:t>TM</w:t>
      </w:r>
      <w:r>
        <w:rPr>
          <w:rFonts w:ascii="Times New Roman" w:hAnsi="Times New Roman"/>
          <w:color w:val="000000"/>
          <w:sz w:val="20"/>
        </w:rPr>
        <w:t xml:space="preserve"> Platform (including, but not limited to, the FORESEE clinical study that was being conducted by Biocept), related to the development, making, selling, and exporting or importing of the CNSide</w:t>
      </w:r>
      <w:r>
        <w:rPr>
          <w:rFonts w:ascii="Times New Roman" w:hAnsi="Times New Roman"/>
          <w:color w:val="000000"/>
          <w:sz w:val="13"/>
        </w:rPr>
        <w:t>TM</w:t>
      </w:r>
      <w:r>
        <w:rPr>
          <w:rFonts w:ascii="Times New Roman" w:hAnsi="Times New Roman"/>
          <w:color w:val="000000"/>
          <w:sz w:val="20"/>
        </w:rPr>
        <w:t xml:space="preserve"> proprietary cell enumeration test (the “CNSide</w:t>
      </w:r>
      <w:r>
        <w:rPr>
          <w:rFonts w:ascii="Times New Roman" w:hAnsi="Times New Roman"/>
          <w:color w:val="000000"/>
          <w:sz w:val="13"/>
        </w:rPr>
        <w:t>TM</w:t>
      </w:r>
      <w:r>
        <w:rPr>
          <w:rFonts w:ascii="Times New Roman" w:hAnsi="Times New Roman"/>
          <w:color w:val="000000"/>
          <w:sz w:val="20"/>
        </w:rPr>
        <w:t xml:space="preserve"> Test”).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concluded that the acquisition of the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acquisitions of approximately $45,000 among the assets acquired based on the relative fair value of such assets, which is predominately concentrated in the intellectual property acquired including patents and trademarks. The intangible assets acquired from Biocept are capitalized and amortized over a useful life of four years.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authorized 5,000,000 shares of preferred stock, par value $0.001 per share. The Company’s board of directors is authorized to designate the terms and conditions of any preferred stock the Company issues without further action by the common stockholders. </w:t>
      </w:r>
    </w:p>
    <w:p>
      <w:pPr>
        <w:pStyle w:val="TextBody"/>
        <w:bidi w:val="0"/>
        <w:spacing w:before="120" w:after="283"/>
        <w:jc w:val="left"/>
        <w:rPr>
          <w:rFonts w:ascii="Times New Roman" w:hAnsi="Times New Roman"/>
          <w:sz w:val="20"/>
        </w:rPr>
      </w:pPr>
      <w:r>
        <w:rPr>
          <w:rFonts w:ascii="Times New Roman" w:hAnsi="Times New Roman"/>
          <w:i/>
          <w:color w:val="000000"/>
          <w:sz w:val="20"/>
        </w:rPr>
        <w:t>Series B and C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2025, there were 938 outstanding shares of Series C Preferred Stock that can be converted into an aggregate of 27,792 shares of common stock, and 1,014 shares of Series B Convertible Preferred Stock that can be converted into an aggregate of 398 shares of common stock. </w:t>
      </w:r>
    </w:p>
    <w:p>
      <w:pPr>
        <w:pStyle w:val="TextBody"/>
        <w:bidi w:val="0"/>
        <w:spacing w:before="120" w:after="283"/>
        <w:jc w:val="both"/>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February 2025 SPEA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13, 2025 (the “February 2025 Closing Date”), the Company entered into a Securities Purchase and Exchange Agreement (the “February 2025 SPEA”) with certain existing accredited investors (the “February 2025 Purchasers”). Pursuant to the February 2025 SPEA, on the February 2025 Closing Date the Company issued secured convertible promissory notes (the “Funding Notes”) in the aggregate principal amount of $3.3 million together with common stock purchase warrants (the “February 2025 Warrants”) to purchase 3,002,009 shares of the Company common stock, par value $0.001 (the “Common Stock”) at an exercise price of $1.12 per share (the “February 2025 Warrant Exercise Price”). The aggregate purchase price for the Funding Notes and the February 2025 Warrants was approximately $3.7 million (the “Aggregate Purchase Price”) and included proceeds from the February 2025 Purchasers of $0.125 per February 2025 Warrant in accordance with Nasdaq listing rules. The Funding Notes would mature on February 13, 2026, and bore interest at a rate of 10% per annum, subject to increase upon events of default. The February 2025 Warrants were exercisable for five-years from the date of issuance.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Funding Notes, accrued interest and February 2025 warrants were repurchased by the Company subsequent to consummation of the March 2025 Private Placement for proceeds of $4.2 million. </w:t>
      </w:r>
    </w:p>
    <w:p>
      <w:pPr>
        <w:pStyle w:val="TextBody"/>
        <w:bidi w:val="0"/>
        <w:spacing w:before="120" w:after="283"/>
        <w:jc w:val="both"/>
        <w:rPr>
          <w:rFonts w:ascii="Times New Roman" w:hAnsi="Times New Roman"/>
          <w:sz w:val="20"/>
        </w:rPr>
      </w:pPr>
      <w:r>
        <w:rPr>
          <w:rFonts w:ascii="Times New Roman" w:hAnsi="Times New Roman"/>
          <w:i/>
          <w:color w:val="000000"/>
          <w:sz w:val="20"/>
        </w:rPr>
        <w:t>Secured Interest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obligations of the Company under the February 2025 SPEA, Funding Notes and Exchange Notes (as defined below) were secured by a pledge of substantially all of assets of the Company pursuant to a security agreement, dated as of the February 2025 Closing Date, among the Company, CNSide Diagnostics, LLC (a subsidiary of the Company, “CNSide Diagnostics”), and Iroquois Master Fund Ltd., as collateral agent for the February 2025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 of the February 2025 Closing Date (the “Subsidiary Guarantee”), by and among CNSide Diagnostics and the February 2025 Purchasers. The Security Agreement and the Subsidiary Guarantee were subsequently terminated after the closing of the private placement pursuant to the March 2025 SPA (as defined below).</w:t>
      </w:r>
    </w:p>
    <w:p>
      <w:pPr>
        <w:pStyle w:val="TextBody"/>
        <w:bidi w:val="0"/>
        <w:spacing w:before="120" w:after="283"/>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below, the Company entered into the May 2024 Purchase Agreement (defined below), with the May 2024 Purchasers for the private placement of securities, including the May 2024 Series A Warrants to purchase an aggregate of up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3,591,532 shares of common stock. The May 2024 Purchase Agreement included certain limitations and restrictions on the Company’s ability to issue securities and provided the May 2024 Purchasers and the other investors signatories to the May 2024 Purchase Agreement participation rights in future equity and equity-linked offerings of securities, subject to certain limited exceptions (the “Financing Restrictions”). On the February 2025 Closing Date, pursuant to the February 2025 SPEA, the Company issued to the May 2024 Purchasers secured convertible promissory notes in the aggregate amount of $3.2 million (the “Exchange Notes”) in exchange for cancellation of the May 2024 Series A Warrants held by the Purchasers, and the Purchasers entered into a second amendment to the May 2024 Purchase Agreement to eliminate the Financing Restrictions. The terms and conditions of the Exchange Notes were substantially identical in all material respects to the Funding Notes. The Security Agreement and Subsidiary Guarantee also applied to the obligations under the Exchange Notes. The Exchange Notes were exchanged after the closing of the March 2025 Private Placement as defined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Both the Funding Notes and the Exchange Notes contained embedded conversion features that were required to be bifurcated and accounted for as derivative liabilities. The Company evaluated authoritative guidance for accounting for convertible debt instruments and elected to account for the Funding Notes and Exchange Notes at fair value. Consequently, the Company recorded the Funding Notes and Exchange Notes in its entirety at fair value at issuance and immediately before settlement, with changes in fair value recorded as change in fair value of derivative instruments in the condensed consolidated statements of operations between the issuance date and the settlement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the transaction due to immediate funding requirements.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Exchange Notes, Funding Notes and associated warrants were recorded at fair value on the issuance date at $3.8 million, $4.0 million and $2.7 million, respectively. The excess of the fair value of the instruments issued over cash received of $3.7 million and the carrying value of the May 2024 Series A Warrants exchanged of $3.7 million, in the amount of $3.1 million was recorded as a financing expense in the statement of operations for the three months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fair value of Exchange Notes, Funding Notes and February 2025 Warrants between issuance date and settlement date, in the amount of a gain of $0.3 million, a gain of $0.3 million and a gain of $2.2 million, respectively, were recorded as change in the fair value of derivative instruments in the statement of operations for the three months ended March 31, 2025. </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March 2025 Private Placement</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March 4, 2025, the Company entered into a securities purchase agreement (the “March 2025 SPA”) with accredited investors, including certain existing stockholders of the Company (collectively, the “March 2025 Private Placement Purchasers”) for a private placement of securities (the “March 2025 Private Placement”). The March 2025 SPA, provides for the sale and issuance by the Company of an aggregate of 28,042,140 shares (the “March 2025 Private Placement Shares”) of the Company’s Common Stock, or, at the election of each Purchaser, prefunded warrants to purchase Common Stock (the “March 2025 Prefunded Warrants”), exercisable immediately at an exercise price of $0.001 per share (the “March 2025 Prefunded Warrant Shares”), with each March 2025 Private Placement Share or March 2025 Prefunded Warrant accompanied by (i) a Series A common warrant (the “March 2025 Series A Warrants”) to purchase one share of Common Stock (the “March 2025 Series A Warrant Shares”), and (ii) one Series B common warrant (the “March 2025 Series B Warrants”) to purchase one share of Common Stock (see below for additional details on the Series B Warrants cashless exercise provisions) (the “March 2025 Series B Warrant Shares,” and together with the March 2025 Series A Warrant Shares, the “March 2025 Common Warrant Shares”). The March 2025 Private Placement Shares, March 2025 Prefunded Warrants, March 2025 Prefunded Warrant Shares, March 2025 Series A Warrants, March 2025 Series B Warrants, and the March 2025 Common Warrant Shares are collectively referred to herein as the “March 2025 Securities.” Pursuant to the March 2025 SPA, the Company issued to the March 2025 Private Placement Purchasers 4,069,738 March 2025 Private Placement Shares, 23,972,400 March 2025 Prefunded Warrants, 28,042,138 March 2025 Series A Warrants and 28,042,138 March 2025 Series B Warrants.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combined purchase price of $0.66 for each March 2025 Private Placement Share or $0.659 for each March 2025 Prefunded Warrant in the March 2025 Private Placement, together with one accompanying March 2025 Series A Warrant and one accompanying March 2025 Series B Warrant, represents the applicable “Minimum Price” in accordance with Nasdaq Rule 5635(d).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initial exercise price of each March 2025 Series A Warrant issued in the March 2025 Private Placement is $1.32 per share of Common Stock. The March 2025 Series A Warrants are exercisable only following stockholder approval and expire five (5) years thereafter. The March 2025 Series A Warrants are subject to certain price reset, share combination event and anti-dilution provisions which, if triggered, provide that the number of shares issuable upon exercise of the March 2025 Series A Warrants will downward adjust, subject to a floor price of $0.132 (the “Floor Price”), and the number of shares issuable upon exercise therefor will increase such that the aggregate exercise price remains unchanged.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initial exercise price of each March 2025 Series B Warrant issued in the March 2025 Private Placement is $1.98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the Company and for three times the number of shares of Common Stock then subject to the March 2025 Series B Warrant.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March 2025 Prefunded Warrants will be exercisable from the date of issuance until exercised in full. The March 2025 Pre-Funded Warrants, March 2025 Series A Warrants and March 2025 Series B Warrants may not be exercised to the extent that immediately following such exercise, the holder would beneficially own greater than 4.99% (or, at the election of the holder, greater than 9.99%) of the Company’s outstanding Common Stock.</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connection with the March 2025 Private Placement, the Company issued 3,077,270 shares of Common Stock, 19,650,000 shares of March 2025 Prefunded Warrants in lieu thereof, and accompanying 22,727,270 March 2025 Series A Warrants and 22,727,270 March 2025 Series B Warrants in consideration of new capital subscriptions. In addition, the Company issued 992,468 shares of Common Stock, 4,322,400 March 2025 Prefunded Warrants in lieu thereof, and accompanying 5,314,870 March 2025 Series A Warrants and 5,314,870 March 2025 Series B Warrants, were issued in exchange for the cancelation of approximately $3.2 million in aggregate principal amount of the Exchange Notes.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 evaluated the terms of the February 2025 Warrants,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condensed consolidated statement of operations. March 2025 Pre-funded Warrants meet the criteria to be recorded as equity in the Company's condensed consolidated balance sheet.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“March 2025 Closing Date”). The aggregate gross proceeds at the March 2025 Closing Date totaled approximately $15.0 million. The gross proceeds, along with the fair value of the February 2025 Warrants of $0.5 million and Exchange Notes of $3.5 million as of the settlement date of March 4, 2025, were first allocated to the warrant liability instruments at their full fair value, totaling $13.2 million, with the remainder of $5.8 million recorded to common stock and additional paid-in capital in equity of the condensed consolidated balance sheet. Total offering expenses of $1.4 million were allocated based on the allocated amount of proceeds to warrant liabilities and equity, with $1.0 million recorded as warrant issuance expenses and expensed as incurred, and the remaining $0.4 million recorded as common stock issuance costs in additional paid-in capital.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connection with the March 2025 Private Placement transaction, the Company entered into a registration rights agreement with the March 2025 Private Placement Purchasers (the “Registration Rights Agreement”). In accordance with the Registration Rights Agreement, the Company is required to file a registration statement to register the common stock, prefunded warrants and warrants issued in connection with the March 2025 Private Placement. If the Company fails to do so within certain specified criteria, the Company could be obligated to pay 1% (and up to 6% under certain circumstances) of proceeds raised as liquidated damages to the March 2025 Private Placement Purchasers. The Company recorded a liability of $0.2 million as of March 31, 2025 for such potential liquidated damages payment.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May 2, 2025, the Company’s stockholders approved, among other things, the March 2025 Series A Warrants and March 2025 Series B Warrants, and an amendment to the Company’s Certificate of Incorporation, as amended, to increase the authorized share capital of the Company to an amount sufficient to cover the shares of Common Stock issuable upon the exercise of the March 2025 Series A Warrants and March 2025 Series B Warrants.</w:t>
      </w:r>
    </w:p>
    <w:p>
      <w:pPr>
        <w:pStyle w:val="TextBody"/>
        <w:bidi w:val="0"/>
        <w:spacing w:before="80" w:after="12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with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$3.4 million in principal amount of the Company’s Funding Notes and accrued interest, along with the February 2025 Warrants issued pursuant to the February 2025 SPEA for an aggregate purchase price of $4.2 million. In exchange for the repurchase by the Company of the Funding Notes and SPEA Warrants, the Purchasers agreed to consent to the March 2025 Private Placement and eliminate the New Financing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May 2024 Private Placement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5, 2024, the Company entered into a securities purchase agreement (the “May 2024 Securities Purchase Agreement”) with certain investors, including certain of the Company’s directors and executive officers (“Company Insiders”) (collectively, the “May 2024 Purchasers”), for the sale and issuance by the Company of its securities (the “Initial Subscription”). On May 8, 2024, the Company entered into a first amendment to the May 2024 Securities Purchase Agreement (together with the May 2024 Securities Purchase Agreement, the “May 2024 Purchase Agreement”), for the sale and issuance by the Company of additional securities to two of the May 2024 Purchasers (the “Additional Subscription,” and together with the Initial Subscription, the “May 2024 Private Placement”). The May 2024 Purchase Agreement provides for the sale and issuance by the Company of an aggregate of 3,591,532 shares (the “May 2024 Private Placement Shares”) of the Company’s common stock or, at the election of each May 2024 Purchaser, pre-funded warrants (the “May 2024 Pre-Funded Warrants”), exercisable immediately at an exercise price of $0.001 per share, with each May 2024 Private Placement Share or May 2024 Pre-Funded Warrant accompanied by (i) a May 2024 Series A common warrant (“May 2024 Series A Warrants”) to purchase one share of common stock, for an aggregate of 3,591,532 May 2024 Series A Warrants, and (ii) one May 2024 Series B common warrant (“May 2024 Series B Warrants”) to purchase one share of common stock, for an aggregate of 3,591,532 May 2024 Series B Warrants.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combined purchase price for each May 2024 Private Placement Share and May 2024 Pre-Funded Warrant from the Initial Subscription was $2.022, and $2.158 from the Additional Subscription, in each case together with one accompanying May 2024 Series A Warrant and one accompanying May 2024 Series B Warrant provided, that the Company Insiders participated in the Initial Subscription at an offering price of $2.04 per May 2024 Private Placement Share and accompanying May 2024 Series A Warrant and May 2024 Series B Warrant. </w:t>
      </w:r>
    </w:p>
    <w:p>
      <w:pPr>
        <w:pStyle w:val="TextBody"/>
        <w:bidi w:val="0"/>
        <w:jc w:val="both"/>
        <w:rPr>
          <w:rFonts w:ascii="Times New Roman" w:hAnsi="Times New Roman"/>
          <w:color w:val="000000"/>
          <w:sz w:val="20"/>
        </w:rPr>
      </w:pPr>
      <w:r>
        <w:rPr>
          <w:rFonts w:ascii="Times New Roman" w:hAnsi="Times New Roman"/>
          <w:color w:val="000000"/>
          <w:sz w:val="20"/>
        </w:rPr>
        <w:t>The exercise price of May 2024 Series A Warrants and May 2024 Series B Warrants from the Initial Subscription is $1.772 per share from the Initial Subscription and $1.908 per share from the Additional Subscription, provided that the exercise price for the May 2024 Series A Warrants and May 2024 Series B Warrants issued to the Company Insiders is $1.79 per share. Subject to certain ownership limitations, the May 2024 Series A Warrants will be exercisable until May 9, 2029, which is the five-year anniversary of issuance. Subject to certain ownership limitations, the May 2024 Series B Warrants will be exercisable until June 24, 2025. The May 2024 Pre-Funded Warrant will not expire until exercised in full.</w:t>
      </w:r>
    </w:p>
    <w:p>
      <w:pPr>
        <w:pStyle w:val="TextBody"/>
        <w:bidi w:val="0"/>
        <w:jc w:val="both"/>
        <w:rPr>
          <w:rFonts w:ascii="Times New Roman" w:hAnsi="Times New Roman"/>
          <w:color w:val="000000"/>
          <w:sz w:val="20"/>
        </w:rPr>
      </w:pPr>
      <w:r>
        <w:rPr>
          <w:rFonts w:ascii="Times New Roman" w:hAnsi="Times New Roman"/>
          <w:color w:val="000000"/>
          <w:sz w:val="20"/>
        </w:rPr>
        <w:t xml:space="preserve">Prior to the Amendment and Restatements (as defined below), if a holder of a May 2024 Series A Warrant or a May 2024 Series B Warrant was unable to exercise the warrant due to the limitation contained in the warrant that restricts the holder from owning above a specified beneficial ownership level (generally 4.99% or 9.99%) as the result of exercise of the warrant, then the holder had the right to elect upon exercise of the warrant to receive a May 2024 Pre-Funded Warrant for the same number of shares of common stock that would otherwise have been received upon exercise of the warrant. In addition, prior to the Amendment and Restatements, the May 2024 Series A Warrants and May 2024 Series B Warrants provided for a call right starting June 24, 2025, in favor of the Company, if the volume-weighted average price of the shares of common stock exceeds specified prices. </w:t>
      </w:r>
    </w:p>
    <w:p>
      <w:pPr>
        <w:pStyle w:val="TextBody"/>
        <w:bidi w:val="0"/>
        <w:jc w:val="both"/>
        <w:rPr>
          <w:rFonts w:ascii="Times New Roman" w:hAnsi="Times New Roman"/>
          <w:color w:val="000000"/>
          <w:sz w:val="20"/>
        </w:rPr>
      </w:pPr>
      <w:r>
        <w:rPr>
          <w:rFonts w:ascii="Times New Roman" w:hAnsi="Times New Roman"/>
          <w:color w:val="000000"/>
          <w:sz w:val="20"/>
        </w:rPr>
        <w:t xml:space="preserve">The May 2024 Private Offering closed on May 9, 2024. The Company issued 1,439,988 shares of common stock, 2,151,544 May 2024 Pre-Funded Warrants, 3,591,532 May 2024 Series A Warrants and 3,591,532 May 2024 Series B Warrants to purchase shares of its common stock in connection with the May 2024 Private Placement. The net proceeds from the May 2024 Private Placement were approximately $7.3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reviewed the terms of the May 2024 Pre-Funded Warrants, May 2024 Series A Warrants and May 2024 Series B Warrants under the authoritative accounting guidance as of the issuance date. </w:t>
      </w:r>
    </w:p>
    <w:p>
      <w:pPr>
        <w:pStyle w:val="TextBody"/>
        <w:bidi w:val="0"/>
        <w:jc w:val="both"/>
        <w:rPr>
          <w:rFonts w:ascii="Times New Roman" w:hAnsi="Times New Roman"/>
          <w:sz w:val="20"/>
        </w:rPr>
      </w:pPr>
      <w:r>
        <w:rPr>
          <w:rFonts w:ascii="Times New Roman" w:hAnsi="Times New Roman"/>
          <w:color w:val="000000"/>
          <w:sz w:val="20"/>
        </w:rPr>
        <w:t xml:space="preserve">As described above, the May 2024 Series A Warrants and May 2024 Series B Warrants were initially classified as liabilities for the reason that they could have been exercised into either shares of common stock or May 2024 Pre-Funded Warrants at the holder’s option and thus failed the indexation guidance under ASC 815, Derivatives and Hedging. </w:t>
      </w:r>
      <w:r>
        <w:rPr>
          <w:rFonts w:ascii="Times New Roman" w:hAnsi="Times New Roman"/>
          <w:color w:val="222222"/>
          <w:sz w:val="20"/>
        </w:rPr>
        <w:t xml:space="preserve">The </w:t>
      </w:r>
      <w:r>
        <w:rPr>
          <w:rFonts w:ascii="Times New Roman" w:hAnsi="Times New Roman"/>
          <w:color w:val="000000"/>
          <w:sz w:val="20"/>
        </w:rPr>
        <w:t xml:space="preserve">May 2024 </w:t>
      </w:r>
      <w:r>
        <w:rPr>
          <w:rFonts w:ascii="Times New Roman" w:hAnsi="Times New Roman"/>
          <w:color w:val="222222"/>
          <w:sz w:val="20"/>
        </w:rPr>
        <w:t xml:space="preserve">Series A Warrant and </w:t>
      </w:r>
      <w:r>
        <w:rPr>
          <w:rFonts w:ascii="Times New Roman" w:hAnsi="Times New Roman"/>
          <w:color w:val="000000"/>
          <w:sz w:val="20"/>
        </w:rPr>
        <w:t xml:space="preserve">May 2024 </w:t>
      </w:r>
      <w:r>
        <w:rPr>
          <w:rFonts w:ascii="Times New Roman" w:hAnsi="Times New Roman"/>
          <w:color w:val="222222"/>
          <w:sz w:val="20"/>
        </w:rPr>
        <w:t xml:space="preserve">Series B Warrant liability were initially recorded at fair value as of the issuance date, and under the terms of the </w:t>
      </w:r>
      <w:r>
        <w:rPr>
          <w:rFonts w:ascii="Times New Roman" w:hAnsi="Times New Roman"/>
          <w:color w:val="000000"/>
          <w:sz w:val="20"/>
        </w:rPr>
        <w:t xml:space="preserve">May 2024 </w:t>
      </w:r>
      <w:r>
        <w:rPr>
          <w:rFonts w:ascii="Times New Roman" w:hAnsi="Times New Roman"/>
          <w:color w:val="222222"/>
          <w:sz w:val="20"/>
        </w:rPr>
        <w:t xml:space="preserve">Series A Warrants and </w:t>
      </w:r>
      <w:r>
        <w:rPr>
          <w:rFonts w:ascii="Times New Roman" w:hAnsi="Times New Roman"/>
          <w:color w:val="000000"/>
          <w:sz w:val="20"/>
        </w:rPr>
        <w:t xml:space="preserve">May 2024 </w:t>
      </w:r>
      <w:r>
        <w:rPr>
          <w:rFonts w:ascii="Times New Roman" w:hAnsi="Times New Roman"/>
          <w:color w:val="222222"/>
          <w:sz w:val="20"/>
        </w:rPr>
        <w:t>Series B Warrants when issued that liability was subject to adjustment to estimated fair value at each balance sheet date until the warrants were settled. R</w:t>
      </w:r>
      <w:r>
        <w:rPr>
          <w:rFonts w:ascii="Times New Roman" w:hAnsi="Times New Roman"/>
          <w:color w:val="000000"/>
          <w:sz w:val="20"/>
        </w:rPr>
        <w:t>efer below for additional information regarding the amendment of the May 2024 Series A Warrants and May 2024 Series B Warrants that eliminated the ability of the May 2024 Series A Warrants and May 2024 Series B Warrants to be exercised into Pre-Funded Warrants, and as a result, the reclassification of the May 2024 Series A and B Warrants from liability to equity section of the consolidated balance sheet.</w:t>
      </w:r>
    </w:p>
    <w:p>
      <w:pPr>
        <w:pStyle w:val="TextBody"/>
        <w:bidi w:val="0"/>
        <w:jc w:val="both"/>
        <w:rPr>
          <w:rFonts w:ascii="Times New Roman" w:hAnsi="Times New Roman"/>
          <w:color w:val="000000"/>
          <w:sz w:val="20"/>
        </w:rPr>
      </w:pPr>
      <w:r>
        <w:rPr>
          <w:rFonts w:ascii="Times New Roman" w:hAnsi="Times New Roman"/>
          <w:color w:val="000000"/>
          <w:sz w:val="20"/>
        </w:rPr>
        <w:t>The May 2024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w:t>
      </w:r>
      <w:r>
        <w:rPr>
          <w:rFonts w:ascii="Times New Roman" w:hAnsi="Times New Roman"/>
          <w:color w:val="222222"/>
          <w:sz w:val="20"/>
        </w:rPr>
        <w:t xml:space="preserve">he proceeds from the May 2024 Private Placement were first allocated to the full fair value of the </w:t>
      </w:r>
      <w:r>
        <w:rPr>
          <w:rFonts w:ascii="Times New Roman" w:hAnsi="Times New Roman"/>
          <w:color w:val="000000"/>
          <w:sz w:val="20"/>
        </w:rPr>
        <w:t>May 2024 Series A Warrants and May 2024 Series B Warrants</w:t>
      </w:r>
      <w:r>
        <w:rPr>
          <w:rFonts w:ascii="Times New Roman" w:hAnsi="Times New Roman"/>
          <w:color w:val="222222"/>
          <w:sz w:val="20"/>
        </w:rPr>
        <w:t xml:space="preserve"> due to the initial liability classification. As disclosed in Note 4, Fair Value Measurements, the fair value of the </w:t>
      </w:r>
      <w:r>
        <w:rPr>
          <w:rFonts w:ascii="Times New Roman" w:hAnsi="Times New Roman"/>
          <w:color w:val="000000"/>
          <w:sz w:val="20"/>
        </w:rPr>
        <w:t xml:space="preserve">May 2024 </w:t>
      </w:r>
      <w:r>
        <w:rPr>
          <w:rFonts w:ascii="Times New Roman" w:hAnsi="Times New Roman"/>
          <w:color w:val="222222"/>
          <w:sz w:val="20"/>
        </w:rPr>
        <w:t xml:space="preserve">Series </w:t>
      </w:r>
      <w:r>
        <w:rPr>
          <w:rFonts w:ascii="Times New Roman" w:hAnsi="Times New Roman"/>
          <w:color w:val="000000"/>
          <w:sz w:val="20"/>
        </w:rPr>
        <w:t>A Warrants and May 2024 Series B Warra</w:t>
      </w:r>
      <w:r>
        <w:rPr>
          <w:rFonts w:ascii="Times New Roman" w:hAnsi="Times New Roman"/>
          <w:color w:val="222222"/>
          <w:sz w:val="20"/>
        </w:rPr>
        <w:t xml:space="preserve">nts at issuance was $10.9 million.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consolidated statement of operations during year ended December 31, 2024, which represents the excess of the fair value of the </w:t>
      </w:r>
      <w:r>
        <w:rPr>
          <w:rFonts w:ascii="Times New Roman" w:hAnsi="Times New Roman"/>
          <w:color w:val="000000"/>
          <w:sz w:val="20"/>
        </w:rPr>
        <w:t xml:space="preserve">May 2024 </w:t>
      </w:r>
      <w:r>
        <w:rPr>
          <w:rFonts w:ascii="Times New Roman" w:hAnsi="Times New Roman"/>
          <w:color w:val="222222"/>
          <w:sz w:val="20"/>
        </w:rPr>
        <w:t xml:space="preserve">Series A Warrants and </w:t>
      </w:r>
      <w:r>
        <w:rPr>
          <w:rFonts w:ascii="Times New Roman" w:hAnsi="Times New Roman"/>
          <w:color w:val="000000"/>
          <w:sz w:val="20"/>
        </w:rPr>
        <w:t xml:space="preserve">May 2024 </w:t>
      </w:r>
      <w:r>
        <w:rPr>
          <w:rFonts w:ascii="Times New Roman" w:hAnsi="Times New Roman"/>
          <w:color w:val="222222"/>
          <w:sz w:val="20"/>
        </w:rPr>
        <w:t>Series B Warrants at issuance over the proceeds. During the year ended December 31, 2024, the Company recognized a fair value gain on warrant liability of $5.7 million. Proceeds from the May 2024 Private Placement are shown as cash from financing transactions and the gain on warrant liability is included as an adjustment to reconcile the net loss to net cash used in operating activities in the consolidated statements of cash flows for the year ended December 31, 2024.</w:t>
      </w:r>
    </w:p>
    <w:p>
      <w:pPr>
        <w:pStyle w:val="TextBody"/>
        <w:bidi w:val="0"/>
        <w:jc w:val="both"/>
        <w:rPr>
          <w:rFonts w:ascii="Times New Roman" w:hAnsi="Times New Roman"/>
          <w:color w:val="000000"/>
          <w:sz w:val="20"/>
        </w:rPr>
      </w:pPr>
      <w:r>
        <w:rPr>
          <w:rFonts w:ascii="Times New Roman" w:hAnsi="Times New Roman"/>
          <w:color w:val="000000"/>
          <w:sz w:val="20"/>
        </w:rPr>
        <w:t>In addition, total offering expenses related to the May 2024 Private Placement of $0.4 million were recorded as a component of other expenses as the entire proceeds were allocated to the warrant liability, which, prior to the amendment described below, could be settled with either the Company’s shares of common stock or May 2024 Pre-Funded Warrants, which are exercisable into the Company’s shares of common stock at any time at the holders’ option, but not in cash payment to the holders.</w:t>
      </w:r>
    </w:p>
    <w:p>
      <w:pPr>
        <w:pStyle w:val="TextBody"/>
        <w:bidi w:val="0"/>
        <w:jc w:val="both"/>
        <w:rPr>
          <w:rFonts w:ascii="Times New Roman" w:hAnsi="Times New Roman"/>
          <w:i/>
          <w:color w:val="000000"/>
          <w:sz w:val="20"/>
        </w:rPr>
      </w:pPr>
      <w:r>
        <w:rPr>
          <w:rFonts w:ascii="Times New Roman" w:hAnsi="Times New Roman"/>
          <w:i/>
          <w:color w:val="000000"/>
          <w:sz w:val="20"/>
        </w:rPr>
        <w:t>Amendment and Restatement of May 2024 Series A Warrants and May 2024 Series B Warrants</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9, 2024, the Company amended and restated the May 2024 Series A Warrants and May 2024 Series B Warrants (the “Amendment and Restatements”) issued in the May 2024 Private Placement. The Amendment and Restatements eliminated the ability of the holders of the May 2024 Series A Warrants and May 2024 Series B Warrants to elect to purchase Pre-Funded Warrants upon exercise of the May 2024 Series A Warrants and May 2024 Series B Warrants in lieu of shares of common stock if the holder would have been restricted because of the specified beneficial ownership level in the May 2024 Series A Warrants and May 2024 Series B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the Amendment and Restatements eliminated the Company’s call right under the terms of the May 2024 Series A Warrants to call the May 2024 Series A Warrants after June 24, 2025, if the volume-weighted average price of shares of common stock exceeded specified prices. There were no other changes in the terms of the May 2024 Series A Warrants and May 2024 Series B Warrants. </w:t>
      </w:r>
    </w:p>
    <w:p>
      <w:pPr>
        <w:pStyle w:val="TextBody"/>
        <w:bidi w:val="0"/>
        <w:jc w:val="both"/>
        <w:rPr>
          <w:rFonts w:ascii="Times New Roman" w:hAnsi="Times New Roman"/>
          <w:color w:val="000000"/>
          <w:sz w:val="20"/>
        </w:rPr>
      </w:pPr>
      <w:r>
        <w:rPr>
          <w:rFonts w:ascii="Times New Roman" w:hAnsi="Times New Roman"/>
          <w:color w:val="000000"/>
          <w:sz w:val="20"/>
        </w:rPr>
        <w:t>As a result of the Amendment and Restatements, the May 2024 Series A Warrants and May 2024 Series B Warrants, as amended, no longer fail the indexation guidance under ASC 815, Derivatives and Hedging, and the fair value of the warrant liability at the amendment date, in the amount of $5.2 million, was reclassified to equity.</w:t>
      </w:r>
    </w:p>
    <w:p>
      <w:pPr>
        <w:pStyle w:val="TextBody"/>
        <w:bidi w:val="0"/>
        <w:jc w:val="both"/>
        <w:rPr>
          <w:rFonts w:ascii="Times New Roman" w:hAnsi="Times New Roman"/>
          <w:color w:val="000000"/>
          <w:sz w:val="20"/>
        </w:rPr>
      </w:pPr>
      <w:r>
        <w:rPr>
          <w:rFonts w:ascii="Times New Roman" w:hAnsi="Times New Roman"/>
          <w:color w:val="000000"/>
          <w:sz w:val="20"/>
        </w:rPr>
        <w:br/>
        <w:t xml:space="preserve">During the three months ended March 31, 2025, 6,535,731 of prefunded warrants and 497,824 of May 2024 Series B Warrants were exercised. As of March 31, 2025, the Company had the following warrants outstanding in the base warrant shares at issuance and number of common stock equivalent that are issuable upon exercise (due to the price reset feature of the March 2025 Series A Warrants and March 2025 Series B Warrants, and the three times multiplier for the March 2025 Series B Warrants, both described above, the shares to be issued for these two instruments upon exercises are more than the base share amounts): </w:t>
      </w:r>
    </w:p>
    <w:tbl>
      <w:tblPr>
        <w:tblW w:w="9439" w:type="dxa"/>
        <w:jc w:val="left"/>
        <w:tblInd w:w="0" w:type="dxa"/>
        <w:tblLayout w:type="fixed"/>
        <w:tblCellMar>
          <w:top w:w="28" w:type="dxa"/>
          <w:left w:w="28" w:type="dxa"/>
          <w:bottom w:w="28" w:type="dxa"/>
          <w:right w:w="28" w:type="dxa"/>
        </w:tblCellMar>
      </w:tblPr>
      <w:tblGrid>
        <w:gridCol w:w="2746"/>
        <w:gridCol w:w="364"/>
        <w:gridCol w:w="2846"/>
        <w:gridCol w:w="146"/>
        <w:gridCol w:w="146"/>
        <w:gridCol w:w="340"/>
        <w:gridCol w:w="2660"/>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base warrant shares at issuance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issuable upon exercise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2024 Series A Warrants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2024 Series B Warrants</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3,093,708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Series A Warrants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28,042,139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84,645,187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Series B Warrants</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84,126,417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366,628,441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Prefunded Warrants</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19,396,099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19,396,099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134,706,648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473,811,720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Company’s 2015 New Employee Incentive Plan (the “2015 Plan”), awards may only be granted to employees who were not previously an employee or director of the Company, or following a bona fide period of non-employment, as a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inducement to entering into employment with the Company. As of March 31, 2025, there were 76,024 shares of common stock remaining and available for future issuances under the 2015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236,667 shares of common stock, plus the number of shares available for issuance is increased to the extent that awards granted under the 2020 Plan and the Company’s 2014 Equity Incentive Plan are forfeited or expire (except as otherwise provided in the 2020 Plan). As of March 31, 2025, there were 8,743 shares remaining and available for future issuances under the 2020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Generally, options issued under the 2020 Plan are subject to a two-year or four-year vesting schedule with 25% of the options vesting on the one year anniversary of the grant date followed by equal monthly installment vesting, and have a contractual term of 10 years.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activity for the three months ended March 31, 2025 is as follows:</w:t>
      </w:r>
    </w:p>
    <w:p>
      <w:pPr>
        <w:pStyle w:val="TextBody"/>
        <w:bidi w:val="0"/>
        <w:jc w:val="left"/>
        <w:rPr/>
      </w:pPr>
      <w:r>
        <w:rPr/>
        <w:t> </w:t>
      </w:r>
    </w:p>
    <w:tbl>
      <w:tblPr>
        <w:tblW w:w="9816" w:type="dxa"/>
        <w:jc w:val="left"/>
        <w:tblInd w:w="0" w:type="dxa"/>
        <w:tblLayout w:type="fixed"/>
        <w:tblCellMar>
          <w:top w:w="28" w:type="dxa"/>
          <w:left w:w="28" w:type="dxa"/>
          <w:bottom w:w="28" w:type="dxa"/>
          <w:right w:w="28" w:type="dxa"/>
        </w:tblCellMar>
      </w:tblPr>
      <w:tblGrid>
        <w:gridCol w:w="3916"/>
        <w:gridCol w:w="146"/>
        <w:gridCol w:w="146"/>
        <w:gridCol w:w="931"/>
        <w:gridCol w:w="166"/>
        <w:gridCol w:w="146"/>
        <w:gridCol w:w="314"/>
        <w:gridCol w:w="856"/>
        <w:gridCol w:w="146"/>
        <w:gridCol w:w="146"/>
        <w:gridCol w:w="250"/>
        <w:gridCol w:w="800"/>
        <w:gridCol w:w="146"/>
        <w:gridCol w:w="146"/>
        <w:gridCol w:w="315"/>
        <w:gridCol w:w="855"/>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March 31, 2025, the total compensation cost related to non-vested stock options not yet recognized for all the Company’s plans is approximately $1.1 million, which is expected to be recognized as a result of vesting under service conditions over a weighted average period of 2.9 years.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13. 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and the measure of segment assets is reported on the condensed consolidated balance sheets as total assets.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share-based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 Depreciation and amortization expense is consistent with those presented in the condensed consolidated statements of cash flows.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976"/>
        <w:gridCol w:w="259"/>
        <w:gridCol w:w="1144"/>
        <w:gridCol w:w="179"/>
        <w:gridCol w:w="259"/>
        <w:gridCol w:w="1144"/>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Clinical, development and licensing expenses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expenses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248,000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general and administrative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Special Meeting of Stockholders of the Company, held on May 2, 2025, the Company’s stockholders (a) authorized the issuance of (x) 28,042,138 March 2025 Series A Warrants and 28,042,138 March 2025 Series B Warrants issued in the March 2025 Private Placement, (y) shares of Common Stock that as a result of certain adjustment provisions set forth in the applicable warrants could become exercisable for up to 280,421,380 shares of Common Stock in the case of the March 2025 Series A Warrants and up to 1,261,896,210 shares of Common Stock in the case of the March 2025 Series B Warrants (in each case subject to the potential for further anti-dilution adjustments), (b) approved an increase in the authorized shares of the Company’s Common Stock from 100,000,000 shares to 2,000,000,000 shares and (c) approved the extension of the term of the Company’s May 2024 Series B Warrants to purchase shares of Common Stock. The Company filed the Amendment with the Secretary of State of the State of Delaware, effective as of May 2, 2025.</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should be read in conjunction with the unaudited financial information and the notes thereto included herein, as well as the “Management’s Discussion and Analysis of Financial Condition and Results of Operations” and our audited consolidated financial statements and notes thereto contained in our Annual Report on Form 10-K for the year ended December 31, 2024, as filed on March 31, 2025.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as well as under “Part I – Item 1A - Risk Factors” in our Annual Report on Form 10-K for the year ended December 31, 2024, in other subsequent filings with the Securities and Exchange Commission, and elsewhere in this Quarterly Report. These statements, like all statements in this Quarterly Report, speak only as of the date of this Quarterly Report (unless another date is indicated), and the Company undertakes no obligation to update or revise these statements in light of future developments.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includes the following sections:</w:t>
      </w:r>
    </w:p>
    <w:p>
      <w:pPr>
        <w:pStyle w:val="TextBody"/>
        <w:bidi w:val="0"/>
        <w:spacing w:before="120" w:after="283"/>
        <w:jc w:val="both"/>
        <w:rPr/>
      </w:pPr>
      <w:r>
        <w:rPr>
          <w:color w:val="000000"/>
        </w:rPr>
        <w:t xml:space="preserve"> </w:t>
      </w:r>
      <w:r>
        <w:rPr>
          <w:rFonts w:ascii="Times New Roman" w:hAnsi="Times New Roman"/>
          <w:color w:val="000000"/>
          <w:sz w:val="20"/>
        </w:rPr>
        <w:t>Overview that discusses our operating results and some of the trends that affect our business.</w:t>
      </w:r>
    </w:p>
    <w:p>
      <w:pPr>
        <w:pStyle w:val="TextBody"/>
        <w:bidi w:val="0"/>
        <w:spacing w:before="120" w:after="283"/>
        <w:jc w:val="both"/>
        <w:rPr/>
      </w:pPr>
      <w:r>
        <w:rPr>
          <w:color w:val="000000"/>
        </w:rPr>
        <w:t xml:space="preserve"> </w:t>
      </w:r>
      <w:r>
        <w:rPr>
          <w:rFonts w:ascii="Times New Roman" w:hAnsi="Times New Roman"/>
          <w:color w:val="000000"/>
          <w:sz w:val="20"/>
        </w:rPr>
        <w:t>Results of Operations that includes a more detailed discussion of our revenue and expenses.</w:t>
      </w:r>
    </w:p>
    <w:p>
      <w:pPr>
        <w:pStyle w:val="TextBody"/>
        <w:bidi w:val="0"/>
        <w:spacing w:before="120" w:after="283"/>
        <w:jc w:val="both"/>
        <w:rPr/>
      </w:pPr>
      <w:r>
        <w:rPr>
          <w:color w:val="000000"/>
        </w:rPr>
        <w:t xml:space="preserve"> </w:t>
      </w:r>
      <w:r>
        <w:rPr>
          <w:rFonts w:ascii="Times New Roman" w:hAnsi="Times New Roman"/>
          <w:color w:val="000000"/>
          <w:sz w:val="20"/>
        </w:rPr>
        <w:t>Liquidity and Capital Resources that discusses key aspects of our consolidated statements of cash flows, changes in our financial position and our financial commitments.</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Plus Therapeutics is a U.S. pharmaceutical company developing targeted radiotherapeutics with advanced platform technologies for central nervous system (“CNS”) cancers. Our novel radioactive drug formulations and medical devices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 </w:t>
      </w:r>
    </w:p>
    <w:p>
      <w:pPr>
        <w:pStyle w:val="TextBody"/>
        <w:bidi w:val="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jc w:val="both"/>
        <w:rPr>
          <w:rFonts w:ascii="Times New Roman" w:hAnsi="Times New Roman"/>
          <w:color w:val="000000"/>
          <w:sz w:val="20"/>
        </w:rPr>
      </w:pPr>
      <w:r>
        <w:rPr>
          <w:rFonts w:ascii="Times New Roman" w:hAnsi="Times New Roman"/>
          <w:color w:val="000000"/>
          <w:sz w:val="20"/>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pStyle w:val="TextBody"/>
        <w:bidi w:val="0"/>
        <w:jc w:val="both"/>
        <w:rPr>
          <w:rFonts w:ascii="Times New Roman" w:hAnsi="Times New Roman"/>
          <w:sz w:val="20"/>
        </w:rPr>
      </w:pPr>
      <w:r>
        <w:rPr>
          <w:rFonts w:ascii="Times New Roman" w:hAnsi="Times New Roman"/>
          <w:color w:val="000000"/>
          <w:sz w:val="20"/>
        </w:rPr>
        <w:t>Our lead radiotherapeutic candidate, REYOBIQ (rhenium (</w:t>
      </w:r>
      <w:r>
        <w:rPr>
          <w:rFonts w:ascii="Times New Roman" w:hAnsi="Times New Roman"/>
          <w:color w:val="000000"/>
          <w:sz w:val="13"/>
        </w:rPr>
        <w:t>186</w:t>
      </w:r>
      <w:r>
        <w:rPr>
          <w:rFonts w:ascii="Times New Roman" w:hAnsi="Times New Roman"/>
          <w:color w:val="000000"/>
          <w:sz w:val="20"/>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many solid organ cancers including primary and secondary liver cancers by intra-arterial injection.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April 26, 2024, we acquired all of the right, title and interest in a cerebrospinal fluid cancer diagnostic portfolio known as the CNSide® Platform from Biocept, Inc. (“Biocept”), which is currently being utilized in the ReSPECT-LM clinical trial funded by the Cancer Prevention and Research Institute of Texas (“CPRIT”). In connection with our business plan for developing the CNSide® Platform, we formed CNSide Diagnostics, LLC (“CNSide Diagnostics”), a wholly owned subsidiary of the Company, and our board of directors appointed a board of managers for CNSide Diagnostics. We are planning for the CNSide Cerebrospinal Fluid Tumor Cell Enumeration test (the “CNSide®Test”), which is a laboratory developed test (“LDT”), to be re-introduced to the U.S. market starting in the second quarter of 2025 after we complete a number of steps related to certifications, state licensure, payor coverages, reimbursement codes and financing.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2025, we moved our headquarters to Houston, Texas, in proximity to world-class cancer institutions and researchers.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Pipeline</w:t>
      </w:r>
    </w:p>
    <w:p>
      <w:pPr>
        <w:pStyle w:val="TextBody"/>
        <w:bidi w:val="0"/>
        <w:spacing w:before="0" w:after="120"/>
        <w:jc w:val="both"/>
        <w:rPr>
          <w:rFonts w:ascii="Times New Roman" w:hAnsi="Times New Roman"/>
          <w:sz w:val="20"/>
        </w:rPr>
      </w:pPr>
      <w:r>
        <w:rPr>
          <w:rFonts w:ascii="Times New Roman" w:hAnsi="Times New Roman"/>
          <w:color w:val="000000"/>
          <w:sz w:val="20"/>
        </w:rPr>
        <w:t>Our most advanced investigational drug, REYOBIQ, is a patented radiotherapy potentially useful for patients with CNS and other cancers. We announced in March 2025 that the U.S. Food and Drug Administration (“FDA”) conditionally accepted the proprietary name REYOBIQ to be used by us for our proprietary rhenium (</w:t>
      </w:r>
      <w:r>
        <w:rPr>
          <w:rFonts w:ascii="Times New Roman" w:hAnsi="Times New Roman"/>
          <w:color w:val="000000"/>
          <w:sz w:val="13"/>
        </w:rPr>
        <w:t>186</w:t>
      </w:r>
      <w:r>
        <w:rPr>
          <w:rFonts w:ascii="Times New Roman" w:hAnsi="Times New Roman"/>
          <w:color w:val="000000"/>
          <w:sz w:val="20"/>
        </w:rPr>
        <w:t>Re) obisbemeda. Preclinical study data describing the use of REYOBIQ for several cancer targets have been published in peer-reviewed journals and reported at a variety of medical society peer-reviewed meetings. Besides GBM, LM and PBC, REYOBIQ has been reported to have potential applications for head and neck cancer, ovarian cancer, breast cancer and peritoneal metastases.</w:t>
      </w:r>
    </w:p>
    <w:p>
      <w:pPr>
        <w:pStyle w:val="TextBody"/>
        <w:bidi w:val="0"/>
        <w:jc w:val="both"/>
        <w:rPr>
          <w:rFonts w:ascii="Times New Roman" w:hAnsi="Times New Roman"/>
          <w:color w:val="000000"/>
          <w:sz w:val="20"/>
        </w:rPr>
      </w:pPr>
      <w:r>
        <w:rPr>
          <w:rFonts w:ascii="Times New Roman" w:hAnsi="Times New Roman"/>
          <w:color w:val="000000"/>
          <w:sz w:val="20"/>
        </w:rPr>
        <w:t xml:space="preserve">The REYOBIQ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REYOBIQ for recurrent GBM through the completion of a Phase 2 clinical trial, including enrollment of up to 55 patients.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29, 2022, we announced feedback from a Type C meeting with the FDA regarding Chemistry, Manufacturing and Controls practices.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FDA indicated agreement with our proposed application of cGMP guidance for radiotherapeutics, small molecule drug products and liposome drug products for REYOBIQ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REYOBIQ used in other clinical development programs, including LM and PBC. </w:t>
      </w:r>
    </w:p>
    <w:p>
      <w:pPr>
        <w:pStyle w:val="TextBody"/>
        <w:bidi w:val="0"/>
        <w:jc w:val="both"/>
        <w:rPr>
          <w:rFonts w:ascii="Times New Roman" w:hAnsi="Times New Roman"/>
          <w:i/>
          <w:color w:val="000000"/>
          <w:sz w:val="20"/>
        </w:rPr>
      </w:pPr>
      <w:r>
        <w:rPr>
          <w:rFonts w:ascii="Times New Roman" w:hAnsi="Times New Roman"/>
          <w:i/>
          <w:color w:val="000000"/>
          <w:sz w:val="20"/>
        </w:rPr>
        <w:t>REYOBIQ versus External Beam Radiation Therapy for Recurrent GBM</w:t>
      </w:r>
    </w:p>
    <w:p>
      <w:pPr>
        <w:pStyle w:val="TextBody"/>
        <w:bidi w:val="0"/>
        <w:jc w:val="both"/>
        <w:rPr>
          <w:rFonts w:ascii="Times New Roman" w:hAnsi="Times New Roman"/>
          <w:color w:val="000000"/>
          <w:sz w:val="20"/>
        </w:rPr>
      </w:pPr>
      <w:r>
        <w:rPr>
          <w:rFonts w:ascii="Times New Roman" w:hAnsi="Times New Roman"/>
          <w:color w:val="000000"/>
          <w:sz w:val="20"/>
        </w:rPr>
        <w:t>REYOBIQ is a novel injectable radiotherapy designed to deliver targeted, high dose radiation directly into GBM tumors in a safe, effective, and convenient manner that may ultimately prolong patient survival. REYOBIQ is composed of the radionuclide Rhenium-186 and a nanoliposomal carrier, and is infused in a highly targeted, controlled fashion, directly into the tumor via precision brain mapping and CED catheters. Potential benefits of REYOBIQ compared to standard external beam radiotherapy or external beam radiation therapy (“EBRT”)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REYOBIQ radiation dose delivered to patients may be up to 20 times greater than what is possible with commonly used EBRT, which, unlike EBRT and proton beam devices, spares normal tissue and the brain from radiation exposure.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REYOBIQ can be visualized in real-time during administration, possibly giving clinicians better control of radiation dosing, distribution and retention.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potentially more effectively treats a bulk tumor and microscopic disease that has already invaded healthy tissue.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REYOBIQ is given during a single, short, in-patient hospital visit, and is available in all hospitals with nuclear medicine and neurosurgery, while EBRT requires out-patient visits five days a week for approximately four to six weeks. </w:t>
      </w:r>
    </w:p>
    <w:p>
      <w:pPr>
        <w:pStyle w:val="TextBody"/>
        <w:bidi w:val="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jc w:val="both"/>
        <w:rPr>
          <w:rFonts w:ascii="Times New Roman" w:hAnsi="Times New Roman"/>
          <w:color w:val="000000"/>
          <w:sz w:val="20"/>
        </w:rPr>
      </w:pPr>
      <w:r>
        <w:rPr>
          <w:rFonts w:ascii="Times New Roman" w:hAnsi="Times New Roman"/>
          <w:color w:val="000000"/>
          <w:sz w:val="20"/>
        </w:rPr>
        <w:t xml:space="preserve">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 </w:t>
      </w:r>
    </w:p>
    <w:p>
      <w:pPr>
        <w:pStyle w:val="TextBody"/>
        <w:bidi w:val="0"/>
        <w:jc w:val="both"/>
        <w:rPr>
          <w:rFonts w:ascii="Times New Roman" w:hAnsi="Times New Roman"/>
          <w:color w:val="000000"/>
          <w:sz w:val="20"/>
        </w:rPr>
      </w:pPr>
      <w:r>
        <w:rPr>
          <w:rFonts w:ascii="Times New Roman" w:hAnsi="Times New Roman"/>
          <w:color w:val="000000"/>
          <w:sz w:val="20"/>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REYOBIQ is designed for and provides patient tolerability and safety. Though no REYOBIQ head-to-head trial with chemo, immune, EBRT or systemic radiopharmaceutical products have been conducted, patient tolerability and safety considerations have been reported as expected.</w:t>
      </w:r>
    </w:p>
    <w:p>
      <w:pPr>
        <w:pStyle w:val="TextBody"/>
        <w:bidi w:val="0"/>
        <w:jc w:val="both"/>
        <w:rPr>
          <w:rFonts w:ascii="Times New Roman" w:hAnsi="Times New Roman"/>
          <w:color w:val="000000"/>
          <w:sz w:val="20"/>
        </w:rPr>
      </w:pPr>
      <w:r>
        <w:rPr>
          <w:rFonts w:ascii="Times New Roman" w:hAnsi="Times New Roman"/>
          <w:color w:val="000000"/>
          <w:sz w:val="20"/>
        </w:rPr>
        <w:t xml:space="preserve">In September 2020, the FDA granted both orphan drug designation and Fast Track designations to REYOBIQ for the treatment of patients with GBM. </w:t>
      </w:r>
    </w:p>
    <w:p>
      <w:pPr>
        <w:pStyle w:val="TextBody"/>
        <w:bidi w:val="0"/>
        <w:jc w:val="both"/>
        <w:rPr>
          <w:rFonts w:ascii="Times New Roman" w:hAnsi="Times New Roman"/>
          <w:color w:val="000000"/>
          <w:sz w:val="20"/>
        </w:rPr>
      </w:pPr>
      <w:r>
        <w:rPr>
          <w:rFonts w:ascii="Times New Roman" w:hAnsi="Times New Roman"/>
          <w:color w:val="000000"/>
          <w:sz w:val="20"/>
        </w:rPr>
        <w:t xml:space="preserve">REYOBIQ is under clinical investigation in a Phase 1/2 multicenter, sequential cohort, open-label, volume and dose escalation study (“ReSPECT-GBM”) of the safety, tolerability, and distribution of REYOBIQ given by CED catheters to patients with recurrent or progressive malignant glioma after standard surgical, radiation, and/or chemotherapy treatment. The trial is funded through Phase 2 in large part by a National Institute of Health/National Cancer Institute grant. </w:t>
      </w:r>
    </w:p>
    <w:p>
      <w:pPr>
        <w:pStyle w:val="TextBody"/>
        <w:bidi w:val="0"/>
        <w:jc w:val="both"/>
        <w:rPr>
          <w:rFonts w:ascii="Times New Roman" w:hAnsi="Times New Roman"/>
          <w:color w:val="000000"/>
          <w:sz w:val="20"/>
        </w:rPr>
      </w:pPr>
      <w:r>
        <w:rPr>
          <w:rFonts w:ascii="Times New Roman" w:hAnsi="Times New Roman"/>
          <w:color w:val="000000"/>
          <w:sz w:val="20"/>
        </w:rPr>
        <w:t>On January 18, 2023, we announced that the first patient was dosed in Phase 2 of the ReSPECT-GBM Phase 1/2 trial evaluating REYOBIQ for the treatment of recurrent GBM. Phase 2 of the trial is expected to enroll up to 34 total patients with small- to medium-sized tumors and is targeted for full enrollment by the end of 2025. We currently have four clinical sites, and expect a data read-out by the end of 2025.</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30, 2024, we showcased new interim ReSPECT-GBM Phase 2 Trial Data at the 2024 Congress of Neurological Surgeons Annual Meeting that included the following findings as of that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42 total patients enrolled in ReSPECT-GBM trial at 3 sites, with 19 out of 42 patients having been treated at the recommended Phase 2 dose (22.3 mCi in 8.8 mL) in tumors of approximately 20 cm</w:t>
      </w:r>
      <w:r>
        <w:rPr>
          <w:rFonts w:ascii="Times New Roman" w:hAnsi="Times New Roman"/>
          <w:color w:val="000000"/>
          <w:sz w:val="13"/>
        </w:rPr>
        <w:t xml:space="preserve">3 </w:t>
      </w:r>
      <w:r>
        <w:rPr>
          <w:rFonts w:ascii="Times New Roman" w:hAnsi="Times New Roman"/>
          <w:color w:val="000000"/>
          <w:sz w:val="20"/>
        </w:rPr>
        <w:t>or less.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All Phase 2 patients have recurrent, histologically confirmed glioblastoma; 1 recurrence, bevacizumab naïve, single tumor of approximately 20 cm</w:t>
      </w:r>
      <w:r>
        <w:rPr>
          <w:rFonts w:ascii="Times New Roman" w:hAnsi="Times New Roman"/>
          <w:color w:val="000000"/>
          <w:sz w:val="13"/>
        </w:rPr>
        <w:t xml:space="preserve">3 </w:t>
      </w:r>
      <w:r>
        <w:rPr>
          <w:rFonts w:ascii="Times New Roman" w:hAnsi="Times New Roman"/>
          <w:color w:val="000000"/>
          <w:sz w:val="20"/>
        </w:rPr>
        <w:t>or less (small-to-medium sized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tumor size in Phase 2 was 7.5 mL (range 0.9-22.8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absorbed dose correlated with specific drug delivery parameters such as infused dose and volume, maximal convection flow rate, and number of catheters.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REYOBIQ continues to show a favorable safety profile in the 42 enrolled patients; one dose-limiting toxicity (hemiplegia) has been reported, which was observed in Cohort 8 (41.5 mCi and 16.3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Phase 2, most adverse events were mild (73.5%) or moderate (18.8%), and largely unrelated (37.7%), or unlikely related (27.1%) to the drug. Of the 9 severe adverse events, only 2 were related to the study drug.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Average absorbed radiation dose to the tumor in Phase 2 was 300 Gy (n=18, 1 patient still under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88.9% of Phase 2 patients met key CED drug delivery parameters shown to correlate with overall survival, achieving a tumor absorbed dose &gt;100 Gy and radiation coverage of &gt;70%.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29 out of 42 patients treated thus far participated in the Phase 1 dose escalation phase of the trial (as per protocol, 6 out of 42 patients were included in both the Phase 1 and Phase 2 trial arms and related analyses).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dose-escalation increased administered doses from 1.0 mCi to 41.5 mCi and volumes from 0.66 mL to 16.3 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terms of objective tumor response based on quantitative image analysis, a statistically significant reduction in tumor volume rate change was seen in tumors receiving &gt; 100 Gy absorbed dose (n=11 patients analyzed to date, p&lt;0.005). Sufficient tumor coverage correlated with tumor control, while regrowth occurred outside treated areas.</w:t>
      </w:r>
    </w:p>
    <w:p>
      <w:pPr>
        <w:pStyle w:val="TextBody"/>
        <w:bidi w:val="0"/>
        <w:jc w:val="left"/>
        <w:rPr>
          <w:rFonts w:ascii="Times New Roman" w:hAnsi="Times New Roman"/>
          <w:color w:val="000000"/>
          <w:sz w:val="20"/>
        </w:rPr>
      </w:pPr>
      <w:r>
        <w:rPr>
          <w:rFonts w:ascii="Times New Roman" w:hAnsi="Times New Roman"/>
          <w:color w:val="000000"/>
          <w:sz w:val="20"/>
        </w:rPr>
        <w:t>We completed Phase 1 of our ReSPECT-GBM Trial and are targeting full enrollment into Phase 2 by the end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ReSPECT-LM Clinical Trials for LM</w:t>
      </w:r>
    </w:p>
    <w:p>
      <w:pPr>
        <w:pStyle w:val="TextBody"/>
        <w:bidi w:val="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jc w:val="both"/>
        <w:rPr>
          <w:rFonts w:ascii="Times New Roman" w:hAnsi="Times New Roman"/>
          <w:color w:val="000000"/>
          <w:sz w:val="20"/>
        </w:rPr>
      </w:pPr>
      <w:r>
        <w:rPr>
          <w:rFonts w:ascii="Times New Roman" w:hAnsi="Times New Roman"/>
          <w:color w:val="000000"/>
          <w:sz w:val="20"/>
        </w:rPr>
        <w:t>The ReSPECT-LM Phase 1 clinical trial (ClinicalTrials.gov NCT05034497) was preceded with preclinical studies in which tolerance to doses of REYOBIQ as high as 1,075 Gy were shown in animal models with LM without significant observed toxicity. Furthermore, treatment led to a marked reduction in tumor burden in both C6 and MDA-231 LM models.</w:t>
      </w:r>
    </w:p>
    <w:p>
      <w:pPr>
        <w:pStyle w:val="TextBody"/>
        <w:bidi w:val="0"/>
        <w:jc w:val="both"/>
        <w:rPr>
          <w:rFonts w:ascii="Times New Roman" w:hAnsi="Times New Roman"/>
          <w:color w:val="000000"/>
          <w:sz w:val="20"/>
        </w:rPr>
      </w:pPr>
      <w:r>
        <w:rPr>
          <w:rFonts w:ascii="Times New Roman" w:hAnsi="Times New Roman"/>
          <w:color w:val="000000"/>
          <w:sz w:val="20"/>
        </w:rPr>
        <w:t>Upon receiving acceptance of our Investigational New Drug application and Fast Track designation by the FDA for REYOBIQ for the treatment of LM in November 2021, we initiated the trial and began screening patients for the ReSPECT-LM Phase 1 clinical trial in the fourth quarter of 2021.</w:t>
      </w:r>
    </w:p>
    <w:p>
      <w:pPr>
        <w:pStyle w:val="TextBody"/>
        <w:bidi w:val="0"/>
        <w:jc w:val="both"/>
        <w:rPr>
          <w:rFonts w:ascii="Times New Roman" w:hAnsi="Times New Roman"/>
          <w:color w:val="000000"/>
          <w:sz w:val="20"/>
        </w:rPr>
      </w:pPr>
      <w:r>
        <w:rPr>
          <w:rFonts w:ascii="Times New Roman" w:hAnsi="Times New Roman"/>
          <w:color w:val="000000"/>
          <w:sz w:val="20"/>
        </w:rPr>
        <w:t>ReSPECT-LM is a multi-center, sequential cohort, open-label, dose escalation study evaluating the safety, tolerability, and efficacy of a single-dose application of REYOBIQ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19, 2022, we entered into a Cancer Research Grant Contract (the “CPRIT Contract”), effective as of August 31, 2022, with CPRIT, pursuant to which CPRIT provides us a grant of up to $17.6 million (the “CPRIT Grant”) over a three-year period to fund the continued development of REYOBIQ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REYOBIQ based on specific dollar thresholds until CPRIT receives the aggregate amount of 400% of the proceeds awarded under the CPRIT Grant, and certain reporting requirements. As of March 31, 2025, we had received approximately $12.4 million in milestone payments under the CPRIT Contract. </w:t>
      </w:r>
    </w:p>
    <w:p>
      <w:pPr>
        <w:pStyle w:val="TextBody"/>
        <w:bidi w:val="0"/>
        <w:jc w:val="both"/>
        <w:rPr>
          <w:rFonts w:ascii="Times New Roman" w:hAnsi="Times New Roman"/>
          <w:color w:val="000000"/>
          <w:sz w:val="20"/>
        </w:rPr>
      </w:pPr>
      <w:r>
        <w:rPr>
          <w:rFonts w:ascii="Times New Roman" w:hAnsi="Times New Roman"/>
          <w:color w:val="000000"/>
          <w:sz w:val="20"/>
        </w:rPr>
        <w:t xml:space="preserve">Interim results showed that a single treatment with REYOBIQ resulted in a consistent decreased cerebrospinal fluid (“CSF”) tumor cell count/ml and was tolerated by all LM patients. REYOBIQ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REYOBIQ distribution throughout the subarachnoid space. </w:t>
      </w:r>
    </w:p>
    <w:p>
      <w:pPr>
        <w:pStyle w:val="TextBody"/>
        <w:bidi w:val="0"/>
        <w:jc w:val="both"/>
        <w:rPr>
          <w:rFonts w:ascii="Times New Roman" w:hAnsi="Times New Roman"/>
          <w:color w:val="000000"/>
          <w:sz w:val="20"/>
        </w:rPr>
      </w:pPr>
      <w:r>
        <w:rPr>
          <w:rFonts w:ascii="Times New Roman" w:hAnsi="Times New Roman"/>
          <w:color w:val="000000"/>
          <w:sz w:val="20"/>
        </w:rPr>
        <w:t>In November 2023, the FDA granted orphan drug designation to REYOBIQ for the treatment of patients with breast cancer with LM.</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12, 2023, we announced our partnership with K2bio to implement novel analysis for CSF tumor and molecular biomarkers for CNS cancers. </w:t>
      </w:r>
    </w:p>
    <w:p>
      <w:pPr>
        <w:pStyle w:val="TextBody"/>
        <w:bidi w:val="0"/>
        <w:jc w:val="both"/>
        <w:rPr>
          <w:rFonts w:ascii="Times New Roman" w:hAnsi="Times New Roman"/>
          <w:color w:val="000000"/>
          <w:sz w:val="20"/>
        </w:rPr>
      </w:pPr>
      <w:r>
        <w:rPr>
          <w:rFonts w:ascii="Times New Roman" w:hAnsi="Times New Roman"/>
          <w:color w:val="000000"/>
          <w:sz w:val="20"/>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anticipate beginning enrollment for a ReSPECT-LM Multi-Dose trial in the first half of 2025. In March 2025, the FDA granted orphan drug designation to REYOBIQ for the treatment of LM in patients with lung cancer.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pre-Investigational New Drug Application (“IND”) meeting briefing package in which the FDA stated that we are not required to perform any additional preclinical or toxicology studies. </w:t>
      </w:r>
    </w:p>
    <w:p>
      <w:pPr>
        <w:pStyle w:val="TextBody"/>
        <w:bidi w:val="0"/>
        <w:jc w:val="both"/>
        <w:rPr>
          <w:rFonts w:ascii="Times New Roman" w:hAnsi="Times New Roman"/>
          <w:color w:val="000000"/>
          <w:sz w:val="20"/>
        </w:rPr>
      </w:pPr>
      <w:r>
        <w:rPr>
          <w:rFonts w:ascii="Times New Roman" w:hAnsi="Times New Roman"/>
          <w:color w:val="000000"/>
          <w:sz w:val="20"/>
        </w:rPr>
        <w:t>Given the initial FDA feedback, receipt of adult GBM data and experience with REYOBIQ and follow-up communications with the FDA, we submitted a pediatric brain tumor IND for our ReSPECT-PBC clinical trial to investigate the use of REYOBIQ in two pediatric brain cancers, high-grade glioma and ependymoma, in the fourth quarter of 2024.</w:t>
      </w:r>
    </w:p>
    <w:p>
      <w:pPr>
        <w:pStyle w:val="TextBody"/>
        <w:bidi w:val="0"/>
        <w:jc w:val="both"/>
        <w:rPr>
          <w:rFonts w:ascii="Times New Roman" w:hAnsi="Times New Roman"/>
          <w:color w:val="000000"/>
          <w:sz w:val="20"/>
        </w:rPr>
      </w:pPr>
      <w:r>
        <w:rPr>
          <w:rFonts w:ascii="Times New Roman" w:hAnsi="Times New Roman"/>
          <w:color w:val="000000"/>
          <w:sz w:val="20"/>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jc w:val="left"/>
        <w:rPr>
          <w:rFonts w:ascii="Times New Roman" w:hAnsi="Times New Roman"/>
          <w:color w:val="000000"/>
          <w:sz w:val="20"/>
        </w:rPr>
      </w:pPr>
      <w:r>
        <w:rPr>
          <w:rFonts w:ascii="Times New Roman" w:hAnsi="Times New Roman"/>
          <w:color w:val="000000"/>
          <w:sz w:val="20"/>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beginning enrollment for our Phase 1 ReSPECT-PBC clinical trial in 2025.</w:t>
      </w:r>
    </w:p>
    <w:p>
      <w:pPr>
        <w:pStyle w:val="TextBody"/>
        <w:bidi w:val="0"/>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11"/>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jc w:val="both"/>
        <w:rPr>
          <w:rFonts w:ascii="Times New Roman" w:hAnsi="Times New Roman"/>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hAnsi="Times New Roman"/>
          <w:color w:val="000000"/>
          <w:sz w:val="13"/>
        </w:rPr>
        <w:t>188</w:t>
      </w:r>
      <w:r>
        <w:rPr>
          <w:rFonts w:ascii="Times New Roman" w:hAnsi="Times New Roman"/>
          <w:color w:val="000000"/>
          <w:sz w:val="20"/>
        </w:rPr>
        <w:t xml:space="preserve">RNL-BAM is a preclinical investigational device we intend to further develop and move into clinical trials. Specifically, in 2022 we transferred the </w:t>
      </w:r>
      <w:r>
        <w:rPr>
          <w:rFonts w:ascii="Times New Roman" w:hAnsi="Times New Roman"/>
          <w:color w:val="000000"/>
          <w:sz w:val="13"/>
        </w:rPr>
        <w:t>188</w:t>
      </w:r>
      <w:r>
        <w:rPr>
          <w:rFonts w:ascii="Times New Roman" w:hAnsi="Times New Roman"/>
          <w:color w:val="000000"/>
          <w:sz w:val="20"/>
        </w:rPr>
        <w:t xml:space="preserve">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 </w:t>
      </w:r>
    </w:p>
    <w:p>
      <w:pPr>
        <w:pStyle w:val="TextBody"/>
        <w:bidi w:val="0"/>
        <w:jc w:val="left"/>
        <w:rPr>
          <w:rFonts w:ascii="Times New Roman" w:hAnsi="Times New Roman"/>
          <w:sz w:val="20"/>
        </w:rPr>
      </w:pPr>
      <w:r>
        <w:rPr>
          <w:rFonts w:ascii="Times New Roman" w:hAnsi="Times New Roman"/>
          <w:color w:val="000000"/>
          <w:sz w:val="20"/>
        </w:rPr>
        <w:t xml:space="preserve">The FDA has informed us that </w:t>
      </w:r>
      <w:r>
        <w:rPr>
          <w:rFonts w:ascii="Times New Roman" w:hAnsi="Times New Roman"/>
          <w:color w:val="000000"/>
          <w:sz w:val="13"/>
        </w:rPr>
        <w:t>188</w:t>
      </w:r>
      <w:r>
        <w:rPr>
          <w:rFonts w:ascii="Times New Roman" w:hAnsi="Times New Roman"/>
          <w:color w:val="000000"/>
          <w:sz w:val="20"/>
        </w:rPr>
        <w:t>RNL-BAM will be regulated as a medical device under the FDCA.</w:t>
      </w:r>
    </w:p>
    <w:p>
      <w:pPr>
        <w:pStyle w:val="TextBody"/>
        <w:bidi w:val="0"/>
        <w:spacing w:before="0" w:after="120"/>
        <w:jc w:val="both"/>
        <w:rPr>
          <w:rFonts w:ascii="Times New Roman" w:hAnsi="Times New Roman"/>
          <w:sz w:val="20"/>
        </w:rPr>
      </w:pPr>
      <w:r>
        <w:rPr>
          <w:rFonts w:ascii="Times New Roman" w:hAnsi="Times New Roman"/>
          <w:i/>
          <w:color w:val="000000"/>
          <w:sz w:val="20"/>
        </w:rPr>
        <w:t>The CNSide</w:t>
      </w:r>
      <w:r>
        <w:rPr>
          <w:rFonts w:ascii="Times New Roman" w:hAnsi="Times New Roman"/>
          <w:color w:val="000000"/>
          <w:sz w:val="20"/>
        </w:rPr>
        <w:t xml:space="preserve">® </w:t>
      </w:r>
      <w:r>
        <w:rPr>
          <w:rFonts w:ascii="Times New Roman" w:hAnsi="Times New Roman"/>
          <w:i/>
          <w:color w:val="000000"/>
          <w:sz w:val="20"/>
        </w:rPr>
        <w:t>FORESEE Trial</w:t>
      </w:r>
    </w:p>
    <w:p>
      <w:pPr>
        <w:pStyle w:val="TextBody"/>
        <w:bidi w:val="0"/>
        <w:jc w:val="both"/>
        <w:rPr>
          <w:rFonts w:ascii="Times New Roman" w:hAnsi="Times New Roman"/>
          <w:color w:val="000000"/>
          <w:sz w:val="20"/>
        </w:rPr>
      </w:pPr>
      <w:r>
        <w:rPr>
          <w:rFonts w:ascii="Times New Roman" w:hAnsi="Times New Roman"/>
          <w:color w:val="000000"/>
          <w:sz w:val="20"/>
        </w:rPr>
        <w:t xml:space="preserve">The CNSide® Platform consists of four LDTs used for treatment selection and treatment monitoring of patients with LM. The CNSide® Platform facilitates tumor cell detection/enumeration and biomarker identification using cellular assays (immunocytochemistry (ICC) and fluorescence in situ hybridization (FISH)) and molecular assays (next-generation sequencing (NGS)). The CNSide® Test is currently being used in the ReSPECT-LM trial as an exploratory endpoint and we are planning to re-introduce it to the US market starting in the second quarter of 2025. </w:t>
      </w:r>
    </w:p>
    <w:p>
      <w:pPr>
        <w:pStyle w:val="TextBody"/>
        <w:bidi w:val="0"/>
        <w:jc w:val="both"/>
        <w:rPr>
          <w:rFonts w:ascii="Times New Roman" w:hAnsi="Times New Roman"/>
          <w:sz w:val="20"/>
        </w:rPr>
      </w:pPr>
      <w:r>
        <w:rPr>
          <w:rFonts w:ascii="Times New Roman" w:hAnsi="Times New Roman"/>
          <w:color w:val="000000"/>
          <w:sz w:val="20"/>
        </w:rPr>
        <w:t>In August 2024, data from the CNSide</w:t>
      </w:r>
      <w:r>
        <w:rPr>
          <w:rFonts w:ascii="Times New Roman" w:hAnsi="Times New Roman"/>
          <w:color w:val="000000"/>
          <w:sz w:val="13"/>
        </w:rPr>
        <w:t>TM</w:t>
      </w:r>
      <w:r>
        <w:rPr>
          <w:rFonts w:ascii="Times New Roman" w:hAnsi="Times New Roman"/>
          <w:color w:val="000000"/>
          <w:sz w:val="20"/>
        </w:rPr>
        <w:t xml:space="preserve"> FORESEE clinical trial in patients with LM was presented at the Society for Neuro-Oncology (“SNO”) / American Society for Clinical Oncology (“ASCO”) CNS Metastases Conference. The trial met its key primary and secondary endpoints and the data showed that the CNSide</w:t>
      </w:r>
      <w:r>
        <w:rPr>
          <w:rFonts w:ascii="Times New Roman" w:hAnsi="Times New Roman"/>
          <w:color w:val="000000"/>
          <w:sz w:val="13"/>
        </w:rPr>
        <w:t>TM</w:t>
      </w:r>
      <w:r>
        <w:rPr>
          <w:rFonts w:ascii="Times New Roman" w:hAnsi="Times New Roman"/>
          <w:color w:val="000000"/>
          <w:sz w:val="20"/>
        </w:rPr>
        <w:t xml:space="preserve"> Test more than doubled the diagnostic sensitivity versus gold standard cerebrospinal fluid cytology and influenced clinical management decisions in over 90% of LM cases.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November 24, 2024, CNSide Diagnostics presented data at the 2024 SNO Annual Meeting from the FORESEE trial showcasing the CNSide® Platform’s utility in diagnosing and guiding clinical decision making for breast cancer and non-small cell lung cancer patients with LM.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Key highlights included: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FORESEE trial achieved its primary endpoint, demonstrating that the CNSide® Test influenced treatment decisions in over 90% of cases evaluated, surpassing the predetermined 20% primary endpoint target.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demonstrated enhanced sensitivity in detecting tumor cells (80%) vs. CSF cytology (29%) in patients with LM.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identified actionable mutations in the CSF, such as HER2 amplification, influencing 24% of therapeutic selection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exhibited high specificity, with no tumor cells detected in patients without LM.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demonstrated improved Negative Predictive Value in ruling out LM (25%) vs. CSF cytology (10%).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CNSide® Test revealed HER2 positivity in LM tumors in 60% of breast cancer patients with HER2-negative primary tumors, informing physician treatment strategies.</w:t>
      </w:r>
    </w:p>
    <w:p>
      <w:pPr>
        <w:pStyle w:val="TextBody"/>
        <w:bidi w:val="0"/>
        <w:spacing w:before="1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Refer to the “Liquidity and Capital Resources” section below for information on our recent financings. </w:t>
      </w:r>
    </w:p>
    <w:p>
      <w:pPr>
        <w:pStyle w:val="TextBody"/>
        <w:bidi w:val="0"/>
        <w:spacing w:before="120" w:after="283"/>
        <w:jc w:val="both"/>
        <w:rPr>
          <w:rFonts w:ascii="Times New Roman" w:hAnsi="Times New Roman"/>
          <w:sz w:val="20"/>
        </w:rPr>
      </w:pPr>
      <w:r>
        <w:rPr>
          <w:rFonts w:ascii="Times New Roman" w:hAnsi="Times New Roman"/>
          <w:i/>
          <w:color w:val="000000"/>
          <w:sz w:val="20"/>
        </w:rPr>
        <w:t>Appointment of new director of the board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18, 2025, our Board unanimously appointed Mr. Kyle Guse to serve as a director of the Board, effective immediately. Mr. Guse is being appointed to the Board to fill the vacancy created by the resignation of Mr. Greg Petersen, and is expected to stand for reelection at our next annual meeting of stockholders. The Board has determined that Mr. Guse satisfies the definition of an “independent director” under the Nasdaq listing standards and our Corporate Governance Guidelines. Mr. Guse was also appointed to the Audit Committee and Compensation Committee of the Board and as Chairman of the Audit Committee.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Manufacturing agreement with SpectronRX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5, 2024, we entered into a manufacturing services agreement for drug product development and manufacturing (the “SpectronRx Services Agreement”) with NukeMed, Inc. d/b/a SpectronRx (“SpectronRx”), pursuant to which SpectronRx will process development and manufacturing clinical investigational pharmaceutical products to support our clinical programs. Pursuant to the SpectronRx Services Agreement, an initial proposal for drug product development and manufacturing under the SpectronRx Services Agreement is expected to become effective in the second half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SpectronRx Services Agreement, we will own all rights and interest in all intellectual property, including rights (i) related to copyright, patent, trademark, or other right to ideas, inventions, products, programs, procedures, process, formats, and other materials, (ii) developed solely by us in connection with developing, formulating, manufacturing, filing, processing, packaging, analyzing or testing of a (a) pharmaceutical ingredient or any intermediate thereof (“API/Drug Substance”), (b) drug product comprised of API/Drug Substance (“Drug Candidate”), or (c) intermediate(s) of (a) or (b) (together with API/Drug Substance and Drug Candidate, the “Product”), or (iii) directly related to the services rendered by SpectronRx or its subcontractors. SpectronRx will own all rights and interest in the intellectual property owned by or licensed to SpectronRx other than in connection with Products or services covered under the SpectronRx Services Agreement (the “SpectronRx Technology”). To the extent that any portion of SpectronRx Technology is required for the purpose of using or applying the Products, SpectronRx is required to provide to us a non-exclusive, royalty-free, perpetual license for that portion of SpectronRx Technology that is required by us to use and apply the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SpectronRx Services Agreement, upon written notice by us to SpectronRx, at least six months in advance of our first commercial manufacturing needs for a Product, SpectronRx will be required to enter into good faith negotiations with us for a commercial supply agreement governing the manufacture of such Product for commercial sale or 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earlier terminated, the SpectronRx Services Agreement will remain in place for a period of five years. Thereafter, the SpectronRx Services Agreement will automatically renew for successive one-year terms unless either party notifies the other, not later than six months in advance of the original term or any additional renewed term, of the intention to terminate it. We may terminate the SpectronRx Services Agreement (i) for any reason on prior written notice to SpectronRx, provided that we will be required to compensate SpectronRx for certain fees and costs if such cancellation is made prior to the completion of a work order, or (ii) immediately if SpectronRx files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bankruptcy, becomes insolvent, or is suspended or debarred by the FDA or the United States government. In addition, either party may terminate the SpectronRx Services Agreement within thirty days upon any material breach that is left uncured by the other party.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Department of Defense Award</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September 1, 2024, we entered into an agreement with the DoD office of the Congressionally Directed Medical Research Programs to receive a $3.0 million DoD Award fund for research and development purposes over a three-year period. The DoD Award will be used to support the planned expansion of our clinical trial for pediatric brain cancer. On October 4, 2024, we received the first payment under the DoD Award in the amount of $0.9 million.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Revenue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recognized $1.1 million and $1.7 million of grant revenue during the three months ended March 31, 2025 and 2024, respectively, which represents CPRIT’s share of the costs incurred for our rhenium (</w:t>
      </w:r>
      <w:r>
        <w:rPr>
          <w:rFonts w:ascii="Times New Roman" w:hAnsi="Times New Roman"/>
          <w:color w:val="000000"/>
          <w:sz w:val="13"/>
        </w:rPr>
        <w:t>186</w:t>
      </w:r>
      <w:r>
        <w:rPr>
          <w:rFonts w:ascii="Times New Roman" w:hAnsi="Times New Roman"/>
          <w:color w:val="000000"/>
          <w:sz w:val="20"/>
        </w:rPr>
        <w:t xml:space="preserve">Re) obisbemeda development for the treatment of patients with LM.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include costs associated with the design, development, testing, and enhancement of our product candidates, payment of regulatory fees, laboratory supplies, pre-clinical studies, and clinical studies.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three months ended March 31, 2025 and 2024 (in thousands):</w:t>
      </w:r>
    </w:p>
    <w:tbl>
      <w:tblPr>
        <w:tblW w:w="6229" w:type="dxa"/>
        <w:jc w:val="left"/>
        <w:tblInd w:w="0" w:type="dxa"/>
        <w:tblLayout w:type="fixed"/>
        <w:tblCellMar>
          <w:top w:w="28" w:type="dxa"/>
          <w:left w:w="28" w:type="dxa"/>
          <w:bottom w:w="28" w:type="dxa"/>
          <w:right w:w="28" w:type="dxa"/>
        </w:tblCellMar>
      </w:tblPr>
      <w:tblGrid>
        <w:gridCol w:w="3496"/>
        <w:gridCol w:w="146"/>
        <w:gridCol w:w="272"/>
        <w:gridCol w:w="738"/>
        <w:gridCol w:w="188"/>
        <w:gridCol w:w="188"/>
        <w:gridCol w:w="272"/>
        <w:gridCol w:w="738"/>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decreased by approximately $1.0 million during the three months ended March 31, 2025 as compared to the same period in 2024. The decrease was due primarily to a reduction of $0.8 million in clinical expenses related to the ReSPECT-LM trial, a decrease of $0.1 million in professional research and development services, a reduction of $0.3 million in employee compensation expenses, and a decrease of $0.1 million in travel and other expenses, partially offset by an increase of approximately $0.3 million of licensing fees paid to NanoTx.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aggregate research and development expenses to largely remain consistent during the remainder of 2025 as compared to the corresponding comparable period in 2024.</w:t>
      </w:r>
    </w:p>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include costs for administrative personnel, legal and other professional expenses, and general corporate expenses. The following table summarizes the general and administrative expenses for the three months ended March 31, 2025 and 2024 (in thousands):</w:t>
      </w:r>
    </w:p>
    <w:p>
      <w:pPr>
        <w:pStyle w:val="TextBody"/>
        <w:bidi w:val="0"/>
        <w:jc w:val="both"/>
        <w:rPr/>
      </w:pPr>
      <w:r>
        <w:rPr/>
        <w:t> </w:t>
      </w:r>
    </w:p>
    <w:tbl>
      <w:tblPr>
        <w:tblW w:w="6274" w:type="dxa"/>
        <w:jc w:val="left"/>
        <w:tblInd w:w="0" w:type="dxa"/>
        <w:tblLayout w:type="fixed"/>
        <w:tblCellMar>
          <w:top w:w="28" w:type="dxa"/>
          <w:left w:w="28" w:type="dxa"/>
          <w:bottom w:w="28" w:type="dxa"/>
          <w:right w:w="28" w:type="dxa"/>
        </w:tblCellMar>
      </w:tblPr>
      <w:tblGrid>
        <w:gridCol w:w="3541"/>
        <w:gridCol w:w="146"/>
        <w:gridCol w:w="272"/>
        <w:gridCol w:w="738"/>
        <w:gridCol w:w="188"/>
        <w:gridCol w:w="188"/>
        <w:gridCol w:w="272"/>
        <w:gridCol w:w="738"/>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increased by $0.6 million during the three months ended March 31, 2025, as compared to the same period in 2024, primarily due to an increase of $0.3 million in compensation expenses, an increase of $0.4 million of legal and professional expenses, partially offset by a decrease of $0.1 million of travel and insurance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general and administrative expenditures to remain generally consistent during the remainder of 2025 as compared with the corresponding comparable period in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components of our stock-based compensation expenses for the three months ended March 31, 2025 and 2024 (in thousands):</w:t>
      </w:r>
    </w:p>
    <w:p>
      <w:pPr>
        <w:pStyle w:val="TextBody"/>
        <w:bidi w:val="0"/>
        <w:jc w:val="both"/>
        <w:rPr/>
      </w:pPr>
      <w:r>
        <w:rPr/>
        <w:t> </w:t>
      </w:r>
    </w:p>
    <w:tbl>
      <w:tblPr>
        <w:tblW w:w="5466" w:type="dxa"/>
        <w:jc w:val="left"/>
        <w:tblInd w:w="0" w:type="dxa"/>
        <w:tblLayout w:type="fixed"/>
        <w:tblCellMar>
          <w:top w:w="28" w:type="dxa"/>
          <w:left w:w="28" w:type="dxa"/>
          <w:bottom w:w="28" w:type="dxa"/>
          <w:right w:w="28" w:type="dxa"/>
        </w:tblCellMar>
      </w:tblPr>
      <w:tblGrid>
        <w:gridCol w:w="2731"/>
        <w:gridCol w:w="146"/>
        <w:gridCol w:w="325"/>
        <w:gridCol w:w="649"/>
        <w:gridCol w:w="225"/>
        <w:gridCol w:w="225"/>
        <w:gridCol w:w="325"/>
        <w:gridCol w:w="649"/>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share-based compensation expenses, which are impacted by grants of share-based options, vesting schedule of such grants, as well as grant-date fair value of share-based awards, remained consistent for the three months ended March 31, 2025 and 2024.</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items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non-operating income and expenses for the three months ended March 31, 2025 and 2024 (in thousands):</w:t>
      </w:r>
    </w:p>
    <w:p>
      <w:pPr>
        <w:pStyle w:val="TextBody"/>
        <w:bidi w:val="0"/>
        <w:jc w:val="both"/>
        <w:rPr/>
      </w:pPr>
      <w:r>
        <w:rPr/>
        <w:t> </w:t>
      </w:r>
    </w:p>
    <w:tbl>
      <w:tblPr>
        <w:tblW w:w="6431" w:type="dxa"/>
        <w:jc w:val="left"/>
        <w:tblInd w:w="0" w:type="dxa"/>
        <w:tblLayout w:type="fixed"/>
        <w:tblCellMar>
          <w:top w:w="28" w:type="dxa"/>
          <w:left w:w="28" w:type="dxa"/>
          <w:bottom w:w="28" w:type="dxa"/>
          <w:right w:w="28" w:type="dxa"/>
        </w:tblCellMar>
      </w:tblPr>
      <w:tblGrid>
        <w:gridCol w:w="3676"/>
        <w:gridCol w:w="146"/>
        <w:gridCol w:w="274"/>
        <w:gridCol w:w="957"/>
        <w:gridCol w:w="215"/>
        <w:gridCol w:w="189"/>
        <w:gridCol w:w="274"/>
        <w:gridCol w:w="489"/>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liability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increase in interest expense for the three months ended March 31, 2025 as compared to the same period in 2024 was primarily due to interest related to the Funding Notes issued and redeemed during the three months ended March 31, 2025. Financing expense, changes in the fair value of derivative instruments and warrant issuance costs were related to non cash charges related to the February 2025 and March 2025 transactions that the Company entered into during the three months ended March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decreased for the three months ended March 31, 2025 compared with the same period in 2024 primarily due to lower average cash and investment balances in year-to-date 2025, accreted income on our available-for-sale securities in 2024, and a higher interest rate environment in 2024.</w:t>
      </w:r>
    </w:p>
    <w:p>
      <w:pPr>
        <w:pStyle w:val="TextBody"/>
        <w:bidi w:val="0"/>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Short-term and long-term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our key liquidity measures at March 31, 2025 and December 31, 2024 (in thousands):</w:t>
      </w:r>
    </w:p>
    <w:p>
      <w:pPr>
        <w:pStyle w:val="TextBody"/>
        <w:bidi w:val="0"/>
        <w:jc w:val="both"/>
        <w:rPr/>
      </w:pPr>
      <w:r>
        <w:rPr/>
        <w:t> </w:t>
      </w:r>
    </w:p>
    <w:tbl>
      <w:tblPr>
        <w:tblW w:w="5675" w:type="dxa"/>
        <w:jc w:val="left"/>
        <w:tblInd w:w="0" w:type="dxa"/>
        <w:tblLayout w:type="fixed"/>
        <w:tblCellMar>
          <w:top w:w="28" w:type="dxa"/>
          <w:left w:w="28" w:type="dxa"/>
          <w:bottom w:w="28" w:type="dxa"/>
          <w:right w:w="28" w:type="dxa"/>
        </w:tblCellMar>
      </w:tblPr>
      <w:tblGrid>
        <w:gridCol w:w="2266"/>
        <w:gridCol w:w="146"/>
        <w:gridCol w:w="299"/>
        <w:gridCol w:w="961"/>
        <w:gridCol w:w="146"/>
        <w:gridCol w:w="146"/>
        <w:gridCol w:w="334"/>
        <w:gridCol w:w="1166"/>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incurred net losses of $17.4 million for the three months ended March 31, 2025. We have an accumulated deficit of $510.9 million as of March 31, 2025. Additionally, we used net cash of $6.2 million to fund our operating activities for the three months ended March 31, 2025. These factors raise substantial doubt about our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date, our operating losses have been funded primarily from outside sources of invested capital from issuance of our common and preferred equity, proceeds from our now-repaid in full term loan with Oxford Finance, LLC (“Oxford”), our line of credit facility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Pershing LLC and grant funding.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ability to satisfy our obligations.</w:t>
      </w:r>
    </w:p>
    <w:p>
      <w:pPr>
        <w:pStyle w:val="TextBody"/>
        <w:bidi w:val="0"/>
        <w:jc w:val="both"/>
        <w:rPr>
          <w:rFonts w:ascii="Times New Roman" w:hAnsi="Times New Roman"/>
          <w:i/>
          <w:color w:val="000000"/>
          <w:sz w:val="20"/>
        </w:rPr>
      </w:pPr>
      <w:r>
        <w:rPr>
          <w:rFonts w:ascii="Times New Roman" w:hAnsi="Times New Roman"/>
          <w:i/>
          <w:color w:val="000000"/>
          <w:sz w:val="20"/>
        </w:rPr>
        <w:t>February 2025 SPEA</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13, 2025 (the “February 2025 SPEA Closing Date”), we entered into a securities purchase and exchange agreement (the “February 2025 SPEA”) with certain existing accredited investors. Pursuant to the February 2025 SPEA, on the February 2025 SPEA Closing Date we issued secured convertible promissory notes (the “Funding Notes”) in the aggregate principal amount of $3.3 million together with common stock purchase warrants (the “February 2025 Warrants”) to purchase 3,002,009 shares of our common stock at an exercise price of $1.12 per share. The aggregate purchase price for the Funding Note and February 2025 Warrants was approximately $3.7 million and included payment of $0.125 per February 2025 Warrant in accordance with the listing rules of Nasdaq. </w:t>
      </w:r>
    </w:p>
    <w:p>
      <w:pPr>
        <w:pStyle w:val="TextBody"/>
        <w:bidi w:val="0"/>
        <w:spacing w:before="120" w:after="283"/>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May 2024 Purchase Agreement (as described below)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February 2025 SPEA Closing Date, pursuant to the February 2025 SPEA, we issued to the Outside Investors secured convertible promissory notes in the aggregate amount of $3.2 million (the “Exchange Notes”) in exchange for cancellation of the 3,543,247 May 2024 Series A Warrants held by them, and the Outside Investors entered into a second amendment to the May 2024 Purchase Agreement to eliminate the Financing Restrictions.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below, we repurchased the Funding Notes and issued common stock and warrants for cancellation of the Exchange Notes in connection with the March 2025 Private Placement.</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March 2025 Private Placement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March 4, 2025, we entered into a securities purchase agreement (the “March 2025 Purchase Agreement”) with accredited investors, including certain of our existing stockholders, identified on the signature page thereto (collectively, the “March 2025 Private Placement Purchasers”) for a private placement of securities (the “March 2025 Private Placement”) for gross proceeds of approximately $15.0 million. Pursuant to the March 2025 Purchase Agreement, we issued an aggregate of 4,069,738 shares (the “March 2025 Private Placement Shares”) of our common stock and 23,972,400 Prefunded Warrants, with each March 2025 Private Placement Share or Prefunded Warrant accompanied by (i) a Series A common warrant (the “March 2025 Series A Warrants”) to purchase one share of common stock and (ii) one Series B common warrant (the “March 2025 Series B Warrants”) to purchase one share of common stock.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combined purchase price of $0.66 for each March 2025 Private Placement Share or $0.659 for each Prefunded Warrant in the March 2025 Private Placement, together with one accompanying March 2025 Series A Warrant and one accompanying March 2025 Series B Warrant, represented the applicable “Minimum Price” in accordance with Listing Rule 5635(d) of Nasdaq.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initial exercise price of each March 2025 Series A Warrant is $1.32 per share of common stock. The March 2025 Series A Warrants are exercisable only following stockholder approval and expire five (5) years thereafter. The March 2025 Series A Warrants are subject to certain price reset, share combination event and anti-dilution provisions which, if triggered, provide that the number of shares issuable upon exercise of the March 2025 Series A Warrants will downward adjust, subject to the Floor Price, and the number of shares issuable upon exercise therefor will increase such that the aggregate exercise price remains unchanged.</w:t>
      </w:r>
    </w:p>
    <w:p>
      <w:pPr>
        <w:pStyle w:val="TextBody"/>
        <w:bidi w:val="0"/>
        <w:jc w:val="both"/>
        <w:rPr>
          <w:rFonts w:ascii="Times New Roman" w:hAnsi="Times New Roman"/>
          <w:color w:val="000000"/>
          <w:sz w:val="20"/>
        </w:rPr>
      </w:pPr>
      <w:r>
        <w:rPr>
          <w:rFonts w:ascii="Times New Roman" w:hAnsi="Times New Roman"/>
          <w:color w:val="000000"/>
          <w:sz w:val="20"/>
        </w:rPr>
        <w:t>The initial exercise price of each March 2025 Series B Warrant is $1.98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us and for three times the number of shares of common stock then subject to the March 2025 Series B Warrant.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Of the securities issued in the March 2025 Private Placement, 3,077,270 shares of Common Stock, 19,650,000 shares of March 2025 Prefunded Warrants in lieu thereof, and the accompanying 22,727,270 March 2025 Series A Warrants and 22,727,270 March 2025 Series B Warrants, were issued in consideration of new capital subscriptions, and 992,468 shares of Common Stock, 4,322,400 March 2025 Prefunded Warrants in lieu thereof, and the accompanying 5,314,870 March 2025 Series A Warrants and 5,314,870 March 2025 Series B Warrants, were issued in exchange for the cancelation of the Exchange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aggregate gross proceeds at the closing were approximately $15.0 million, before deducting $1.4 million of expenses payable by us.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March 2025 Purchase Agreement, we entered into that certain First Amendment to the February 2025 SPEA (the “First Amendment”). The February 2025 SPEA included certain limitations and restrictions on our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the Funding Notes and 3,002,009 February 2025 Warrants issued pursuant to the February 2025 SPEA for an aggregate purchase price of $4.25 million. In exchange for the repurchase by us of the Funding Notes and February 2025 SPEA Warrants, the investors agreed to consent to the March 2025 Private Placement and eliminate the New Financing Restrictions.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May 2024 Private Placement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2024, we entered into a securities purchase agreement (the “May 2024 Purchase Agreement”), which was subsequently amended, with certain investors, including certain of the our directors and executive officers (the “May 2024 Private Placement Purchasers”), whereby we issued and sold in a private placement (the “May 2024 Private Placement”): (i) 3,591,532 shares of common stock or, at the election of each investor, pre-funded warrants (“May 2024 Prefunded Warrants”) to purchase shares of common stock exercisable immediately at an exercise price of $0.001 per share. Each share or May 2024 Prefunded Warrant was accompanied by (i) a Series A common warrant (“May 2024 Series A Warrants”) to purchase one share of common stock, for an aggregate of 3,591,532 Series A Warrants, and (ii) one Series B common warrant (“May 2024 Series B Warrants”) to purchase one share of common stock, for an aggregate of 3,591,532 May 2024 Series B Warrants. At the closing of the May 2024 Private Placement, we received net proceeds of approximately $7.3 million.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CPRIT Grant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19, 2022, we entered into the CPRIT Contract, pursuant to which CPRIT will provide us with the CPRIT Grant of $17.6 million subject to the terms of the CPRIT Contract, to fund approximately two-thirds of the continued development of REYOBIQ for the treatment of patients with LM. We recognized $1.1 million, $5.8 million, $4.9 million and $0.2 million of grant revenue during the quarter ended March 31, 2025, years ended December 31, 2024, 2023 and 2022, respectively, all of which has been received. The amounts recognized represents CPRIT’s share of the costs incurred for our REYOBIQ development for the treatment of patients with LM. As of March 31, 2025, we had $0.4 million of deferred grant liability related to the CPRIT Grant. </w:t>
      </w:r>
    </w:p>
    <w:p>
      <w:pPr>
        <w:pStyle w:val="TextBody"/>
        <w:bidi w:val="0"/>
        <w:jc w:val="both"/>
        <w:rPr>
          <w:rFonts w:ascii="Times New Roman" w:hAnsi="Times New Roman"/>
          <w:sz w:val="20"/>
        </w:rPr>
      </w:pPr>
      <w:r>
        <w:rPr>
          <w:rFonts w:ascii="Times New Roman" w:hAnsi="Times New Roman"/>
          <w:i/>
          <w:color w:val="000000"/>
          <w:sz w:val="20"/>
        </w:rPr>
        <w:t>Nasdaq Listing Compliance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8, 2024, we received notice from the Listing Qualifications staff of Nasdaq (the “Staff”), notifying us that we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5, 2024, Nasdaq notified us that we had not regained compliance with Nasdaq Listing Rule 5550(b)(1). We requested a hearing before the Nasdaq Hearings Panel (the “Panel”) and on October 30, 2024, we received a decision from the Panel, notifying us that we had until March 4, 2025 to demonstrate compliance with the Minimum Stockholders’ Equity Requirement.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7, 2025, we received notification from Nasdaq that it had regained compliance with the Minimum Stockholders’ Equity Requirement due to the March 2025 Private Placement.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Nasdaq Listing Rule 5815(d)(4)(B), we will be subject to a Mandatory Panel Monitor until March 7, 2026. If the Staff finds us again out of compliance with the Minimum Stockholders’ Equity Requirement before that date, we would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hearing before the Panel regarding our continued listing.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on May 16, 2025, we received notice from Nasdaq that, because the closing bid price for our common stock has fallen below $1.00 per share for 30 consecutive business days, we no longer comply with the minimum bid price requirement pursuant to Nasdaq Listing Rule 5550(a)(2) (the “Minimum Bid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Nasdaq’s Minimum Bid Requirement notice has no immediate effect on the listing or trading of our common stock. Pursuant to Nasdaq Listing Rule 5810(c)(3)(A), we are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achieve compliance with the Minimum Bid Requirement by November 12, 2025,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Nasdaq staff determines that we will not be able to cure the deficiency, or if we are otherwise not eligible for such additional compliance period, Nasdaq will provide notice that our common stock will be subject to delisting. In the event we receive notice that its common stock is being delisted, Nasdaq rules permit us to appeal any delisting determination by the Nasdaq staff.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monitor the closing bid price of our common stock and may, if appropriate, consider implementing available options to regain compliance with the Minimum Bid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2, 2025, our stockholders granted discretionary authority to our board of directors to (i) amend our Certificate of Incorporation to combine outstanding shares of our common stock into a lesser number of outstanding shares, or a “reverse stock split,” at a specific ratio within a range of one-for twenty five (1-for-25) to a maximum of one-for-two hundred fifty (1-for-250), with the exact ratio to be determined by the board of directors in its sole discretion; and (ii) effect the reverse stock split, if at all, within twelve (12) months of the date the proposal is approved by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21, 2025, we received a notice from the Nasdaq staff that, as a result of our delay in filing our Quarterly Report on Form 10-Q for the period ended March 31, 2025, we were not in compliance with Nasdaq Listing Rule 5250(c)(1) (the “Rule”), which requires Nasdaq-listed companies to timely file all required periodic financial reports with the U.S. Securities and Exchange Commission (the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notice states that we have until July 21, 2025, to submit to Nasdaq an update to our plan to regain compliance with the Rule. The notice also indicates that any additional exception to allow us to regain compliance with all delinquent filings will be limited to up to 180 calendar days from the due date of the filing, or until November 17, 2025. The notice has no immediate effect on the listing of our securities on Nasdaq.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regain compliance with the Minimum Bid Requirement or maintain compliance with the other listing requirements.</w:t>
      </w:r>
    </w:p>
    <w:p>
      <w:pPr>
        <w:pStyle w:val="TextBody"/>
        <w:bidi w:val="0"/>
        <w:jc w:val="both"/>
        <w:rPr>
          <w:rFonts w:ascii="Times New Roman" w:hAnsi="Times New Roman"/>
          <w:sz w:val="20"/>
        </w:rPr>
      </w:pPr>
      <w:r>
        <w:rPr>
          <w:rFonts w:ascii="Times New Roman" w:hAnsi="Times New Roman"/>
          <w:i/>
          <w:color w:val="000000"/>
          <w:sz w:val="20"/>
        </w:rPr>
        <w:t>Funding and Material Cash Requirements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To date, our operating losses have been funded primarily from outside sources of invested capital from issuance of shares of our common and preferred equity, warrants, proceeds from the now-repaid in full term loan with Oxford, the margin loan facility under a line of credit with Pershing and grant funding. However, we have had, and will continue to have, an ongoing need to raise additional cash from outside sources through a combination of equity offerings, debt financings and potential collaboration, license or development agreements to fund our future clinical development programs, commercialization of CNSide</w:t>
      </w:r>
      <w:r>
        <w:rPr>
          <w:rFonts w:ascii="Times New Roman" w:hAnsi="Times New Roman"/>
          <w:color w:val="000000"/>
          <w:sz w:val="13"/>
        </w:rPr>
        <w:t>TM</w:t>
      </w:r>
      <w:r>
        <w:rPr>
          <w:rFonts w:ascii="Times New Roman" w:hAnsi="Times New Roman"/>
          <w:color w:val="000000"/>
          <w:sz w:val="20"/>
        </w:rPr>
        <w:t xml:space="preserve">, and other operations in the next twelve months from the filing of this Quarterly Report.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 </w:t>
      </w:r>
    </w:p>
    <w:p>
      <w:pPr>
        <w:pStyle w:val="TextBody"/>
        <w:bidi w:val="0"/>
        <w:jc w:val="both"/>
        <w:rPr>
          <w:rFonts w:ascii="Times New Roman" w:hAnsi="Times New Roman"/>
          <w:color w:val="000000"/>
          <w:sz w:val="20"/>
        </w:rPr>
      </w:pPr>
      <w:r>
        <w:rPr>
          <w:rFonts w:ascii="Times New Roman" w:hAnsi="Times New Roman"/>
          <w:color w:val="000000"/>
          <w:sz w:val="20"/>
        </w:rPr>
        <w:t>Our present and future funding and cash requirements will depend on many factors, including, among other things: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timing and completion of our ongoing and planned clinical trials and nonclinical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receive, and the timing of receipt of, future regulatory approvals for our product candidates and the costs related thereto;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development and utility of the CNSide</w:t>
      </w:r>
      <w:r>
        <w:rPr>
          <w:rFonts w:ascii="Times New Roman" w:hAnsi="Times New Roman"/>
          <w:color w:val="000000"/>
          <w:sz w:val="13"/>
        </w:rPr>
        <w:t>TM</w:t>
      </w:r>
      <w:r>
        <w:rPr>
          <w:color w:val="000000"/>
        </w:rPr>
        <w:t xml:space="preserve"> </w:t>
      </w:r>
      <w:r>
        <w:rPr>
          <w:rFonts w:ascii="Times New Roman" w:hAnsi="Times New Roman"/>
          <w:color w:val="000000"/>
          <w:sz w:val="20"/>
        </w:rPr>
        <w:t>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our ongoing and planned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expanding our operations and building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if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new product candidates that we identify and attempt to develop.</w:t>
      </w:r>
    </w:p>
    <w:p>
      <w:pPr>
        <w:pStyle w:val="TextBody"/>
        <w:bidi w:val="0"/>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that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provided by operating, investing, and financing activities for the three months ended March 31, 2025 and 2024 is summarized as follows (in thousands):</w:t>
      </w:r>
    </w:p>
    <w:p>
      <w:pPr>
        <w:pStyle w:val="TextBody"/>
        <w:bidi w:val="0"/>
        <w:jc w:val="both"/>
        <w:rPr/>
      </w:pPr>
      <w:r>
        <w:rPr/>
        <w:t> </w:t>
      </w:r>
    </w:p>
    <w:tbl>
      <w:tblPr>
        <w:tblW w:w="6972" w:type="dxa"/>
        <w:jc w:val="left"/>
        <w:tblInd w:w="0" w:type="dxa"/>
        <w:tblLayout w:type="fixed"/>
        <w:tblCellMar>
          <w:top w:w="28" w:type="dxa"/>
          <w:left w:w="28" w:type="dxa"/>
          <w:bottom w:w="28" w:type="dxa"/>
          <w:right w:w="28" w:type="dxa"/>
        </w:tblCellMar>
      </w:tblPr>
      <w:tblGrid>
        <w:gridCol w:w="4216"/>
        <w:gridCol w:w="146"/>
        <w:gridCol w:w="248"/>
        <w:gridCol w:w="795"/>
        <w:gridCol w:w="195"/>
        <w:gridCol w:w="171"/>
        <w:gridCol w:w="248"/>
        <w:gridCol w:w="742"/>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40"/>
        <w:jc w:val="both"/>
        <w:rPr>
          <w:rFonts w:ascii="Times New Roman" w:hAnsi="Times New Roman"/>
          <w:i/>
          <w:color w:val="000000"/>
          <w:sz w:val="20"/>
        </w:rPr>
      </w:pPr>
      <w:r>
        <w:rPr>
          <w:rFonts w:ascii="Times New Roman" w:hAnsi="Times New Roman"/>
          <w:i/>
          <w:color w:val="000000"/>
          <w:sz w:val="20"/>
        </w:rPr>
        <w:t>Material Cash Obligations</w:t>
      </w:r>
    </w:p>
    <w:p>
      <w:pPr>
        <w:pStyle w:val="TextBody"/>
        <w:bidi w:val="0"/>
        <w:jc w:val="both"/>
        <w:rPr>
          <w:rFonts w:ascii="Times New Roman" w:hAnsi="Times New Roman"/>
          <w:color w:val="000000"/>
          <w:sz w:val="20"/>
        </w:rPr>
      </w:pPr>
      <w:r>
        <w:rPr>
          <w:rFonts w:ascii="Times New Roman" w:hAnsi="Times New Roman"/>
          <w:color w:val="000000"/>
          <w:sz w:val="20"/>
        </w:rPr>
        <w:t>Under the CPRIT Contract, we receive matching funds for approximately two-thirds of the development costs for the development of REYOBIQ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pStyle w:val="TextBody"/>
        <w:bidi w:val="0"/>
        <w:jc w:val="left"/>
        <w:rPr>
          <w:rFonts w:ascii="Times New Roman" w:hAnsi="Times New Roman"/>
          <w:color w:val="000000"/>
          <w:sz w:val="20"/>
        </w:rPr>
      </w:pPr>
      <w:r>
        <w:rPr>
          <w:rFonts w:ascii="Times New Roman" w:hAnsi="Times New Roman"/>
          <w:color w:val="000000"/>
          <w:sz w:val="20"/>
        </w:rPr>
        <w:t>Other than as described above, we have no purchase commitments or long-term contractual obligations, except for lease obligations as of March 31, 2025.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40" w:after="283"/>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2025 was $6.2 million, compared with $4.5 million in the same period of 2024, primarily due to an increase to net loss of $14.1 million, offset by non cash charges of $12.7 million during the three months ended March 31,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investing activities for the three months ended March 31, 2025 was related to maturities of short-term investments of $3.5 million. Net cash used in investing activities for the three months ended March 31, 2024 was related to purchase of short-term investments of $0.3 million and purchases of fixed assets of $40,000.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for the three months ended March 31, 2025 was related to $14.8 million of net proceeds from issuance of common stock, pre-funded warrants and warrants, $0.9 million related to cash received from exercise of warrants, and $3.7 million from issuance of Funding Notes payable and accompanying warrants, offset by repayment of $3.3 million of our line of credit facility, and repayment of Funding Notes payable and warrants for $3.7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for the three months ended March 31, 2024 was related to repurchase of treasury stock for approximately $0.4 million and repayment of principle balance under the Oxford loan of $0.4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it is important for you to understand our most critical accounting policies. Our critical accounting policies and estimates are discussed in our Annual Report on Form 10-K for the fiscal year ended December 31, 2024 and there have been no material changes during the three months ended March 31, 2025, other than what was disclosed in Note 1 of the accompanying condensed consolidated financial statements. </w:t>
      </w:r>
    </w:p>
    <w:p>
      <w:pPr>
        <w:pStyle w:val="TextBody"/>
        <w:bidi w:val="0"/>
        <w:spacing w:before="24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 </w:t>
      </w:r>
    </w:p>
    <w:p>
      <w:pPr>
        <w:pStyle w:val="TextBody"/>
        <w:bidi w:val="0"/>
        <w:spacing w:before="24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Rules 13a-15(f) and 15d-15(f) under the Exchange Act) during the quarter ended March 31, 2025, that has materially affected, or is reasonably likely to materially affect, our internal control over financial reporting. </w:t>
      </w:r>
    </w:p>
    <w:p>
      <w:pPr>
        <w:pStyle w:val="TextBody"/>
        <w:bidi w:val="0"/>
        <w:spacing w:before="240" w:after="283"/>
        <w:jc w:val="both"/>
        <w:rPr>
          <w:rFonts w:ascii="Times New Roman" w:hAnsi="Times New Roman"/>
          <w:b/>
          <w:color w:val="000000"/>
          <w:sz w:val="20"/>
        </w:rPr>
      </w:pPr>
      <w:bookmarkStart w:id="12" w:name="part_ii_or_information"/>
      <w:bookmarkEnd w:id="12"/>
      <w:r>
        <w:rPr>
          <w:rFonts w:ascii="Times New Roman" w:hAnsi="Times New Roman"/>
          <w:b/>
          <w:color w:val="000000"/>
          <w:sz w:val="20"/>
        </w:rPr>
        <w:t>PART II. OTHER INFORMATION</w:t>
      </w:r>
    </w:p>
    <w:p>
      <w:pPr>
        <w:pStyle w:val="TextBody"/>
        <w:bidi w:val="0"/>
        <w:spacing w:before="120" w:after="283"/>
        <w:jc w:val="both"/>
        <w:rPr>
          <w:rFonts w:ascii="Times New Roman" w:hAnsi="Times New Roman"/>
          <w:sz w:val="20"/>
        </w:rPr>
      </w:pPr>
      <w:bookmarkStart w:id="13" w:name="item_1_legal_proceedings"/>
      <w:bookmarkEnd w:id="1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both"/>
        <w:rPr>
          <w:rFonts w:ascii="Times New Roman" w:hAnsi="Times New Roman"/>
          <w:sz w:val="20"/>
        </w:rPr>
      </w:pPr>
      <w:bookmarkStart w:id="14" w:name="item_1a_risk_factors_new"/>
      <w:bookmarkEnd w:id="14"/>
      <w:r>
        <w:rPr>
          <w:rFonts w:ascii="Times New Roman" w:hAnsi="Times New Roman"/>
          <w:b/>
          <w:color w:val="000000"/>
          <w:sz w:val="20"/>
        </w:rPr>
        <w:t>Item 1A. Ris</w:t>
      </w:r>
      <w:bookmarkStart w:id="15" w:name="item_1a_risk_factors"/>
      <w:bookmarkEnd w:id="15"/>
      <w:r>
        <w:rPr>
          <w:rFonts w:ascii="Times New Roman" w:hAnsi="Times New Roman"/>
          <w:b/>
          <w:color w:val="000000"/>
          <w:sz w:val="20"/>
        </w:rPr>
        <w:t>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material changes to the risk factors disclosed in Part I, Item 1A, “Risk Factors” of our Annual Report on Form 10-K for the year ended December 31, 2024, which are incorporated herein by this reference, other than as set forth below.</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March 2025 Private Placement may result in an immediate trading halt or delisting of our shares of Common Stock from Nasdaq due to public interest concerns.</w:t>
      </w:r>
    </w:p>
    <w:p>
      <w:pPr>
        <w:pStyle w:val="TextBody"/>
        <w:bidi w:val="0"/>
        <w:jc w:val="both"/>
        <w:rPr>
          <w:rFonts w:ascii="Times New Roman" w:hAnsi="Times New Roman"/>
          <w:color w:val="000000"/>
          <w:sz w:val="20"/>
        </w:rPr>
      </w:pPr>
      <w:r>
        <w:rPr>
          <w:rFonts w:ascii="Times New Roman" w:hAnsi="Times New Roman"/>
          <w:color w:val="000000"/>
          <w:sz w:val="20"/>
        </w:rPr>
        <w:t>Under Nasdaq Listing Rule 5101, Nasdaq has broad discretionary authority to terminate the listing of securities, subject to a timely-requested hearing, if it determines that continued listing is not in the public interest, even if the issuer is in compliance with Nasdaq’s enumerated listing criteria. The March 2025 Series A Warrants contain certain anti-dilution protection whereby, subject to certain exceptions, if the Company sells any shares of common stock (or securities convertible into or exercisable into common stock) at a price per share (or conversion or exercise price, as applicable) less than the exercise price of the March 2025 Series A Warrants then in effect, then the exercise price of the March 2025 Series A Warrants will be reduced to such lower price, but no lower than the Floor Price, and the number of shares issuable upon exercise will be proportionately adjusted such that the aggregate exercise price will remain unchanged. The March 2025 Series A Warrants and March 2025 Series B Warrants contain exercise price reset and share combination event provisions that may result in a downward adjustment to the exercise price, subject to the Floor Price, and a corresponding increase in the number of shares of Common Stock issuable upon exercise therefor, such that the aggregate exercise price would remain unchanged. The March 2025 Series B Warrants contain an alternative cashless exercise provision, pursuant to which the March 2025 Series B Warrants can be exercised without cash payment to the Company and for three (3) times the number of shares of Common Stock issuable upon exercise for cash of the March 2025 Series B Warrants. As a result of such features, the number of shares of Common Stock issuable upon exercise of the March 2025 Series A Warrants and Series B warrants may increase significantly. As of the date of filing of this quarterly report on Form 10-Q, the 28,042,138 March 2025 Series A Warrants issued in the March 2025 Private Placement is exercisable for an aggregate of up to 84,645,187 shares of Common Stock. In addition, of the 28,042,138 March 2025 Series B Warrants issued in the March 2025 Private Placement, 2,248,080 warrants have been exercised into 16,257,428 shares of Common Stock, and the remaining March 2025 Series B Warrants is exercisable into 350,371,013 shares of Common Stock.</w:t>
      </w:r>
    </w:p>
    <w:p>
      <w:pPr>
        <w:pStyle w:val="TextBody"/>
        <w:bidi w:val="0"/>
        <w:jc w:val="both"/>
        <w:rPr>
          <w:rFonts w:ascii="Times New Roman" w:hAnsi="Times New Roman"/>
          <w:color w:val="000000"/>
          <w:sz w:val="20"/>
        </w:rPr>
      </w:pPr>
      <w:r>
        <w:rPr>
          <w:rFonts w:ascii="Times New Roman" w:hAnsi="Times New Roman"/>
          <w:color w:val="000000"/>
          <w:sz w:val="20"/>
        </w:rPr>
        <w:t>If Nasdaq determines the terms of the March 2025 Private Placement raised public interest concerns due to the dilutive nature of the transaction, or any other reason, Nasdaq may issue a determination letter to delist our shares of Common Stock pursuant to its discretionary authority under Listing Rule 5101. In that event, even if we were to timely request a hearing with respect to Nasdaq’s determination to delist our shares of Common Stock, Nasdaq may still impose an immediate halt on the trading of our shares of Common Stock pursuant to Nasdaq Listing Rule 4120(a)(5) pending the outcome of such hearing. If trading in our shares of Common Stock were to be halted or if Nasdaq were to determine to delist our shares of Common Stock, investors in our securities could lose all or part of their investment and our ability to raise additional capital through the public or private sale of equity securities would be adversely affected.</w:t>
      </w:r>
    </w:p>
    <w:p>
      <w:pPr>
        <w:pStyle w:val="TextBody"/>
        <w:bidi w:val="0"/>
        <w:jc w:val="both"/>
        <w:rPr>
          <w:rFonts w:ascii="Times New Roman" w:hAnsi="Times New Roman"/>
          <w:sz w:val="20"/>
        </w:rPr>
      </w:pPr>
      <w:r>
        <w:rPr>
          <w:rFonts w:ascii="Times New Roman" w:hAnsi="Times New Roman"/>
          <w:b/>
          <w:i/>
          <w:color w:val="000000"/>
          <w:sz w:val="20"/>
        </w:rPr>
        <w:t>We could be delisted from Nasdaq for failure to comply with the Minimum Stockholders’ Equity Requirement, the Minimum Bid Requirement or other applicable continued listing requirements and standards of Nasdaq, which would seriously harm the liquidity of our stock and our ability to raise capital.</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Our common stock is currently listed on The Nasdaq Capital Market. In order to maintain that listing, we must maintain compliance with Nasdaq's continued listing requirements and standards. There can be no assurances that we will be able to comply with the applicable listing requirements and standards of Nasdaq.</w:t>
      </w:r>
    </w:p>
    <w:p>
      <w:pPr>
        <w:pStyle w:val="TextBody"/>
        <w:bidi w:val="0"/>
        <w:jc w:val="both"/>
        <w:rPr>
          <w:rFonts w:ascii="Times New Roman" w:hAnsi="Times New Roman"/>
          <w:i/>
          <w:color w:val="000000"/>
          <w:sz w:val="20"/>
        </w:rPr>
      </w:pPr>
      <w:r>
        <w:rPr>
          <w:rFonts w:ascii="Times New Roman" w:hAnsi="Times New Roman"/>
          <w:i/>
          <w:color w:val="000000"/>
          <w:sz w:val="20"/>
        </w:rPr>
        <w:t>Minimum Stockholders’ Equity Requirement</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2024, we received notice from the Listing Qualifications staff of Nasdaq (the “Staff”), notifying us that we no longer maintained at least $2.5 million in stockholders’ equity, as required under Nasdaq Listing Rule 5550(b)(1) (the “Minimum Stockholders’ Equity Requirement”). </w:t>
      </w:r>
    </w:p>
    <w:p>
      <w:pPr>
        <w:pStyle w:val="TextBody"/>
        <w:bidi w:val="0"/>
        <w:jc w:val="both"/>
        <w:rPr>
          <w:rFonts w:ascii="Times New Roman" w:hAnsi="Times New Roman"/>
          <w:color w:val="000000"/>
          <w:sz w:val="20"/>
        </w:rPr>
      </w:pPr>
      <w:r>
        <w:rPr>
          <w:rFonts w:ascii="Times New Roman" w:hAnsi="Times New Roman"/>
          <w:color w:val="000000"/>
          <w:sz w:val="20"/>
        </w:rPr>
        <w:t>On September 5, 2024, Nasdaq notified us that we had not regained compliance with the Minimum Stockholders’ Equity Requirement and that, as a result, unless we timely requested an appeal of this determination to a Nasdaq Hearings Panel (the “Panel”), Nasdaq would move to suspend trading of our common stock and to have our shares of common stock delisted from The Nasdaq Capital Market. The Company timely requested a hearing before the Panel, and the hearing was held on October 22, 2024. On October 30, 2024, Nasdaq provided us until March 4, 2025, to notify Nasdaq that we were in compliance with the Minimum Stockholders’ Equity Requirement. On March 7, 2025, the Company received notification from Nasdaq that it had regained compliance with the Minimum Stockholders’ Equity Requirement.</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Nasdaq Listing Rule 5815(d)(4)(B), we will be subject to a Mandatory Panel Monitor until March 7, 2026. If the Staff finds we are again out of compliance with the Minimum Stockholders’ Equity Requirement before that date, we will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Nasdaq hearing panel regarding our continued listing. As disclosed in this Quarterly Report, our stockholders’ equity as of March 31, 2025 was below the Minimum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Stockholders’ Equity Requirement. Accordingly, we expect the Staff will issue a “Delist Determination Letter” and, once issued, we intend to request a hearing before a Nasdaq hearing panel regarding our continued listing with respect to the Minimum Stockholders’ Equity Requirement. </w:t>
      </w:r>
    </w:p>
    <w:p>
      <w:pPr>
        <w:pStyle w:val="TextBody"/>
        <w:bidi w:val="0"/>
        <w:jc w:val="both"/>
        <w:rPr>
          <w:rFonts w:ascii="Times New Roman" w:hAnsi="Times New Roman"/>
          <w:i/>
          <w:color w:val="000000"/>
          <w:sz w:val="20"/>
        </w:rPr>
      </w:pPr>
      <w:r>
        <w:rPr>
          <w:rFonts w:ascii="Times New Roman" w:hAnsi="Times New Roman"/>
          <w:i/>
          <w:color w:val="000000"/>
          <w:sz w:val="20"/>
        </w:rPr>
        <w:t>Minimum Bid Requirement</w:t>
      </w:r>
    </w:p>
    <w:p>
      <w:pPr>
        <w:pStyle w:val="TextBody"/>
        <w:bidi w:val="0"/>
        <w:jc w:val="both"/>
        <w:rPr>
          <w:rFonts w:ascii="Times New Roman" w:hAnsi="Times New Roman"/>
          <w:color w:val="000000"/>
          <w:sz w:val="20"/>
        </w:rPr>
      </w:pPr>
      <w:r>
        <w:rPr>
          <w:rFonts w:ascii="Times New Roman" w:hAnsi="Times New Roman"/>
          <w:color w:val="000000"/>
          <w:sz w:val="20"/>
        </w:rPr>
        <w:t>On May 16, 2025, we received notice from Nasdaq that, because the closing bid price for the our common stock has fallen below $1.00 per share for 30 consecutive business days, we no longer comply with the minimum bid price requirement pursuant to Nasdaq Listing Rule 5550(a)(2) (the “Minimum Bid Requirement”). Nasdaq’s notice has no immediate effect on the listing or trading of our common stock. Pursuant to Nasdaq Listing Rule 5810(c)(3)(A), we are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pStyle w:val="TextBody"/>
        <w:bidi w:val="0"/>
        <w:jc w:val="both"/>
        <w:rPr>
          <w:rFonts w:ascii="Times New Roman" w:hAnsi="Times New Roman"/>
          <w:color w:val="000000"/>
          <w:sz w:val="20"/>
        </w:rPr>
      </w:pPr>
      <w:r>
        <w:rPr>
          <w:rFonts w:ascii="Times New Roman" w:hAnsi="Times New Roman"/>
          <w:color w:val="000000"/>
          <w:sz w:val="20"/>
        </w:rPr>
        <w:t>If we do not achieve compliance with the Minimum Bid Requirement by November 12, 2025,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 by effecting a reverse stock split if necessary. If the Nasdaq staff determines that we will not be able to cure the deficiency, or if we are otherwise not eligible for such additional compliance period, Nasdaq will provide notice that our common stock will be subject to delisting. In the event we receive notice that our common stock is being delisted, Nasdaq rules permit us to appeal any delisting determination by the Nasdaq staff. Furthermore, any efforts we take to meet the Minimum Bid Requirement, including pursuing a reverse stock split, may not be sufficient.</w:t>
      </w:r>
    </w:p>
    <w:p>
      <w:pPr>
        <w:pStyle w:val="TextBody"/>
        <w:bidi w:val="0"/>
        <w:jc w:val="both"/>
        <w:rPr>
          <w:rFonts w:ascii="Times New Roman" w:hAnsi="Times New Roman"/>
          <w:sz w:val="20"/>
        </w:rPr>
      </w:pPr>
      <w:r>
        <w:rPr>
          <w:rFonts w:ascii="Times New Roman" w:hAnsi="Times New Roman"/>
          <w:i/>
          <w:color w:val="000000"/>
          <w:sz w:val="20"/>
        </w:rPr>
        <w:t>Potential Consequences of Delisting</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There is no assurance that we will be able to meet Nasdaq’s listing requirements or comply with the requisite Nasdaq requirements to maintain our listing of common stock on Nasdaq. In the event that our common stock is delisted from Nasdaq, as a result of our failure to comply with the Minimum Stockholders’ Equity Requirement or the Minimum Bid Requirement or as a result of our failure to continue to comply with any other requirement for continued listing on Nasdaq, and we are not able to list our securities on Nasdaq or any other national securities exchange, we could face significant material adverse consequences,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decline of the market price of our common stock;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limited availability of market quotations for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liquidity for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limited amount of news and analyst coverage for us;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incurring of additional costs under state blue sky laws in connection with any sales of our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the date of this Quarterly Report, we require additional funding to develop our product candidates, conduct future operations, and repay our outstanding debt obligations. If we are unable to obtain the funds necessary to do so because our common stock is not listed on any national securities exchange, we may be required to delay, scale back or eliminate our product development activities, and we may be unable to continue our business operations. </w:t>
      </w:r>
    </w:p>
    <w:p>
      <w:pPr>
        <w:pStyle w:val="TextBody"/>
        <w:bidi w:val="0"/>
        <w:jc w:val="both"/>
        <w:rPr>
          <w:rFonts w:ascii="Times New Roman" w:hAnsi="Times New Roman"/>
          <w:color w:val="000000"/>
          <w:sz w:val="20"/>
        </w:rPr>
      </w:pPr>
      <w:r>
        <w:rPr>
          <w:rFonts w:ascii="Times New Roman" w:hAnsi="Times New Roman"/>
          <w:color w:val="000000"/>
          <w:sz w:val="20"/>
        </w:rPr>
        <w:t>If our common stock is delisted by Nasdaq, our common stock may be eligible to trade on an over-the-counter quotation system where an investor may find it more difficult to sell our stock or obtain accurate quotations as to the market value of our common stock. In the event our common stock is delisted from Nasdaq, we may not be able to list our common stock on another national securities exchange or obtain quotation on an over-the-counter quotation system.</w:t>
      </w:r>
    </w:p>
    <w:p>
      <w:pPr>
        <w:pStyle w:val="TextBody"/>
        <w:bidi w:val="0"/>
        <w:jc w:val="both"/>
        <w:rPr/>
      </w:pPr>
      <w:r>
        <w:rPr/>
        <w:t> </w:t>
      </w:r>
    </w:p>
    <w:p>
      <w:pPr>
        <w:pStyle w:val="TextBody"/>
        <w:bidi w:val="0"/>
        <w:jc w:val="both"/>
        <w:rPr>
          <w:rFonts w:ascii="Times New Roman" w:hAnsi="Times New Roman"/>
          <w:b/>
          <w:color w:val="000000"/>
          <w:sz w:val="20"/>
        </w:rPr>
      </w:pPr>
      <w:bookmarkStart w:id="16" w:name="item_2"/>
      <w:bookmarkEnd w:id="16"/>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2(a):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Information required by Item 701 of Regulation S-K as to all unregistered sales of equity securities of the Company during the period covered by this Quarterly Report has previously been included in Current Reports on Form 8-K filed with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2(b): Use of Proceeds from Registered Securities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sz w:val="20"/>
        </w:rPr>
      </w:pPr>
      <w:r>
        <w:rPr>
          <w:rFonts w:ascii="Times New Roman" w:hAnsi="Times New Roman"/>
          <w:b/>
          <w:color w:val="000000"/>
          <w:sz w:val="20"/>
        </w:rPr>
        <w:t>2(c):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07"/>
        <w:gridCol w:w="5335"/>
        <w:gridCol w:w="1392"/>
        <w:gridCol w:w="526"/>
        <w:gridCol w:w="972"/>
        <w:gridCol w:w="873"/>
      </w:tblGrid>
      <w:tr>
        <w:trPr/>
        <w:tc>
          <w:tcPr>
            <w:tcW w:w="1107" w:type="dxa"/>
            <w:tcBorders/>
            <w:vAlign w:val="center"/>
          </w:tcPr>
          <w:p>
            <w:pPr>
              <w:pStyle w:val="TableContents"/>
              <w:bidi w:val="0"/>
              <w:spacing w:before="0" w:after="283"/>
              <w:jc w:val="left"/>
              <w:rPr>
                <w:sz w:val="4"/>
                <w:szCs w:val="4"/>
              </w:rPr>
            </w:pPr>
            <w:r>
              <w:rPr>
                <w:sz w:val="4"/>
                <w:szCs w:val="4"/>
              </w:rPr>
            </w:r>
          </w:p>
        </w:tc>
        <w:tc>
          <w:tcPr>
            <w:tcW w:w="533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1107"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Number</w:t>
            </w:r>
          </w:p>
        </w:tc>
        <w:tc>
          <w:tcPr>
            <w:tcW w:w="5335"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Title</w:t>
            </w:r>
          </w:p>
        </w:tc>
        <w:tc>
          <w:tcPr>
            <w:tcW w:w="1392"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Filed with this Form 10-Q</w:t>
            </w:r>
          </w:p>
        </w:tc>
        <w:tc>
          <w:tcPr>
            <w:tcW w:w="23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r>
      <w:tr>
        <w:trPr/>
        <w:tc>
          <w:tcPr>
            <w:tcW w:w="1107"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335"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9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 Filed</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Composite Certificate of Incorporation</w:t>
              </w:r>
            </w:hyperlink>
            <w:hyperlink r:id="rId3">
              <w:r>
                <w:rPr>
                  <w:rStyle w:val="InternetLink"/>
                  <w:rFonts w:ascii="Times New Roman" w:hAnsi="Times New Roman"/>
                  <w:color w:val="0000FF"/>
                  <w:sz w:val="20"/>
                </w:rPr>
                <w:t xml:space="preserve"> </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03/11/2016</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05/10/2016</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05/23/2018</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07/29/2019</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Amended and Restated Certificate</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08/06/2019</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to Amended and Restated Certificate</w:t>
              </w:r>
            </w:hyperlink>
            <w:r>
              <w:rPr>
                <w:rFonts w:ascii="Times New Roman" w:hAnsi="Times New Roman"/>
                <w:color w:val="000000"/>
                <w:sz w:val="20"/>
              </w:rPr>
              <w:t xml:space="preserve">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04/28/2023</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to the Certificate of Incorporation, as amended</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1"/>
              </w:rPr>
            </w:pPr>
            <w:r>
              <w:rPr>
                <w:rFonts w:ascii="Times New Roman" w:hAnsi="Times New Roman"/>
                <w:color w:val="000000"/>
                <w:sz w:val="21"/>
              </w:rPr>
              <w:t>05/02/2025</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Bylaws of Plus Therapeutics, Inc.</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09/21/2021</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3.9</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Designation of Preferences, Rights and Limitations of Series B Convertible Preferred Stock</w:t>
              </w:r>
            </w:hyperlink>
            <w:r>
              <w:rPr>
                <w:rFonts w:ascii="Times New Roman" w:hAnsi="Times New Roman"/>
                <w:color w:val="000000"/>
                <w:sz w:val="20"/>
              </w:rPr>
              <w:t xml:space="preserve">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Exhibit 3.1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11/28/2017</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Designation of Preferences, Rights and Limitations of Series C Convertible Preferred Stock</w:t>
              </w:r>
            </w:hyperlink>
            <w:r>
              <w:rPr>
                <w:rFonts w:ascii="Times New Roman" w:hAnsi="Times New Roman"/>
                <w:color w:val="000000"/>
                <w:sz w:val="20"/>
              </w:rPr>
              <w:t xml:space="preserve">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07/25/2018</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Designation of Series F Preferred Stock, dated March 3, 2023</w:t>
              </w:r>
            </w:hyperlink>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03/03/2023</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4.1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Description of Securities</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03/30/2020</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Common Stock Certificate</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4.33</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03/09/2018</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Pre-Funded Warrant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72"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05/09/2024</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Series A Warrant (as amended and restated August 2024)</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4.5</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Series B Warrant (as amended and restated August 2024)</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4.6</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Amendment and Restatement of the May 2024 Series A Warrant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4.7</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5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Amendment and Restatement of the May 2024 Series B Warrant</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4.8</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7421"/>
        <w:gridCol w:w="241"/>
        <w:gridCol w:w="320"/>
        <w:gridCol w:w="868"/>
        <w:gridCol w:w="769"/>
      </w:tblGrid>
      <w:tr>
        <w:trPr/>
        <w:tc>
          <w:tcPr>
            <w:tcW w:w="586" w:type="dxa"/>
            <w:tcBorders/>
            <w:vAlign w:val="center"/>
          </w:tcPr>
          <w:p>
            <w:pPr>
              <w:pStyle w:val="TableContents"/>
              <w:bidi w:val="0"/>
              <w:spacing w:before="0" w:after="283"/>
              <w:jc w:val="left"/>
              <w:rPr>
                <w:sz w:val="4"/>
                <w:szCs w:val="4"/>
              </w:rPr>
            </w:pPr>
            <w:r>
              <w:rPr>
                <w:sz w:val="4"/>
                <w:szCs w:val="4"/>
              </w:rPr>
            </w:r>
          </w:p>
        </w:tc>
        <w:tc>
          <w:tcPr>
            <w:tcW w:w="7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Pre-Funded Warrant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4.1</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Warrant issued pursuant to the Securities Purchase and Exchange Agreement, dated February 13, 2025, by and among Plus Therapeutics, Inc. and the purchasers named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4.2</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Securities Purchase and Exchange Agreement, dated February 13, 2025, by and among Plus Therapeutics, Inc. and the purchasers named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10.1</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Secured Convertible Note for Funding Notes issued pursuant to the Securities Purchase and Exchange Agreement, dated February 13, 2025, by and among Plus Therapeutics, Inc. and the purchasers names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10.2</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Form of Secured Convertible Note for Exchange Notes issued pursuant to the Securities Purchase and Exchange Agreement, dated February 13, 2025, by and among Plus Therapeutics, Inc. and the purchasers names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10.3</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Security Agreement, dated February 13, 2025, by and among Plus Therapeutics, Inc., CNSide Diagnostics, LLC and Iroqouis Master Fund Ltd., as collateral agent for the purchasers names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10.4</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Subsidiary Guarantee, dated as of February 13, 2025, by and among CNSide Diagnostics, LLC and the purchasers named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10.5</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Registration Rights Agreement, dated February 13, 2025, by and among Plus Therapeutics, Inc. and the purchasers named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10.6</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Second Amendment to Securities Purchase Agreement, dated May 5, 2024, as amended on May 9, 2024, by and among Plus Therapeutics, Inc. and the purchasers named therein</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10.7</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Securities Purchase Agreement, dated as of March 4, 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10.1</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Registration Rights Agreement, dated as of March 4, 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10.2</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First Amendment to Securities Purchase and Exchange Agreement, dated as of March 4, 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br/>
              <w:t>Exhibit 10.3</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1_1.htm">
              <w:r>
                <w:rPr>
                  <w:rStyle w:val="InternetLink"/>
                  <w:rFonts w:ascii="Times New Roman" w:hAnsi="Times New Roman"/>
                  <w:color w:val="0000FF"/>
                  <w:sz w:val="20"/>
                  <w:u w:val="single"/>
                </w:rPr>
                <w:t>Certification of Principal Executive Officer Pursuant to Securities Exchange Act Rule 13a-14(a),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1_2.htm">
              <w:r>
                <w:rPr>
                  <w:rStyle w:val="InternetLink"/>
                  <w:rFonts w:ascii="Times New Roman" w:hAnsi="Times New Roman"/>
                  <w:color w:val="0000FF"/>
                  <w:sz w:val="20"/>
                  <w:u w:val="single"/>
                </w:rPr>
                <w:t>Certification of Principal Financial and Accounting Officer Pursuant to Securities Exchange Act Rule 13a-14(a),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
        <w:gridCol w:w="8868"/>
        <w:gridCol w:w="241"/>
        <w:gridCol w:w="109"/>
        <w:gridCol w:w="109"/>
        <w:gridCol w:w="155"/>
      </w:tblGrid>
      <w:tr>
        <w:trPr/>
        <w:tc>
          <w:tcPr>
            <w:tcW w:w="723" w:type="dxa"/>
            <w:tcBorders/>
            <w:vAlign w:val="center"/>
          </w:tcPr>
          <w:p>
            <w:pPr>
              <w:pStyle w:val="TableContents"/>
              <w:bidi w:val="0"/>
              <w:spacing w:before="0" w:after="283"/>
              <w:jc w:val="left"/>
              <w:rPr>
                <w:sz w:val="4"/>
                <w:szCs w:val="4"/>
              </w:rPr>
            </w:pPr>
            <w:r>
              <w:rPr>
                <w:sz w:val="4"/>
                <w:szCs w:val="4"/>
              </w:rPr>
            </w:r>
          </w:p>
        </w:tc>
        <w:tc>
          <w:tcPr>
            <w:tcW w:w="88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2_1.htm">
              <w:r>
                <w:rPr>
                  <w:rStyle w:val="InternetLink"/>
                  <w:rFonts w:ascii="Times New Roman" w:hAnsi="Times New Roman"/>
                  <w:color w:val="0000FF"/>
                  <w:sz w:val="20"/>
                  <w:u w:val="single"/>
                </w:rPr>
                <w:t>Certifications Pursuant to 18 U.S.C. Section 1350/ Securities Exchange Act Rule 13a-14(b), as adopted pursuant to Section 906 of the Sarbanes - Oxley Act of 2002</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Schema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Calculation Linkbase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Definition Linkbase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Label Linkbase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Presentation Linkbase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accordance with Item 601(b)(32)(ii) of Regulation S</w:t>
        <w:noBreakHyphen/>
        <w:t>K and SEC Release No. 34</w:t>
        <w:noBreakHyphen/>
        <w:t>47986, the certifications furnished in Exhibit 32.1 hereto is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603"/>
        <w:gridCol w:w="146"/>
        <w:gridCol w:w="406"/>
        <w:gridCol w:w="146"/>
        <w:gridCol w:w="7904"/>
      </w:tblGrid>
      <w:tr>
        <w:trPr/>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04" w:type="dxa"/>
            <w:tcBorders/>
            <w:vAlign w:val="center"/>
          </w:tcPr>
          <w:p>
            <w:pPr>
              <w:pStyle w:val="TableContents"/>
              <w:bidi w:val="0"/>
              <w:spacing w:before="0" w:after="283"/>
              <w:jc w:val="left"/>
              <w:rPr>
                <w:sz w:val="4"/>
                <w:szCs w:val="4"/>
              </w:rPr>
            </w:pPr>
            <w:r>
              <w:rPr>
                <w:sz w:val="4"/>
                <w:szCs w:val="4"/>
              </w:rPr>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PLUS THERAPEUTICS, INC.</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w:t>
            </w:r>
          </w:p>
        </w:tc>
      </w:tr>
      <w:tr>
        <w:trPr/>
        <w:tc>
          <w:tcPr>
            <w:tcW w:w="1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 (Duly Authorized Officer and Principal Executive Officer)</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1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16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(Duly Authorized Officer and 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bookmarkStart w:id="18" w:name="pstv-ex31_1.htm"/>
      <w:bookmarkStart w:id="19" w:name="kspstvex31_1"/>
      <w:bookmarkEnd w:id="18"/>
      <w:bookmarkEnd w:id="19"/>
      <w:r>
        <w:rPr/>
        <w:t> </w:t>
      </w:r>
      <w:r>
        <w:br w:type="page"/>
      </w:r>
    </w:p>
    <w:p>
      <w:pPr>
        <w:pStyle w:val="TextBody"/>
        <w:bidi w:val="0"/>
        <w:jc w:val="right"/>
        <w:rPr>
          <w:rFonts w:ascii="Times New Roman" w:hAnsi="Times New Roman"/>
          <w:b/>
          <w:color w:val="000000"/>
          <w:sz w:val="20"/>
        </w:rPr>
      </w:pPr>
      <w:bookmarkStart w:id="20" w:name="ole_link15"/>
      <w:bookmarkStart w:id="21" w:name="ole_link16"/>
      <w:bookmarkStart w:id="22" w:name="ole_link19"/>
      <w:bookmarkStart w:id="23" w:name="ole_link18"/>
      <w:bookmarkEnd w:id="20"/>
      <w:bookmarkEnd w:id="21"/>
      <w:bookmarkEnd w:id="22"/>
      <w:bookmarkEnd w:id="23"/>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H. Hedrick,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30, 2025</w:t>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Marc H. Hedrick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&amp;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pstv-ex31_2.htm"/>
      <w:bookmarkStart w:id="25" w:name="kspstvex31_2"/>
      <w:bookmarkEnd w:id="24"/>
      <w:bookmarkEnd w:id="25"/>
      <w:r>
        <w:rPr/>
        <w:t> </w:t>
      </w:r>
      <w:r>
        <w:br w:type="page"/>
      </w:r>
    </w:p>
    <w:p>
      <w:pPr>
        <w:pStyle w:val="TextBody"/>
        <w:bidi w:val="0"/>
        <w:jc w:val="right"/>
        <w:rPr>
          <w:rFonts w:ascii="Times New Roman" w:hAnsi="Times New Roman"/>
          <w:b/>
          <w:color w:val="000000"/>
          <w:sz w:val="20"/>
        </w:rPr>
      </w:pPr>
      <w:bookmarkStart w:id="26" w:name="ex31_2_htm"/>
      <w:bookmarkStart w:id="27" w:name="ole_link191"/>
      <w:bookmarkStart w:id="28" w:name="ole_link181"/>
      <w:bookmarkStart w:id="29" w:name="eolpage39"/>
      <w:bookmarkStart w:id="30" w:name="ole_link161"/>
      <w:bookmarkStart w:id="31" w:name="ole_link151"/>
      <w:bookmarkStart w:id="32" w:name="fis_exhibit_31_2"/>
      <w:bookmarkEnd w:id="26"/>
      <w:bookmarkEnd w:id="27"/>
      <w:bookmarkEnd w:id="28"/>
      <w:bookmarkEnd w:id="29"/>
      <w:bookmarkEnd w:id="30"/>
      <w:bookmarkEnd w:id="31"/>
      <w:bookmarkEnd w:id="32"/>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Sims,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Plus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30, 2025</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pstv-ex32_1.htm"/>
      <w:bookmarkStart w:id="34" w:name="kspstvex32_1"/>
      <w:bookmarkEnd w:id="33"/>
      <w:bookmarkEnd w:id="34"/>
      <w:r>
        <w:rPr/>
        <w:t> </w:t>
      </w:r>
      <w:r>
        <w:br w:type="page"/>
      </w:r>
    </w:p>
    <w:p>
      <w:pPr>
        <w:pStyle w:val="TextBody"/>
        <w:bidi w:val="0"/>
        <w:jc w:val="right"/>
        <w:rPr>
          <w:rFonts w:ascii="Times New Roman" w:hAnsi="Times New Roman"/>
          <w:b/>
          <w:color w:val="000000"/>
          <w:sz w:val="20"/>
        </w:rPr>
      </w:pPr>
      <w:bookmarkStart w:id="35" w:name="ole_link162"/>
      <w:bookmarkStart w:id="36" w:name="ole_link152"/>
      <w:bookmarkStart w:id="37" w:name="ole_link182"/>
      <w:bookmarkStart w:id="38" w:name="ole_link192"/>
      <w:bookmarkEnd w:id="35"/>
      <w:bookmarkEnd w:id="36"/>
      <w:bookmarkEnd w:id="37"/>
      <w:bookmarkEnd w:id="38"/>
      <w:r>
        <w:rPr>
          <w:rFonts w:ascii="Times New Roman" w:hAnsi="Times New Roman"/>
          <w:b/>
          <w:color w:val="000000"/>
          <w:sz w:val="20"/>
        </w:rPr>
        <w:t>EXHIBIT 32.1</w:t>
      </w:r>
    </w:p>
    <w:p>
      <w:pPr>
        <w:pStyle w:val="TextBody"/>
        <w:bidi w:val="0"/>
        <w:spacing w:before="240" w:after="283"/>
        <w:jc w:val="left"/>
        <w:rPr>
          <w:rFonts w:ascii="Times New Roman" w:hAnsi="Times New Roman"/>
          <w:b/>
          <w:color w:val="000000"/>
          <w:sz w:val="20"/>
        </w:rPr>
      </w:pPr>
      <w:bookmarkStart w:id="39" w:name="fis_certification"/>
      <w:bookmarkEnd w:id="39"/>
      <w:r>
        <w:rPr>
          <w:rFonts w:ascii="Times New Roman" w:hAnsi="Times New Roman"/>
          <w:b/>
          <w:color w:val="000000"/>
          <w:sz w:val="20"/>
        </w:rPr>
        <w:t>CERTIFICATION PURSUANT TO 18 U.S.C. SECTION 1350/ SECURITIES EXCHANGE ACT RULE 13a-14(b), 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Plus Therapeutics, Inc. for the quarterly period ended March 31, 2025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Form 10-Q report of Plus Therapeutics, Inc. that this certification accompanies fully complies with the requirements of Section 13(a)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Form 10-Q report of Plus Therapeutics, Inc. that this certification accompanies fairly presents, in all material respects, the financial condition and results of operations of Plus Therapeutics, Inc.</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1846"/>
        <w:gridCol w:w="146"/>
        <w:gridCol w:w="406"/>
        <w:gridCol w:w="146"/>
        <w:gridCol w:w="33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&amp;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Andrew Sims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&amp; VP of Finance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95981/000114036116057505/ex3_1.htm" TargetMode="External"/><Relationship Id="rId3" Type="http://schemas.openxmlformats.org/officeDocument/2006/relationships/hyperlink" Target="https://www.sec.gov/Archives/edgar/data/0001095981/000114036116057505/ex3_1.htm" TargetMode="External"/><Relationship Id="rId4" Type="http://schemas.openxmlformats.org/officeDocument/2006/relationships/hyperlink" Target="https://www.sec.gov/Archives/edgar/data/0001095981/000109598116000063/ex3_1.htm" TargetMode="External"/><Relationship Id="rId5" Type="http://schemas.openxmlformats.org/officeDocument/2006/relationships/hyperlink" Target="https://www.sec.gov/Archives/edgar/data/0001095981/000156459018014245/cytx-ex31_6.htm" TargetMode="External"/><Relationship Id="rId6" Type="http://schemas.openxmlformats.org/officeDocument/2006/relationships/hyperlink" Target="https://www.sec.gov/Archives/edgar/data/1095981/000156459019026454/cytx-ex31_6.htm" TargetMode="External"/><Relationship Id="rId7" Type="http://schemas.openxmlformats.org/officeDocument/2006/relationships/hyperlink" Target="https://www.sec.gov/Archives/edgar/data/0001095981/000156459019028996/pstv-ex31_18.htm" TargetMode="External"/><Relationship Id="rId8" Type="http://schemas.openxmlformats.org/officeDocument/2006/relationships/hyperlink" Target="https://www.sec.gov/Archives/edgar/data/0001095981/000119312523127227/d475493dex31.htm" TargetMode="External"/><Relationship Id="rId9" Type="http://schemas.openxmlformats.org/officeDocument/2006/relationships/hyperlink" Target="https://www.sec.gov/Archives/edgar/data/1095981/000095017025062742/pstv-ex3_1.htm" TargetMode="External"/><Relationship Id="rId10" Type="http://schemas.openxmlformats.org/officeDocument/2006/relationships/hyperlink" Target="https://www.sec.gov/Archives/edgar/data/0001095981/000119312521277718/d164672dex31.htm" TargetMode="External"/><Relationship Id="rId11" Type="http://schemas.openxmlformats.org/officeDocument/2006/relationships/hyperlink" Target="https://www.sec.gov/Archives/edgar/data/1095981/000156459017024297/cytx-ex31_6.htm" TargetMode="External"/><Relationship Id="rId12" Type="http://schemas.openxmlformats.org/officeDocument/2006/relationships/hyperlink" Target="https://www.sec.gov/Archives/edgar/data/1095981/000156459018017443/cytx-ex31_7.htm" TargetMode="External"/><Relationship Id="rId13" Type="http://schemas.openxmlformats.org/officeDocument/2006/relationships/hyperlink" Target="https://www.sec.gov/Archives/edgar/data/1095981/000119312523060090/d449434dex3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25874</Words>
  <Characters>141683</Characters>
  <CharactersWithSpaces>168173</CharactersWithSpaces>
  <Paragraphs>3902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