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79"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gridSpan w:val="2"/>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03"/>
        </w:trPr>
        <w:tc>
          <w:tcPr>
            <w:tcW w:w="4500" w:type="dxa"/>
            <w:vAlign w:val="bottom"/>
            <w:gridSpan w:val="2"/>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4500" w:type="dxa"/>
            <w:vAlign w:val="bottom"/>
            <w:gridSpan w:val="2"/>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2710 REED ROAD, SUITE 160, HOUSTON,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77051</w:t>
            </w:r>
          </w:p>
        </w:tc>
      </w:tr>
      <w:tr>
        <w:trPr>
          <w:trHeight w:val="212"/>
        </w:trPr>
        <w:tc>
          <w:tcPr>
            <w:tcW w:w="4500" w:type="dxa"/>
            <w:vAlign w:val="bottom"/>
            <w:gridSpan w:val="2"/>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14"/>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25"/>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2"/>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4"/>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90"/>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29"/>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99" w:right="339" w:bottom="1440" w:gutter="0" w:footer="0" w:header="0"/>
        </w:sectPr>
      </w:pPr>
    </w:p>
    <w:p>
      <w:pPr>
        <w:spacing w:after="0" w:line="128" w:lineRule="exact"/>
        <w:rPr>
          <w:sz w:val="24"/>
          <w:szCs w:val="24"/>
          <w:color w:val="auto"/>
        </w:rPr>
      </w:pPr>
    </w:p>
    <w:p>
      <w:pPr>
        <w:spacing w:after="0" w:line="184" w:lineRule="exact"/>
        <w:tabs>
          <w:tab w:leader="none" w:pos="2500" w:val="left"/>
          <w:tab w:leader="none" w:pos="84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59" w:lineRule="exact"/>
        <w:rPr>
          <w:sz w:val="24"/>
          <w:szCs w:val="24"/>
          <w:color w:val="auto"/>
        </w:rPr>
      </w:pPr>
    </w:p>
    <w:p>
      <w:pPr>
        <w:spacing w:after="0" w:line="184" w:lineRule="exact"/>
        <w:tabs>
          <w:tab w:leader="none" w:pos="2500" w:val="left"/>
          <w:tab w:leader="none" w:pos="842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19"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29, 2025, there were 137,429,055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260"/>
            <w:col w:w="300"/>
          </w:cols>
          <w:pgMar w:left="320" w:top="11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FINANCIAL INFORMATION</w:t>
            </w:r>
          </w:p>
        </w:tc>
        <w:tc>
          <w:tcPr>
            <w:tcW w:w="5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 (Unaudited)</w:t>
            </w:r>
          </w:p>
        </w:tc>
        <w:tc>
          <w:tcPr>
            <w:tcW w:w="500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48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72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280" w:type="dxa"/>
            <w:vAlign w:val="bottom"/>
            <w:tcBorders>
              <w:top w:val="single" w:sz="8" w:color="0000EE"/>
            </w:tcBorders>
            <w:gridSpan w:val="4"/>
          </w:tcPr>
          <w:p>
            <w:pPr>
              <w:spacing w:after="0"/>
              <w:rPr>
                <w:sz w:val="24"/>
                <w:szCs w:val="24"/>
                <w:color w:val="auto"/>
              </w:rPr>
            </w:pPr>
          </w:p>
        </w:tc>
        <w:tc>
          <w:tcPr>
            <w:tcW w:w="34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20" w:type="dxa"/>
            <w:vAlign w:val="bottom"/>
            <w:tcBorders>
              <w:top w:val="single" w:sz="8" w:color="0000EE"/>
            </w:tcBorders>
            <w:gridSpan w:val="6"/>
          </w:tcPr>
          <w:p>
            <w:pPr>
              <w:spacing w:after="0"/>
              <w:rPr>
                <w:sz w:val="24"/>
                <w:szCs w:val="24"/>
                <w:color w:val="auto"/>
              </w:rPr>
            </w:pPr>
          </w:p>
        </w:tc>
        <w:tc>
          <w:tcPr>
            <w:tcW w:w="412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FF"/>
                <w:w w:val="98"/>
              </w:rPr>
              <w:t>OTHER INFORMATION</w:t>
            </w:r>
          </w:p>
        </w:tc>
        <w:tc>
          <w:tcPr>
            <w:tcW w:w="732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12"/>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669"/>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intent or ability to regain and maintain compliance with Nasdaq listing standards;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portions of the “Liquidity and Capital Resources” section of this Quarterly Report including our potential need for additional financing and the availability thereof;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our ability to timely and efficiently launch our CNSide® Cerebrospinal Fluid Tumor Cell Enumeration test (the “CNSide Test”); receipt of grant revenue; and a material security breach or cyber security attack affecting our operations and property.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our ability to remain listed on Nasdaq;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Quarterly Report are also subject to a number of additional material risks and uncertainties, including but not limited to the risks described under “Part I – Item 1A – Risk Factors” in our Annual Report on Form 10-K for the year ended December 31, 2024, filed with the Securities and Exchange Commission (the “SEC”) on March 31, 2025 and under “Part II – Item 1A – Risk Factors” in this Quarterly Report. These risks and uncertainties could cause actual results to differ materially from expectations or those expressed in these forward-looking statements.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caution you not to place undue reliance on the forward-looking statements contained in this Quarterly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receivable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grant liability</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1,952 shares issued and outstanding</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 of September 30, 2025 and December 31, 2024, respectively</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2,000,000,000 shares authorized; 131,863,969 shares issued;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131,605,544 shares outstanding as of September 30, 2025, and 100,000,00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6,154,758 shares issued; and 5,896,333 shares outstanding as of December 31, 2024,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(at cost), 258,425 shares as of September 30, 2025 and December 31, 2024,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(510,152)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-3659505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-3659505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-2245360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-2245360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-316865</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94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issuance costs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107,428,969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57,845,406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107,428,969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57,845,406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-2686685</wp:posOffset>
            </wp:positionV>
            <wp:extent cx="939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-2686685</wp:posOffset>
            </wp:positionV>
            <wp:extent cx="939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-2686685</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-2686685</wp:posOffset>
            </wp:positionV>
            <wp:extent cx="10223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-2382520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-2382520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-2382520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-2382520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-1268095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-1268095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-1268095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-1268095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PLUS THERAPEUTICS, INC.</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EQUITY/(DEFICIT)</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 (In thousands, except share data)</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3"/>
          </w:tcPr>
          <w:p>
            <w:pPr>
              <w:jc w:val="center"/>
              <w:ind w:left="157"/>
              <w:spacing w:after="0"/>
              <w:rPr>
                <w:sz w:val="20"/>
                <w:szCs w:val="20"/>
                <w:color w:val="auto"/>
              </w:rPr>
            </w:pPr>
            <w:r>
              <w:rPr>
                <w:rFonts w:ascii="Times New Roman" w:cs="Times New Roman" w:eastAsia="Times New Roman" w:hAnsi="Times New Roman"/>
                <w:sz w:val="12"/>
                <w:szCs w:val="12"/>
                <w:b w:val="1"/>
                <w:bCs w:val="1"/>
                <w:color w:val="auto"/>
                <w:w w:val="95"/>
              </w:rPr>
              <w:t>Convertible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5"/>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3"/>
          </w:tcPr>
          <w:p>
            <w:pPr>
              <w:jc w:val="center"/>
              <w:ind w:left="157"/>
              <w:spacing w:after="0"/>
              <w:rPr>
                <w:sz w:val="20"/>
                <w:szCs w:val="20"/>
                <w:color w:val="auto"/>
              </w:rPr>
            </w:pPr>
            <w:r>
              <w:rPr>
                <w:rFonts w:ascii="Times New Roman" w:cs="Times New Roman" w:eastAsia="Times New Roman" w:hAnsi="Times New Roman"/>
                <w:sz w:val="12"/>
                <w:szCs w:val="12"/>
                <w:b w:val="1"/>
                <w:bCs w:val="1"/>
                <w:color w:val="auto"/>
                <w:w w:val="98"/>
              </w:rPr>
              <w:t>preferred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5"/>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840" w:type="dxa"/>
            <w:vAlign w:val="bottom"/>
            <w:gridSpan w:val="5"/>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14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r>
      <w:tr>
        <w:trPr>
          <w:trHeight w:val="118"/>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w:t>
            </w: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(deficit)/equity</w:t>
            </w:r>
          </w:p>
        </w:tc>
        <w:tc>
          <w:tcPr>
            <w:tcW w:w="1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0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4,522,656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(78,559)</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479,274</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(480,501)</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(1,348)</w:t>
            </w: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Purchase of treasury stock</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(179,866)</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(374)</w:t>
            </w: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(3,261)</w:t>
            </w:r>
          </w:p>
        </w:tc>
        <w:tc>
          <w:tcPr>
            <w:tcW w:w="12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(3,261)</w:t>
            </w:r>
          </w:p>
        </w:tc>
      </w:tr>
      <w:tr>
        <w:trPr>
          <w:trHeight w:val="169"/>
        </w:trPr>
        <w:tc>
          <w:tcPr>
            <w:tcW w:w="20" w:type="dxa"/>
            <w:vAlign w:val="bottom"/>
          </w:tcPr>
          <w:p>
            <w:pPr>
              <w:spacing w:after="0"/>
              <w:rPr>
                <w:sz w:val="14"/>
                <w:szCs w:val="14"/>
                <w:color w:val="auto"/>
              </w:rPr>
            </w:pPr>
          </w:p>
        </w:tc>
        <w:tc>
          <w:tcPr>
            <w:tcW w:w="20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2024</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4,522,656</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479,420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(483,762)</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(4,837)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20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w:t>
            </w: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1,439,988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0"/>
                <w:szCs w:val="10"/>
                <w:color w:val="auto"/>
              </w:rPr>
            </w:pPr>
          </w:p>
        </w:tc>
        <w:tc>
          <w:tcPr>
            <w:tcW w:w="9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(2,940)</w:t>
            </w:r>
          </w:p>
        </w:tc>
        <w:tc>
          <w:tcPr>
            <w:tcW w:w="12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(2,940)</w:t>
            </w:r>
          </w:p>
        </w:tc>
      </w:tr>
      <w:tr>
        <w:trPr>
          <w:trHeight w:val="168"/>
        </w:trPr>
        <w:tc>
          <w:tcPr>
            <w:tcW w:w="20" w:type="dxa"/>
            <w:vAlign w:val="bottom"/>
          </w:tcPr>
          <w:p>
            <w:pPr>
              <w:spacing w:after="0"/>
              <w:rPr>
                <w:sz w:val="14"/>
                <w:szCs w:val="14"/>
                <w:color w:val="auto"/>
              </w:rPr>
            </w:pPr>
          </w:p>
        </w:tc>
        <w:tc>
          <w:tcPr>
            <w:tcW w:w="20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2024</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5,962,644</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479,571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(486,702)</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(7,625)</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20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Reclass of warrants to equity</w:t>
            </w: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5,200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5,200</w:t>
            </w:r>
          </w:p>
        </w:tc>
        <w:tc>
          <w:tcPr>
            <w:tcW w:w="1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FF0F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192,114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(2,874)</w:t>
            </w: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(2,874)</w:t>
            </w:r>
          </w:p>
        </w:tc>
      </w:tr>
      <w:tr>
        <w:trPr>
          <w:trHeight w:val="128"/>
        </w:trPr>
        <w:tc>
          <w:tcPr>
            <w:tcW w:w="20" w:type="dxa"/>
            <w:vAlign w:val="bottom"/>
          </w:tcPr>
          <w:p>
            <w:pPr>
              <w:spacing w:after="0"/>
              <w:rPr>
                <w:sz w:val="11"/>
                <w:szCs w:val="11"/>
                <w:color w:val="auto"/>
              </w:rPr>
            </w:pPr>
          </w:p>
        </w:tc>
        <w:tc>
          <w:tcPr>
            <w:tcW w:w="202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6,154,758</w:t>
            </w: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484,896</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(489,576)</w:t>
            </w:r>
          </w:p>
        </w:tc>
        <w:tc>
          <w:tcPr>
            <w:tcW w:w="8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(5,174)</w:t>
            </w:r>
          </w:p>
        </w:tc>
        <w:tc>
          <w:tcPr>
            <w:tcW w:w="120" w:type="dxa"/>
            <w:vAlign w:val="bottom"/>
            <w:tcBorders>
              <w:top w:val="single" w:sz="8" w:color="CFF0FC"/>
              <w:bottom w:val="single" w:sz="8" w:color="CFF0FC"/>
            </w:tcBorders>
          </w:tcPr>
          <w:p>
            <w:pPr>
              <w:spacing w:after="0"/>
              <w:rPr>
                <w:sz w:val="11"/>
                <w:szCs w:val="11"/>
                <w:color w:val="auto"/>
              </w:rPr>
            </w:pPr>
          </w:p>
        </w:tc>
      </w:tr>
      <w:tr>
        <w:trPr>
          <w:trHeight w:val="20"/>
        </w:trPr>
        <w:tc>
          <w:tcPr>
            <w:tcW w:w="204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283"/>
        </w:trPr>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6,154,758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(258,425)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485,024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(493,479)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(8,949)</w:t>
            </w: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FF0F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6,535,731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Exercise of Series B Warrants from</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May 2024 PIPE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497,824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20" w:type="dxa"/>
            <w:vAlign w:val="bottom"/>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7"/>
              </w:rPr>
              <w:t>Exchange of warrants for notes payable</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(3,694)</w:t>
            </w: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(3,694)</w:t>
            </w: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w w:val="99"/>
              </w:rPr>
              <w:t>Issuance of common stock, pre-funded</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and warrants for debt</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4,069,738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5,369</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5,373</w:t>
            </w:r>
          </w:p>
        </w:tc>
        <w:tc>
          <w:tcPr>
            <w:tcW w:w="120" w:type="dxa"/>
            <w:vAlign w:val="bottom"/>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(17,401)</w:t>
            </w:r>
          </w:p>
        </w:tc>
        <w:tc>
          <w:tcPr>
            <w:tcW w:w="12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(17,401)</w:t>
            </w:r>
          </w:p>
        </w:tc>
      </w:tr>
      <w:tr>
        <w:trPr>
          <w:trHeight w:val="168"/>
        </w:trPr>
        <w:tc>
          <w:tcPr>
            <w:tcW w:w="20" w:type="dxa"/>
            <w:vAlign w:val="bottom"/>
          </w:tcPr>
          <w:p>
            <w:pPr>
              <w:spacing w:after="0"/>
              <w:rPr>
                <w:sz w:val="14"/>
                <w:szCs w:val="14"/>
                <w:color w:val="auto"/>
              </w:rPr>
            </w:pPr>
          </w:p>
        </w:tc>
        <w:tc>
          <w:tcPr>
            <w:tcW w:w="20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17,258,051</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17</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487,722</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(510,880)</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(23,641)</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20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120" w:type="dxa"/>
            <w:vAlign w:val="bottom"/>
          </w:tcPr>
          <w:p>
            <w:pPr>
              <w:spacing w:after="0"/>
              <w:rPr>
                <w:sz w:val="10"/>
                <w:szCs w:val="10"/>
                <w:color w:val="auto"/>
              </w:rPr>
            </w:pP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Exercise or exchange of March 2025</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and B Warrants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56,277,032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9,016,349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Cancellation of common stock</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Lincoln Park Purchase Agreement, net</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10,187,000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12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2025 Series B</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 liability to equity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10,967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10,967</w:t>
            </w:r>
          </w:p>
        </w:tc>
        <w:tc>
          <w:tcPr>
            <w:tcW w:w="120" w:type="dxa"/>
            <w:vAlign w:val="bottom"/>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Modification of warrants (Note 13)</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w:t>
            </w:r>
          </w:p>
        </w:tc>
        <w:tc>
          <w:tcPr>
            <w:tcW w:w="120" w:type="dxa"/>
            <w:vAlign w:val="bottom"/>
            <w:shd w:val="clear" w:color="auto" w:fill="CFF0FC"/>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2025</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92,438,432</w:t>
            </w: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92</w:t>
            </w: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509,171</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(505,729)</w:t>
            </w:r>
          </w:p>
        </w:tc>
        <w:tc>
          <w:tcPr>
            <w:tcW w:w="8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3,034</w:t>
            </w:r>
          </w:p>
        </w:tc>
        <w:tc>
          <w:tcPr>
            <w:tcW w:w="120" w:type="dxa"/>
            <w:vAlign w:val="bottom"/>
            <w:tcBorders>
              <w:top w:val="single" w:sz="8" w:color="CFF0FC"/>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0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ind w:lef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527</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527</w:t>
            </w:r>
          </w:p>
        </w:tc>
        <w:tc>
          <w:tcPr>
            <w:tcW w:w="120" w:type="dxa"/>
            <w:vAlign w:val="bottom"/>
            <w:shd w:val="clear" w:color="auto" w:fill="CFF0FC"/>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Cancelled common stock</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(3,472,740)</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9"/>
              </w:rPr>
              <w:t>Lincoln Park Purchase Agreement, net</w:t>
            </w: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costs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34,388,496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16,815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16,850</w:t>
            </w:r>
          </w:p>
        </w:tc>
        <w:tc>
          <w:tcPr>
            <w:tcW w:w="120" w:type="dxa"/>
            <w:vAlign w:val="bottom"/>
            <w:shd w:val="clear" w:color="auto" w:fill="CFF0FC"/>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Investor fees pursuant to Support</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Letters (Note 13)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(2,250)</w:t>
            </w: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(2,250)</w:t>
            </w: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Exercise of March 2025 Series B</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741,840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7,767,941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0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w w:val="98"/>
              </w:rPr>
              <w:t>Liability to investors pursuant to Letter</w:t>
            </w:r>
          </w:p>
        </w:tc>
        <w:tc>
          <w:tcPr>
            <w:tcW w:w="5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Agreement (Note 13)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(8,684)</w:t>
            </w: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(8,684)</w:t>
            </w:r>
          </w:p>
        </w:tc>
      </w:tr>
      <w:tr>
        <w:trPr>
          <w:trHeight w:val="135"/>
        </w:trPr>
        <w:tc>
          <w:tcPr>
            <w:tcW w:w="20" w:type="dxa"/>
            <w:vAlign w:val="bottom"/>
          </w:tcPr>
          <w:p>
            <w:pPr>
              <w:spacing w:after="0"/>
              <w:rPr>
                <w:sz w:val="11"/>
                <w:szCs w:val="11"/>
                <w:color w:val="auto"/>
              </w:rPr>
            </w:pPr>
          </w:p>
        </w:tc>
        <w:tc>
          <w:tcPr>
            <w:tcW w:w="2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(4,423)</w:t>
            </w:r>
          </w:p>
        </w:tc>
        <w:tc>
          <w:tcPr>
            <w:tcW w:w="12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(4,423)</w:t>
            </w:r>
          </w:p>
        </w:tc>
      </w:tr>
      <w:tr>
        <w:trPr>
          <w:trHeight w:val="169"/>
        </w:trPr>
        <w:tc>
          <w:tcPr>
            <w:tcW w:w="20" w:type="dxa"/>
            <w:vAlign w:val="bottom"/>
          </w:tcPr>
          <w:p>
            <w:pPr>
              <w:spacing w:after="0"/>
              <w:rPr>
                <w:sz w:val="14"/>
                <w:szCs w:val="14"/>
                <w:color w:val="auto"/>
              </w:rPr>
            </w:pPr>
          </w:p>
        </w:tc>
        <w:tc>
          <w:tcPr>
            <w:tcW w:w="20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131,863,969</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132</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515,574</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(510,152)</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5,054</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-4413885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-4396740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-4413885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-4396740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-4413885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-4396740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-4413885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-4396740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-4413885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-4396740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-4413885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-4396740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-4413885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-4396740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-4413885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-4396740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-4413885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-4396740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-4036695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-4019550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-4036695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-4019550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-4036695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-4019550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-4036695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-4019550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-4036695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-4019550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-4036695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-4019550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-4036695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-4019550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-4036695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-4019550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-4036695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-4019550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-3668395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-3668395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-3668395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-3668395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-3668395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-3668395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-3668395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-3668395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-3668395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-2407920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-2390775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-2407920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-2390775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-2407920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-2390775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-2407920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-2390775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-2407920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-2390775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-2407920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-2390775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-2407920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-2390775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-2407920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-2390775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-2407920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-2390775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-1353820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-1353820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-1353820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-1353820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-1353820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-1353820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-1353820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-1353820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-1353820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5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(16,673)</w:t>
            </w: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financing expenses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derivative instruments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discount on short-term investments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Increases (decreases) in cash caused by changes in operating assets and liabilities: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(6,308)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Change in operating lease liabilities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Deferred grant liability</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(14,518)</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(9,343)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60" w:type="dxa"/>
            <w:vAlign w:val="bottom"/>
            <w:tcBorders>
              <w:top w:val="single" w:sz="8" w:color="CFF0FC"/>
            </w:tcBorders>
          </w:tcPr>
          <w:p>
            <w:pPr>
              <w:spacing w:after="0"/>
              <w:rPr>
                <w:sz w:val="12"/>
                <w:szCs w:val="12"/>
                <w:color w:val="auto"/>
              </w:rPr>
            </w:pPr>
          </w:p>
        </w:tc>
        <w:tc>
          <w:tcPr>
            <w:tcW w:w="114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(11,068)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Redemption of short-term investments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60" w:type="dxa"/>
            <w:vAlign w:val="bottom"/>
            <w:tcBorders>
              <w:top w:val="single" w:sz="8" w:color="CFF0FC"/>
            </w:tcBorders>
          </w:tcPr>
          <w:p>
            <w:pPr>
              <w:spacing w:after="0"/>
              <w:rPr>
                <w:sz w:val="12"/>
                <w:szCs w:val="12"/>
                <w:color w:val="auto"/>
              </w:rPr>
            </w:pPr>
          </w:p>
        </w:tc>
        <w:tc>
          <w:tcPr>
            <w:tcW w:w="114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 obligation</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credit facility</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credit facility</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financing costs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notes payable and warrants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of notes payable</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(3,703)</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common stock, pre-funded warrants and warrants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common stock under Lincoln Park Purchase Agreement</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to investors pursuant to Letter Agreement (Note 13)</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(2,293)</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costs for sale of common stock</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27,508</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6,187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(7,331)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1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140" w:type="dxa"/>
            <w:vAlign w:val="bottom"/>
            <w:gridSpan w:val="2"/>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13,289</w:t>
            </w:r>
          </w:p>
        </w:tc>
        <w:tc>
          <w:tcPr>
            <w:tcW w:w="160" w:type="dxa"/>
            <w:vAlign w:val="bottom"/>
          </w:tcPr>
          <w:p>
            <w:pPr>
              <w:spacing w:after="0"/>
              <w:rPr>
                <w:sz w:val="12"/>
                <w:szCs w:val="12"/>
                <w:color w:val="auto"/>
              </w:rPr>
            </w:pPr>
          </w:p>
        </w:tc>
        <w:tc>
          <w:tcPr>
            <w:tcW w:w="4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flows information:</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during period for:</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6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Unpaid liability to investors pursuant to Letter Agreement (Note 13)</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6,391</w:t>
            </w:r>
          </w:p>
        </w:tc>
        <w:tc>
          <w:tcPr>
            <w:tcW w:w="16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Exchange of warrants for notes payable</w:t>
            </w:r>
          </w:p>
        </w:tc>
        <w:tc>
          <w:tcPr>
            <w:tcW w:w="214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1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Redemption of notes by issuance of common stock, pre-funded warrants and warrants</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3,512</w:t>
            </w:r>
          </w:p>
        </w:tc>
        <w:tc>
          <w:tcPr>
            <w:tcW w:w="16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Unpaid offering cost</w:t>
            </w:r>
          </w:p>
        </w:tc>
        <w:tc>
          <w:tcPr>
            <w:tcW w:w="214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-3282315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-3282315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-2510790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-2510790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-1174115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-1174115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-976630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-976630</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900" w:hanging="892"/>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Plus Therapeutics, Inc. (the “Company”) is a clinical-stage pharmaceutical company focused on the development, manufacture and commercialization of complex and innovative treatments for patients battling cancer and other life-threatening diseases. CNSide Diagnostics, LLC is a wholly owned subsidiary of Plus Therapeutics, Inc. that develops and commercializes proprietary laboratory-developed tests, such as the CNSide™ Test, designed to identify tumor cells that have metastasized to the central nervous system in patients with carcinomas and melanomas.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three and nine months ended September 30, 2025 and 2024 have been prepared in accordance with accounting principles generally accepted in the United States of America ("US GAAP") for interim financial information. Accordingly, they do not include all of the information and footnotes required by US GAAP for annual financial statements. The condensed consolidated balance sheet at December 31, 2024 has been derived from the audited consolidated financial statements at December 31, 2024, but does not include all of the information and footnotes required by US GAAP for complete financial statements. In the opinion of management, all adjustments (consisting of normal recurring adjustments) considered necessary for a fair presentation of the financial position and results of operations of the Company have been included. Operating results for the three and nine months ended September 30, 2025 are not necessarily indicative of the results that may be expected for the year ending December 31, 2025.</w:t>
      </w:r>
    </w:p>
    <w:p>
      <w:pPr>
        <w:spacing w:after="0" w:line="296" w:lineRule="exact"/>
        <w:rPr>
          <w:sz w:val="20"/>
          <w:szCs w:val="20"/>
          <w:color w:val="auto"/>
        </w:rPr>
      </w:pPr>
    </w:p>
    <w:p>
      <w:pPr>
        <w:ind w:left="900" w:hanging="891"/>
        <w:spacing w:after="0"/>
        <w:tabs>
          <w:tab w:leader="none" w:pos="9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its Annual Report on Form 10-K for the year ended December 31, 2024 filed with the SEC and have not materially changed during the nine months ended September 30, 2025. The Company believes that the disclosures provided here are adequate to make the information presented not misleading when these unaudited condensed consolidated financial statements are read in conjunction with the audited consolidated financial statements and notes included in the Company’s Annual Report on Form 10-K for the year ended December 31, 2024, filed with the Securities and Exchange Commission on March 31, 2025.</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affecting the financial statements and the accompanying notes. The Company’s most significant estimates and critical accounting policies involve estimating the fair value of its derivative instruments, reviewing assets for impairment and determining the assumptions used in measuring stock-based compensation expense.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Grant Revenue Recognition</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ectPr>
          <w:pgSz w:w="11900" w:h="16838" w:orient="portrait"/>
          <w:cols w:equalWidth="0" w:num="1">
            <w:col w:w="11240"/>
          </w:cols>
          <w:pgMar w:left="320" w:top="256"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Warrants are accounted for as either derivative liabilities or as equity instruments depending on the specific terms of the agreement in accordance with applicable accounting guidance provided in ASC Topic 815, Derivatives and Hedging.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derivative liabilities in the condensed consolidated statements of operations. The Company periodically evaluates changes in facts and circumstances that could impact the classification of warrants.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and bonds.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and as a separate component of stockholders’ equity. Realized gains and losses are calculated on the specific identification method and recorded as interest income (expense).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spacing w:after="0" w:line="80"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condensed consolidated statements of operations.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The Company adopted this ASU as of January 1, 2025 which did not have a material impact on the Company’s consolidated financial statements and related disclosures.</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spacing w:after="0" w:line="287" w:lineRule="exact"/>
        <w:rPr>
          <w:sz w:val="20"/>
          <w:szCs w:val="20"/>
          <w:color w:val="auto"/>
        </w:rPr>
      </w:pPr>
    </w:p>
    <w:p>
      <w:pPr>
        <w:ind w:left="900" w:hanging="892"/>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incurred a net loss of $16.7 million for the nine months ended September 30, 2025. The Company had an accumulated deficit of $510.2 million as of September 30, 2025. Additionally, the Company used net cash of $14.5 million to fund its operating activities for the nine months ended September 30, 2025.</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To date, the Company’s operating losses have been funded primarily from outside sources of invested capital from issuance of its common stock, preferred stock, convertible notes and warrants, proceeds from its term loan, line of credit and grant funding. However, the Company has had, and will continue to have, an ongoing need to raise additional cash from outside sources to fund its future clinical development programs, launch the CNSide Test, and fund other operations. There can be no assurance that the Company will be able to continue to raise additional capital in the future. The Company’s inability to raise additional cash would have a material and adverse impact on its operations. These factors raise substantial doubt about the Company’s ability to continue as a going concern.</w:t>
      </w:r>
    </w:p>
    <w:p>
      <w:pPr>
        <w:spacing w:after="0" w:line="7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disclosed in more detail in Note 13, the Company has entered into various financing agreements and raised capital by issuing convertible notes, its common stock, preferred stock and warrants to purchase its common stock.</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March 8, 2024, the Company received a written notice (the “Notice”) from the Listing Qualifications staff (the “Staff”) of The Nasdaq Stock Market LLC (the “Nasdaq)”), notifying the Company that it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September 5, 2024, Nasdaq notified the Company that it had not regained compliance with Nasdaq Listing Rule 5550(b)(1). The Company requested a hearing before the Nasdaq hearing panel, and on October 30, 2024, the Company received a decision from the panel, notifying the Company that it had until March 4, 2025, to demonstrate compliance with the Minimum Stockholders’ Equity Requirement.</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On March 7, 2025, the Company received notification from Nasdaq that it had regained compliance with the Minimum Stockholders’ Equity Requirement.</w:t>
      </w:r>
    </w:p>
    <w:p>
      <w:pPr>
        <w:spacing w:after="0" w:line="54"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Pursuant to Nasdaq Listing Rule 5815(d)(4)(B), the Company is subject to a Mandatory Panel Monitor until March 7, 2026. If the Staff finds the Company again out of compliance with the Minimum Stockholders’ Equity Requirement before that date, the Company would not be permitted to provide the Staff with a plan of compliance with respect to that deficiency and the Staff would not be permitted to grant additional time for the Company to regain compliance with respect to that deficiency, nor would the Company be afforded an applicable cure or compliance period. Instead, the Staff would issue a “Delist Determination Letter” and the Company would have an opportunity to request a Nasdaq hearing panel regarding its continued listing.</w:t>
      </w:r>
    </w:p>
    <w:p>
      <w:pPr>
        <w:spacing w:after="0" w:line="7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Furthermore, on May 16, 2025, the Company received notice from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Nasdaq’s Minimum Bid Requirement notice has no immediate effect on the listing or trading of the Company’s common stock. Pursuant to Nasdaq Listing Rule 5810(c)(3)(A), the Company is provided an initial compliance period of 180 calendar days, or until November 12, 2025, to regain compliance with the Minimum Bid Requirement. To regain compliance, the closing bid price of the Company’s common stock must meet or exceed $1.00 per share for a minimum of 10 consecutive business days prior to November 12, 2025.</w:t>
      </w:r>
    </w:p>
    <w:p>
      <w:pPr>
        <w:spacing w:after="0" w:line="72"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November 12, 2025, the Company may be eligible for an additional 180 calendar days to regain compliance. To qualify, the Company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Staff determines that the Company will not be able to cure the deficiency, or if the Company is otherwise not eligible for such additional compliance period, Nasdaq will provide notice that the Company’s common stock will be subject to delisting. In the event the Company receives notice that its common stock is being delisted, Nasdaq rules permit the Company to appeal any delisting determination by the Staff.</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May 2, 2025, the stockholders granted discretionary authority to the Company’s board of directors to (i) amend the Company’s Certificate of Incorporation to combine outstanding shares of the Company’s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w:t>
      </w:r>
    </w:p>
    <w:p>
      <w:pPr>
        <w:spacing w:after="0" w:line="7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addition, on August 7, 2025, the stockholders granted discretionary authority to the Company’s board of directors to (i) amend the Company’s Certificate of Incorporation to combine outstanding shares of the Company’s common stock into a lesser number of outstanding shares, or a “reverse stock split,” at a specific ratio within a range of one-for two (1-for-2) to a maximum of one-for-two hundred fifty (1-for-250), with the exact ratio to be determined by the board of directors in its sole discretion; and (ii) effect the reverse stock split, if at all, within twelve (12) months of the date the proposal is approved by stockholders.</w:t>
      </w:r>
    </w:p>
    <w:p>
      <w:pPr>
        <w:spacing w:after="0" w:line="75" w:lineRule="exact"/>
        <w:rPr>
          <w:sz w:val="20"/>
          <w:szCs w:val="20"/>
          <w:color w:val="auto"/>
        </w:rPr>
      </w:pPr>
    </w:p>
    <w:p>
      <w:pPr>
        <w:jc w:val="both"/>
        <w:ind w:left="520"/>
        <w:spacing w:after="0" w:line="274" w:lineRule="auto"/>
        <w:rPr>
          <w:sz w:val="20"/>
          <w:szCs w:val="20"/>
          <w:color w:val="auto"/>
        </w:rPr>
      </w:pPr>
      <w:r>
        <w:rPr>
          <w:rFonts w:ascii="Times New Roman" w:cs="Times New Roman" w:eastAsia="Times New Roman" w:hAnsi="Times New Roman"/>
          <w:sz w:val="17"/>
          <w:szCs w:val="17"/>
          <w:color w:val="auto"/>
        </w:rPr>
        <w:t>On June 3, 2025, the Staff notified the Company that it was not in compliance with the Minimum Stockholders’ Equity Requirement (the “June 3 Letter”).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(the “Panel”), pursuant to the procedures set forth in the Nasdaq Listing Rule 5800 Series. The Company must request a hearing no later than 4:00 p.m. Eastern Time on June 10, 2025. The Company timely requested a hearing, which hearing took place as scheduled on July 15, 2025.</w:t>
      </w:r>
    </w:p>
    <w:p>
      <w:pPr>
        <w:spacing w:after="0" w:line="65"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a decision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August 22, 2025, the Company received a letter (the “August 2025 Letter”) from Nasdaq confirming its compliance with Nasdaq Listing Rule 5550(b). Specifically, the August 2025 Letter confirmed that the Company was in compliance with both (1) the Market Value of Listing Securities standard under 5550(b)(2), which requires certain companies to maintain a market value of listed securities of at least $35 million as well as compliance with (2) the alternative stockholders’ equity threshold under 5550(b)(1) or the Minimum Stockholders’ Equity Requirement. Accordingly, the Company satisfied two alternative criteria under</w:t>
      </w:r>
    </w:p>
    <w:p>
      <w:pPr>
        <w:sectPr>
          <w:pgSz w:w="11900" w:h="16838" w:orient="portrait"/>
          <w:cols w:equalWidth="0" w:num="1">
            <w:col w:w="11240"/>
          </w:cols>
          <w:pgMar w:left="320" w:top="256"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Nasdaq Listing Rule 5550.</w:t>
      </w:r>
    </w:p>
    <w:p>
      <w:pPr>
        <w:spacing w:after="0" w:line="11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a result of such compliance, Nasdaq permitted the Company the remainder of the previously announced grace period to regain compliance with the $1.00 bid price rule under Nasdaq Listing Rule 5550(a)(2), through November 12, 2025. Nasdaq previously required that the Company remedy the bid price deficiency by September 8, 2025, a deadline that no longer applies.</w:t>
      </w:r>
    </w:p>
    <w:p>
      <w:pPr>
        <w:spacing w:after="0" w:line="68"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August 2025 Letter also provided that, solely with respect to the Equity Standard, the Company remains subject to a one-year panel monitoring period, through August 22, 2026. If, within that one-year monitoring period, the Staff determines that the Company no longer satisfies the Equity Standard (and the Company is not then in compliance with one of the alternative standards under Rule 5550(b)), the Company will not be permitted to provide the Staff with a plan of compliance and the Staff is not permitted to grant additional time to regain compliance with the Equity Standard nor will the Company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other financing alternatives and other sources in order to ensure adequate funding is available to allow the Company to continue research and product development activities.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the Company fail to raise additional cash, it would have a material adverse impact on its operations.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284" w:lineRule="exact"/>
        <w:rPr>
          <w:sz w:val="20"/>
          <w:szCs w:val="20"/>
          <w:color w:val="auto"/>
        </w:rPr>
      </w:pPr>
    </w:p>
    <w:p>
      <w:pPr>
        <w:ind w:left="860" w:hanging="852"/>
        <w:spacing w:after="0"/>
        <w:tabs>
          <w:tab w:leader="none" w:pos="8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2"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Assets recorded at fair value</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has investments in money market accounts which are included in cash and cash equivalents and investments, respectively, on the condensed consolidated balance sheets. Money market accounts are considered Level 1 measurements within the fair value hierarchy since money market account fair values are known and observable through daily published floating net asset values.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September 30, 2025 and December 31, 2024, respectively (in thousands):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1"/>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agency bonds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-1516380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-1499235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-1516380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-1499235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-1516380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-1499235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-1516380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-1499235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Liabilities recorded at fair value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detailed in Note 13 below, the Company elected to account for convertible notes (consisting of funding notes and exchange notes) issued on February 13, 2025 at fair value as of the issuance date and immediately before their settlement date of March 4, 2025. The convertible notes are valued using the binomial lattice model with the following key level 3 inputs: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tcPr>
          <w:p>
            <w:pPr>
              <w:spacing w:after="0"/>
              <w:rPr>
                <w:sz w:val="15"/>
                <w:szCs w:val="15"/>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 - 4.28%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r>
    </w:tbl>
    <w:p>
      <w:pPr>
        <w:spacing w:after="0" w:line="7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fair value of the convertible notes during the nine months ended September 30, 2025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Funding Notes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Exchange Notes</w:t>
            </w:r>
          </w:p>
        </w:tc>
        <w:tc>
          <w:tcPr>
            <w:tcW w:w="100" w:type="dxa"/>
            <w:vAlign w:val="bottom"/>
          </w:tcPr>
          <w:p>
            <w:pPr>
              <w:spacing w:after="0"/>
              <w:rPr>
                <w:sz w:val="15"/>
                <w:szCs w:val="15"/>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(3,512)</w:t>
            </w:r>
          </w:p>
        </w:tc>
      </w:tr>
      <w:tr>
        <w:trPr>
          <w:trHeight w:val="20"/>
        </w:trPr>
        <w:tc>
          <w:tcPr>
            <w:tcW w:w="6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September 30, 2025</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As detailed in Note 13 below, the Company issued March 2025 Series A and March 2025 Series B common stock warrants in connection with the March 2025 Private Placement. The March 2025 Series A and March 2025 Series B common stock warrants are accounted for as liabilities at fair value at issuance date, and immediately prior to their extinguishment and modification, respectively, on June 17, 2025. The March 2025 Series A and March 2025 Series B common stock warrants were valued using the Monte Carlo simulation, with the following key level 3 inputs:</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3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160" w:type="dxa"/>
            <w:vAlign w:val="bottom"/>
            <w:vMerge w:val="restart"/>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modification and</w:t>
            </w: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123.7%</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March 2025 Series B Warrants were valued immediately prior to exercise, using the Monte Carlo simulation with the following inputs for the exercises that occurred before the modification on June 17, 2025: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At exercise</w:t>
            </w: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 - 4.06%</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4.9 - 5.0</w:t>
            </w: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 - 135.8%</w:t>
            </w:r>
          </w:p>
        </w:tc>
      </w:tr>
    </w:tbl>
    <w:p>
      <w:pPr>
        <w:spacing w:after="0" w:line="9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addition, the February 2025 Warrants issued in connection with the Funding Notes were required to be classified as liabilities and recorded at fair value. The Company estimated the fair value of the February 2025 Warrants using the Black Scholes model at issuance as of February 13, 2025 and as of their redemption date of March 4, 2025, using the following level 3 inputs: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3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tcPr>
          <w:p>
            <w:pPr>
              <w:spacing w:after="0"/>
              <w:rPr>
                <w:sz w:val="15"/>
                <w:szCs w:val="15"/>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34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r>
    </w:tbl>
    <w:p>
      <w:pPr>
        <w:spacing w:after="0" w:line="7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fair value of liability classified common stock warrants during the nine months ended September 30, 2025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February 2025</w:t>
            </w:r>
          </w:p>
        </w:tc>
        <w:tc>
          <w:tcPr>
            <w:tcW w:w="1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126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Modification and extinguishment</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Reclassified to equity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September 30, 2025</w:t>
            </w:r>
          </w:p>
        </w:tc>
        <w:tc>
          <w:tcPr>
            <w:tcW w:w="126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0"/>
        </w:trPr>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5</w:t>
            </w:r>
            <w:r>
              <w:rPr>
                <w:rFonts w:ascii="Times New Roman" w:cs="Times New Roman" w:eastAsia="Times New Roman" w:hAnsi="Times New Roman"/>
                <w:sz w:val="18"/>
                <w:szCs w:val="18"/>
                <w:color w:val="auto"/>
                <w:w w:val="88"/>
              </w:rPr>
              <w:t>.</w:t>
            </w:r>
          </w:p>
        </w:tc>
        <w:tc>
          <w:tcPr>
            <w:tcW w:w="4140" w:type="dxa"/>
            <w:vAlign w:val="bottom"/>
            <w:tcBorders>
              <w:top w:val="single" w:sz="8" w:color="CFF0FC"/>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-367665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-351155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-367665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-351155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-367665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-351155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-367665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-351155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classified short-term investments as available-for-sale securities, as the sale of such investments may be required prior to maturity to facilitate the execution of management strategies. During the three and nine months ended September 30, 2025, the unrealized gain on the Company's available-for-sale securities was immaterial, and not presented separately in the condensed consolidated statements of operations.</w:t>
      </w:r>
    </w:p>
    <w:p>
      <w:pPr>
        <w:spacing w:after="0" w:line="6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classified all investments with maturities longer than three months from the date of purchase as short-term investments in the condensed consolidated balance sheets, reflecting its intent and ability to use these assets to meet the liquidity requirements of current operations. The following table summarizes contractual maturities of available-for-sale securities as of September 30, 2025 (in thousands):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5"/>
                <w:szCs w:val="15"/>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6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or if-converted method, as applicable. The Pre-Funded Warrants were included in the weighted average shares outstanding calculation (as of the beginning of the period or the date of the grant, whichever was earlier) for basic and dilutive earnings per share given their nominal exercise price.</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March 2025 Series A Warrants and March 2025 Series B Warrants (and for the period in which the February 2025 Warrants, Funding Notes, and Exchange Notes, as defined in Note 13, were outstanding) were participating securities because holders of such instruments would participate in the event a dividend is paid on common stock, however such holders did not have a contractual obligation to share in the Company’s losses. As such, losses were attributed entirely to common stockholders.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common stock for the periods indicated, in thousands except share and per share data:</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1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1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calculation: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(9,075)</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(5,047)</w:t>
            </w: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(14,122)</w:t>
            </w:r>
          </w:p>
        </w:tc>
      </w:tr>
      <w:tr>
        <w:trPr>
          <w:trHeight w:val="216"/>
        </w:trPr>
        <w:tc>
          <w:tcPr>
            <w:tcW w:w="5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107,428,969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57,845,406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6,232,123</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107,428,969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57,845,406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8,452,338</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-830580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-830580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-830580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-830580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following table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nine months ended September 30, 2025, were excluded from diluted loss per share as their effect would be anti-dilutive.</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8"/>
        </w:trPr>
        <w:tc>
          <w:tcPr>
            <w:tcW w:w="5160" w:type="dxa"/>
            <w:vAlign w:val="bottom"/>
          </w:tcPr>
          <w:p>
            <w:pPr>
              <w:spacing w:after="0"/>
              <w:rPr>
                <w:sz w:val="12"/>
                <w:szCs w:val="12"/>
                <w:color w:val="auto"/>
              </w:rPr>
            </w:pPr>
          </w:p>
        </w:tc>
        <w:tc>
          <w:tcPr>
            <w:tcW w:w="146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73"/>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11,272,863</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2,823,857</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warrants (Note 13)</w:t>
            </w:r>
          </w:p>
        </w:tc>
        <w:tc>
          <w:tcPr>
            <w:tcW w:w="1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3,141,993</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706,674</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17,266,903</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119" w:lineRule="exact"/>
        <w:rPr>
          <w:sz w:val="20"/>
          <w:szCs w:val="20"/>
          <w:color w:val="auto"/>
        </w:rPr>
      </w:pPr>
    </w:p>
    <w:p>
      <w:pPr>
        <w:jc w:val="both"/>
        <w:ind w:left="520"/>
        <w:spacing w:after="0" w:line="244" w:lineRule="auto"/>
        <w:rPr>
          <w:sz w:val="20"/>
          <w:szCs w:val="20"/>
          <w:color w:val="auto"/>
        </w:rPr>
      </w:pPr>
      <w:r>
        <w:rPr>
          <w:rFonts w:ascii="Times New Roman" w:cs="Times New Roman" w:eastAsia="Times New Roman" w:hAnsi="Times New Roman"/>
          <w:sz w:val="18"/>
          <w:szCs w:val="18"/>
          <w:color w:val="auto"/>
        </w:rPr>
        <w:t xml:space="preserve">On September 19, 2022, the Company entered into that certain </w:t>
      </w:r>
      <w:r>
        <w:rPr>
          <w:rFonts w:ascii="Times New Roman" w:cs="Times New Roman" w:eastAsia="Times New Roman" w:hAnsi="Times New Roman"/>
          <w:sz w:val="18"/>
          <w:szCs w:val="18"/>
          <w:color w:val="231F20"/>
        </w:rPr>
        <w:t>Cancer Research Grant Contract (the “CPRIT Contract”), effective as of August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2022, </w:t>
      </w:r>
      <w:r>
        <w:rPr>
          <w:rFonts w:ascii="Times New Roman" w:cs="Times New Roman" w:eastAsia="Times New Roman" w:hAnsi="Times New Roman"/>
          <w:sz w:val="18"/>
          <w:szCs w:val="18"/>
          <w:color w:val="000000"/>
        </w:rPr>
        <w:t>with the</w:t>
      </w:r>
      <w:r>
        <w:rPr>
          <w:rFonts w:ascii="Times New Roman" w:cs="Times New Roman" w:eastAsia="Times New Roman" w:hAnsi="Times New Roman"/>
          <w:sz w:val="18"/>
          <w:szCs w:val="18"/>
          <w:color w:val="231F20"/>
        </w:rPr>
        <w:t xml:space="preserve"> Cancer Prevention and Research Institute of Texas (“CPRIT”)</w:t>
      </w:r>
      <w:r>
        <w:rPr>
          <w:rFonts w:ascii="Times New Roman" w:cs="Times New Roman" w:eastAsia="Times New Roman" w:hAnsi="Times New Roman"/>
          <w:sz w:val="18"/>
          <w:szCs w:val="18"/>
          <w:color w:val="000000"/>
        </w:rPr>
        <w:t>, pursuant to which CPRIT provides the Company with a CPRIT Grant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(“CPRIT Grant”) over a three-year period to fund the continued development of REYOBIQ</w:t>
      </w:r>
      <w:r>
        <w:rPr>
          <w:rFonts w:ascii="Times New Roman" w:cs="Times New Roman" w:eastAsia="Times New Roman" w:hAnsi="Times New Roman"/>
          <w:sz w:val="24"/>
          <w:szCs w:val="24"/>
          <w:color w:val="000000"/>
          <w:vertAlign w:val="superscript"/>
        </w:rPr>
        <w:t>TM</w:t>
      </w:r>
      <w:r>
        <w:rPr>
          <w:rFonts w:ascii="Times New Roman" w:cs="Times New Roman" w:eastAsia="Times New Roman" w:hAnsi="Times New Roman"/>
          <w:sz w:val="18"/>
          <w:szCs w:val="18"/>
          <w:color w:val="000000"/>
        </w:rPr>
        <w:t xml:space="preserve">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REYOBIQ based on specific dollar thresholds and tiered low single digit royalty rates until CPRIT receives the aggregate amount of 400% of the proceeds awarded under the CPRIT Grant, and certain reporting requirements.</w:t>
      </w:r>
    </w:p>
    <w:p>
      <w:pPr>
        <w:spacing w:after="0" w:line="90"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February 28, 2026,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75"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The Company recognized $1.4 million and $3.8 million, and $1.5 million and $4.4 million in grant revenue from the CPRIT Contract during the three and nine months ended September 30, 2025 and 2024, respectively. As of September 30, 2025 and December 31, 2024, the Company had nil and $0.6 million, respectively, of grant revenue receivable related to the CPRIT Grant. As of September 30, 2025 and December 31, 2024, the Company had $1.1 million and nil of deferred grant liability related to the CPRIT Grant.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Department of Defense Award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deferred grant liability as of September 30, 2025 and December 31, 2024. As of September 30, 2025 and December 31, 2024, no amount of grant revenue was recognized related to the DoD Award.</w:t>
      </w:r>
    </w:p>
    <w:p>
      <w:pPr>
        <w:spacing w:after="0" w:line="291"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in Charlottesville, Virginia (the “Charlottesville Lease”). The Charlottesville Lease expires on March 31, 2026.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Agreement with SpectronRx</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November 5, 2024, the Company entered into a manufacturing services agreement with SpectronRx for drug product development and manufacturing, which includes an initial commitment fee of $0.3 million. Under this agreement, the Company owns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nine months ended September 30, 2025 and year ended December 31, 2024, the Company did not recognize any expenses related to this agreement.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study progress. As of September 30, 2025, the Company did not have any clinical research study obligations.</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has entered into service and subscription-based agreements, which are recorded in accounts payable and accrued expenses, with an offsetting amount included in deferred costs within other current assets.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whether asserted or unasserted, that arise in the ordinary course of business.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284"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Financial Statement Captions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and December 31, 2024, other current assets were comprised of the following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costs (Note 8)</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2" w:lineRule="exact"/>
        <w:rPr>
          <w:sz w:val="20"/>
          <w:szCs w:val="20"/>
          <w:color w:val="auto"/>
        </w:rPr>
      </w:pPr>
    </w:p>
    <w:p>
      <w:pPr>
        <w:ind w:left="900" w:hanging="892"/>
        <w:spacing w:after="0"/>
        <w:tabs>
          <w:tab w:leader="none" w:pos="9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Facility</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May 31, 2024, the Company drew down $3.3 million on a margin loan facility under a line of credit (the “Pershing Credit Facility”) with Pershing LLC (“Pershing”), an affiliate of The Bank of New York Mellon Corporation. The available credit line limit under the Pershing Credit Facility fluctuated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have required the Company from time-to-time to deposit additional funds or marketable securities in order to restore the level of collateral to an acceptable level. The amounts borrowed under the Pershing Credit Facility were due on demand. As of September 30, 2025 and December 31, 2024, the Company held collateralized marketable securities with Pershing with a total value of zero and $3.5 million, respectively.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Borrowings under the Pershing Credit Facility bore interest at the target interest rate set by the Federal Open Market Committee,</w:t>
      </w:r>
    </w:p>
    <w:p>
      <w:pPr>
        <w:sectPr>
          <w:pgSz w:w="11900" w:h="16838" w:orient="portrait"/>
          <w:cols w:equalWidth="0" w:num="1">
            <w:col w:w="11240"/>
          </w:cols>
          <w:pgMar w:left="320" w:top="256"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subject to a floor of 5.5%, plus a spread of 1.75% and applicable fees of 0.5%, subject to a maximum interest rate of the then applicable Prime Rate as published in The Wall Street Journal, plus 3.0%. Interest payments thereunder were calculated on a monthly basis and, unless paid, were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3, 2025, the Pershing Credit Facility was fully repaid and the collateralized marketable securities were fully redeemed.</w:t>
      </w:r>
    </w:p>
    <w:p>
      <w:pPr>
        <w:spacing w:after="0" w:line="329" w:lineRule="exact"/>
        <w:rPr>
          <w:sz w:val="20"/>
          <w:szCs w:val="20"/>
          <w:color w:val="auto"/>
        </w:rPr>
      </w:pPr>
    </w:p>
    <w:p>
      <w:pPr>
        <w:ind w:left="720" w:hanging="712"/>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 Health Science Center at San Antonio (“UTHSCSA”) License Agreement</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September 30, 2025, the Company accrued $0.3 million of payments due to NanoTx as a result of the CPRIT Grant proceeds received (see Note 7, Grant Revenue of the condensed consolidated financial statements for additional information).</w:t>
      </w:r>
    </w:p>
    <w:p>
      <w:pPr>
        <w:spacing w:after="0" w:line="291" w:lineRule="exact"/>
        <w:rPr>
          <w:sz w:val="20"/>
          <w:szCs w:val="20"/>
          <w:color w:val="auto"/>
        </w:rPr>
      </w:pPr>
    </w:p>
    <w:p>
      <w:pPr>
        <w:ind w:left="860" w:hanging="852"/>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Biocept Asset Acquisition</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April 26, 2024, the Company, after having its bid accepted by the United States Bankruptcy Court for the District of Delaware, acquired from Biocept, Inc. (“Biocept”), for a total cash payment of $400,000, substantially all of the right, title and interest in a cerebrospinal fluid cancer diagnostic portfolio (the “CNSide® Platform”), including (i) intellectual property, (ii) inventory and raw materials, and (iii) data, information, results and reports pertaining to the completed and on-going clinical studies involving the use of the CNSide Platform (including, but not limited to, the FORESEE clinical study that was being conducted by Biocept), related to the development, making, selling, and exporting or importing of the CNSide proprietary cell enumeration test (the “CNSide Test”).</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w:t>
      </w:r>
    </w:p>
    <w:p>
      <w:pPr>
        <w:spacing w:after="0" w:line="287" w:lineRule="exact"/>
        <w:rPr>
          <w:sz w:val="20"/>
          <w:szCs w:val="20"/>
          <w:color w:val="auto"/>
        </w:rPr>
      </w:pPr>
    </w:p>
    <w:p>
      <w:pPr>
        <w:ind w:left="860" w:hanging="852"/>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February 2025 SPEA Agreements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3,002,009 shares of the Company common stock, par value $0.001 and exercise price of $1.12 per share (the “February 2025 Warrant Exercise Price”). The aggregate purchase price for the Funding Notes and the February 2025 Warrants was approximately $3.7 million (the “Aggregate Purchase Price”) and included proceeds from the February 2025 Purchasers of $0.125 per February 2025 Warrant in accordance with Nasdaq listing rules. The Funding Notes would mature on February 13, 2026, and bore interest at a rate of 10% per annum, subject to increase upon events of default. The February 2025 Warrants were exercisable for five-years from the date of issuance.</w:t>
      </w:r>
    </w:p>
    <w:p>
      <w:pPr>
        <w:spacing w:after="0" w:line="80"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Funding Notes, accrued interest and February 2025 warrants were repurchased by the Company subsequent to consummation of the March 2025 Private Placement for proceeds of $4.2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Security Interest</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obligations of the Company under the February 2025 SPEA, Funding Notes and Exchange Notes (as defined below) were secured by a pledge of substantially all of the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As disclosed below, the Company entered into the May 2024 Purchase Agreement (defined below), with the May 2024 Purchasers for the private placement of securities, including the May 2024 Series A Warrants to purchase an aggregate of up to 3,591,532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May 2024 Purchasers, and the May 2024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w:t>
      </w:r>
    </w:p>
    <w:p>
      <w:pPr>
        <w:spacing w:after="0" w:line="84"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Both the Funding Notes and the Exchange Notes contained embedded conversion features that were required to be bifurcated and accounted for as derivative liabilities. The Company evaluated authoritative guidance for accounting for convertible debt instruments and elected to account for the Funding Notes and Exchange Notes at fair value. Consequently, the Company recorded the Funding Notes and Exchange Notes in their entirety at fair value at issuance and immediately before settlement, with changes in fair value recorded as change in fair value of derivative instruments in the condensed consolidated statements of operations between the issuance date and the settlement date.</w:t>
      </w:r>
    </w:p>
    <w:p>
      <w:pPr>
        <w:spacing w:after="0" w:line="75"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statement of operations for the nine months ended September 30, 2025.</w:t>
      </w:r>
    </w:p>
    <w:p>
      <w:pPr>
        <w:spacing w:after="0" w:line="8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statement of operations for the nine months ended September 30,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March 2025 Private Placement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provided for the sale and issuance</w:t>
      </w:r>
    </w:p>
    <w:p>
      <w:pPr>
        <w:sectPr>
          <w:pgSz w:w="11900" w:h="16838" w:orient="portrait"/>
          <w:cols w:equalWidth="0" w:num="1">
            <w:col w:w="11240"/>
          </w:cols>
          <w:pgMar w:left="320" w:top="256"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by the Company of an aggregate of 28,042,140 shares (the “March 2025 Private Placement Shares”) of the Company’s common stock, or, at the election of each March 2025 Private Placement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4,069,738 March 2025 Private Placement Shares, 23,972,400 March 2025 Pre-Funded Warrants, 28,042,138 March 2025 Series A Warrants and 28,042,138 March 2025 Series B Warrants. As of September 30, 2025, all March 2025 Series A Warrants and March 2025 Series B Warrants were settled as a result of cancellation, exchanges or exercises as detailed below, and 2,611,809 March 2025 Pre-Funded Warrants remained outstanding.</w:t>
      </w:r>
    </w:p>
    <w:p>
      <w:pPr>
        <w:spacing w:after="0" w:line="7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March 2025 Pre-Funded Warrant in the March 2025 Private Placement, together with one accompanying March 2025 Series A Warrant and one accompanying March 2025 Series B Warrant, represents the applicable “Minimum Price” in accordance with Nasdaq Rule 5635(d).</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issued in the March 2025 Private Placement was $1.32 per share of common stock. The March 2025 Series A Warrants were exercisable only following stockholder approval and expire five (5) years thereafter. The March 2025 Series A Warrants were subject to certain price reset, share combination event and anti-dilution provisions which, if triggered, provided that the number of shares issuable upon exercise of the March 2025 Series A Warrants would downward adjust, subject to a floor price of $0.132 (the “Floor Price”), and the number of shares issuable upon exercise therefor would increase such that the aggregate exercise price remained unchanged. The March 2025 Series A Warrants were extinguished as part of the Letter Agreement on June 17, 2025 as discussed below.</w:t>
      </w:r>
    </w:p>
    <w:p>
      <w:pPr>
        <w:spacing w:after="0" w:line="7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issued in the March 2025 Private Placement was $1.98 per share of common stock. The March 2025 Series B Warrants were exercisable only following stockholder approval and expire two and one-half (2.5) years thereafter. The March 2025 Series B Warrants were subject to certain price reset and share combination event provisions which, if triggered, provided that the number of shares issuable upon exercise of the March 2025 Series B Warrants would downward adjust, subject to the Floor Price, and the number of shares issuable upon exercise therefor would increase such that the aggregate exercise price remained unchanged. In addition, the March 2025 Series B Warrant alternative cashless exercise provision provided that the March 2025 Series B Warrant could be exercised without further payment to the Company and for three times the number of shares of common stock then subject to the March 2025 Series B Warrant.</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spacing w:after="0" w:line="7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Private Placement, the Company issued 3,077,270 shares of common stock, 19,650,000 shares of March 2025 Pre-Funded Warrants in lieu thereof, and accompanying 22,727,270 March 2025 Series A Warrants and 22,727,270 March 2025 Series B Warrants in consideration of new capital subscriptions. In addition, the Company issued 992,468 shares of common stock, 4,322,400 March 2025 Pre-Funded Warrants in lieu thereof, and accompanying 5,314,870 March 2025 Series A Warrants and 5,314,870 March 2025 Series B Warrants, were issued in exchange for the cancelation of approximately $3.2 million in aggregate principal amount of the Exchange Notes.</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condensed consolidated statement of operations. The March 2025 Pre-Funded Warrants meet the criteria to be recorded as equity in the Company's condensed consolidated balance sheet.</w:t>
      </w:r>
    </w:p>
    <w:p>
      <w:pPr>
        <w:spacing w:after="0" w:line="72"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condensed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May 2, 2025, the Company’s stockholders approved, among other things, the March 2025 Series A Warrants and March 2025 Series B Warrants, and an amendment to the Company’s Certificate of Incorporation, as amended, to increase the authorized share capital of the Company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both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change in fair value for the nine months ended September 30, 2025, and a $0.8 million credit to additional paid-in capital.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and provided for the return and cancellation of Private Placement Shares and Pre-Funded Warrants, as further discussed in the following paragraphs.</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As of March 31, 2025, the fair value of the March 2025 Series A Warrant liability was $5.0 million. On June 17, 2025, the March 2025 Series A Warrants were immediately remeasured to fair value prior to their cancellation, which resulted in a $2.7 million gain on change in fair value attributable to the March 2025 Series A Warrants for the nine months ended September 30, 2025. The extinguishment of the March 2025 Series A Warrants was recognized as a $2.3 million capital contribution and recorded to additional paid-in capital, as the extinguishment was deemed equivalent to a capital contribution by existing shareholders of the Company.</w:t>
      </w:r>
    </w:p>
    <w:p>
      <w:pPr>
        <w:spacing w:after="0" w:line="7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(the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(c) remove provisions contained in the March 2025 Series B Warrants that would otherwise reduce the Company’s stockholders’ equity, and (d) reset the exercise price of the Amended March 2025 Series B Warrants back to $1.98 per share. As a result of the Letter Agreement, the Amended March 2025 Series B Warrants no longer fail the indexation guidance under ASC 815, Derivatives and Hedging, resulting in a reclassification from liability to equity. Immediately prior to reclassification, the March 2025 Series B Warrant liability was remeasured, and $4.5 million was recognized as a capital contribution and recorded to additional paid-in capital, as the modification of the March 2025 Series B Warrants was deemed equivalent to a capital contribution by existing shareholders of the Company. The remeasured fair value of the March 2025 Series B warrant liability, in the amount of $11.0 million was reclassified to equity. After the June 17, 2025 modification, 34,794,540 of the Amended March 2025 Series B Warrants were cashless exercised resulting in the issuance of 34,794,540 shares of common stock.</w:t>
      </w:r>
    </w:p>
    <w:p>
      <w:pPr>
        <w:spacing w:after="0" w:line="84"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During the three and nine months ended September 30, 2025, the Company paid the March 2025 Private Placement Purchasers $2.3 million and 3,472,740 shares were returned and cancelled under the terms of the Letter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Support Letters</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July 11, 2025, the Company and certain March 2025 Private Placement Purchasers party to the Letter Agreement entered into that certain letter of support (the “Support Letters”) to modify certain portions of the Letter Agreement as between the Company and each of such March 2025 Private Placement Purchasers. In the event that the Company reasonably believes that, within the 30 days (the “Modification Period”) prior to the end of any fiscal quarter, the Company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the Company desires to trigger the modification of the Subsequent Financing Percentage, the Company agrees to supply the purchaser who executed a Support Letter with a pro forma balance sheet to evidence its reasonable belief of the Potential Equity Deficiency approximately 30 days prior to each end of fiscal quarter once the books for prior months are closed. In accordance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with the Support Letters, the Company made a cash payment of $0.5 million to such purchasers for a total cash payment of $2.3 million, which was recorded as a reduction to additional paid-in capital in the condensed consolidated balance sheet as of September 30, 2025. Such payment counted as cash received by the purchaser towards its Maximum Amount. Each Support Letter also granted the purchaser party to the letter a participation right in certain future financings of the Company for a period of 12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February 2025 Purchasers agreed to consent to the March 2025 Private Placement and eliminate the New Financing Restrictions.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“May 2024 Securities Purchase Agreement”) with certain investors, including certain of the Company’s directors and executive officers (“Company Insiders”) (collectively, the “May 2024 Purchasers”), for the sale and issuance by the Company of its securities (the “Initial Subscription”). On May 8, 2024, the Company entered into a first amendment to the May 2024 Securities Purchase Agreement (together with the May 2024 Securities Purchase Agreement, the “May 2024 Purchase Agreement”), for the sale and issuance by the Company of additional securities to two of the May 2024 Purchasers (the “Additional Subscription,” and together with the Initial Subscription, the “May 2024 Private Placement”). The May 2024 Purchase Agreement provides for the sale and issuance by the Company of an aggregate of 3,591,532 shares (the “May 2024 Private Placement Shares”) of the Company’s common stock or, at the election of each May 2024 Purchaser, Pre-Funded warrants (the “May 2024 Pre-Funded Warrants”), exercisable immediately at an exercise price of $0.001 per share, with each May 2024 Private Placement Share or May 2024 Pre-Funded Warrant accompanied by (i) a May 2024 Series A common warrant (“May 2024 Series A Warrants”) to purchase one share of common stock, for an aggregate of 3,591,532 May 2024 Series A Warrants, and (ii) one May 2024 Series B common warrant (“May 2024 Series B Warrants”) to purchase one share of common stock, for an aggregate of 3,591,532 May 2024 Series B Warrants.</w:t>
      </w:r>
    </w:p>
    <w:p>
      <w:pPr>
        <w:spacing w:after="0" w:line="8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May 2024 Private Placement Share and May 2024 Pre-Funded Warrant from the Initial Subscription was $2.022, and $2.158 from the Additional Subscription, in each case together with one accompanying May 2024 Series A Warrant and one accompanying May 2024 Series B Warrant provided, that the Company Insiders participated in the Initial Subscription at an offering price of $2.04 per May 2024 Private Placement Share and accompanying May 2024 Series A Warrant and May 2024 Series B Warrant.</w:t>
      </w:r>
    </w:p>
    <w:p>
      <w:pPr>
        <w:spacing w:after="0" w:line="7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exercise price of May 2024 Series A Warrants and May 2024 Series B Warrants from the Initial Subscription is $1.772 per share from the Initial Subscription and $1.908 per share from the Additional Subscription, provided that the exercise price for the May 2024 Series A Warrants and May 2024 Series B Warrants issued to the Company Insiders is $1.79 per share. Subject to certain ownership limitations, the May 2024 Series A Warrants will be exercisable until May 9, 2029, which is the five-year anniversary of issuance. Subject to certain ownership limitations, the May 2024 Series B Warrants will be exercisable until May 9, 2029. The May 2024 Pre-Funded Warrant will not expire until exercised in full.</w:t>
      </w:r>
    </w:p>
    <w:p>
      <w:pPr>
        <w:spacing w:after="0" w:line="75"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Prior to the Amendment and Restatements (as defined below), if a holder of a May 2024 Series A Warrant or a May 2024 Series B Warrant was unable to exercise the warrant due to the limitation contained in the warrant that restricts the holder from owning above a specified beneficial ownership level (generally 4.99% or 9.99%) as the result of exercise of the warrant, then the holder had the right to elect upon exercise of the warrant to receive a May 2024 Pre-Funded Warrant for the same number of shares of common stock that would otherwise have been received upon exercise of the warrant. In addition, prior to the Amendment and Restatements, the May 2024 Series A Warrants and May 2024 Series B Warrants provided for a call right starting June 24, 2025, in favor of the Company, if the volume-weighted average price of the shares of common stock exceeds specified prices.</w:t>
      </w:r>
    </w:p>
    <w:p>
      <w:pPr>
        <w:spacing w:after="0" w:line="8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May 2024 Private Offering closed on May 9, 2024. The Company issued 1,439,988 shares of common stock, 2,151,544 May 2024 Pre-Funded Warrants, 3,591,532 May 2024 Series A Warrants and 3,591,532 May 2024 Series B Warrants to purchase shares of its common stock in connection with the May 2024 Private Placement. The net proceeds from the May 2024 Private Placement were approximately $7.3 million.</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reviewed the terms of the May 2024 Pre-Funded Warrants, May 2024 Series A Warrants and May 2024 Series B Warrants under the authoritative accounting guidance as of the issuance date.</w:t>
      </w:r>
    </w:p>
    <w:p>
      <w:pPr>
        <w:spacing w:after="0" w:line="5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 xml:space="preserve">As described above, the May 2024 Series A Warrants and May 2024 Series B Warrants were initially classified as liabilities for the reason that they could have been exercised into either shares of common stock or May 2024 Pre-Funded Warrants at the holder’s option and thus failed the indexation guidance under ASC 815, Derivatives and Hedging.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 A Warrant and</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 B Warrant liability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initially recorded at fair value as of the issuance date, and under the terms of the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 xml:space="preserve">May 2024 </w:t>
      </w:r>
      <w:r>
        <w:rPr>
          <w:rFonts w:ascii="Times New Roman" w:cs="Times New Roman" w:eastAsia="Times New Roman" w:hAnsi="Times New Roman"/>
          <w:sz w:val="18"/>
          <w:szCs w:val="18"/>
          <w:color w:val="222222"/>
        </w:rPr>
        <w:t>Series A Warrants and</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 B Warrants when issued that liability was subject to adjustment to estimated fair value at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balance sheet date until the warrants were settled. R</w:t>
      </w:r>
      <w:r>
        <w:rPr>
          <w:rFonts w:ascii="Times New Roman" w:cs="Times New Roman" w:eastAsia="Times New Roman" w:hAnsi="Times New Roman"/>
          <w:sz w:val="18"/>
          <w:szCs w:val="18"/>
          <w:color w:val="000000"/>
        </w:rPr>
        <w:t>efer below for additional information regarding the amendment of the May 2024 Series A</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Warrants and May 2024 Series B Warrants that eliminated the ability of the May 2024 Series A Warrants and May 2024 Series B Warrants to be exercised into Pre-Funded Warrants, and as a result, the reclassification of the May 2024 Series A and B Warrants from liability to equity section of the consolidated balance sheet.</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May 2024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72"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22222"/>
        </w:rPr>
        <w:t>he proceeds from the May 2024 Private Placement were first allocated to the full fair value of the</w:t>
      </w:r>
      <w:r>
        <w:rPr>
          <w:rFonts w:ascii="Times New Roman" w:cs="Times New Roman" w:eastAsia="Times New Roman" w:hAnsi="Times New Roman"/>
          <w:sz w:val="18"/>
          <w:szCs w:val="18"/>
          <w:color w:val="auto"/>
        </w:rPr>
        <w:t xml:space="preserve"> May 2024 Series A Warrants and May 2024 Series B Warrants </w:t>
      </w:r>
      <w:r>
        <w:rPr>
          <w:rFonts w:ascii="Times New Roman" w:cs="Times New Roman" w:eastAsia="Times New Roman" w:hAnsi="Times New Roman"/>
          <w:sz w:val="18"/>
          <w:szCs w:val="18"/>
          <w:color w:val="222222"/>
        </w:rPr>
        <w:t>due to the initial liability classification. As disclosed in Note 4, Fair Value Measurements, the fair value of the</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w:t>
      </w:r>
      <w:r>
        <w:rPr>
          <w:rFonts w:ascii="Times New Roman" w:cs="Times New Roman" w:eastAsia="Times New Roman" w:hAnsi="Times New Roman"/>
          <w:sz w:val="18"/>
          <w:szCs w:val="18"/>
          <w:color w:val="auto"/>
        </w:rPr>
        <w:t xml:space="preserve"> A Warrants and May 2024 Series B Warra</w:t>
      </w:r>
      <w:r>
        <w:rPr>
          <w:rFonts w:ascii="Times New Roman" w:cs="Times New Roman" w:eastAsia="Times New Roman" w:hAnsi="Times New Roman"/>
          <w:sz w:val="18"/>
          <w:szCs w:val="18"/>
          <w:color w:val="222222"/>
        </w:rPr>
        <w:t>nts at issuance was $10.9 million. Under authoritative guidance, if the fair value of a warrant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consolidated statement of operations during year ended December 31, 2024, which represents the excess of the fair value of the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A Warrants and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B Warrants at issuance over the proceeds. During the year ended December 31, 2024, the Company recognized a fair value gain on warrant liability of $5.7 million. Proceeds from the May 2024 Private Placement are shown as cash from financing transactions and the gain on warrant liability is included as an adjustment to reconcile the net loss to net cash used in operating activities in the consolidated statements of cash flows for the year ended December 31, 2024.</w:t>
      </w:r>
    </w:p>
    <w:p>
      <w:pPr>
        <w:spacing w:after="0" w:line="86"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May 2024 Pre-Funded Warrants, which are exercisable into the Company’s shares of common stock at any time at the holders’ option, but not in cash payment to the holders.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of May 2024 Series A Warrants and May 2024 Series B Warrants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August 9, 2024, the Company amended and restated the May 2024 Series A Warrants and May 2024 Series B Warrants (the “Amendment and Restatements”) issued in the May 2024 Private Placement. The Amendment and Restatements eliminated the ability of the holders of the May 2024 Series A Warrants and May 2024 Series B Warrants to elect to purchase Pre-Funded Warrants upon exercise of the May 2024 Series A Warrants and May 2024 Series B Warrants in lieu of shares of common stock if the holder would have been restricted because of the specified beneficial ownership level in the May 2024 Series A Warrants and May 2024 Series B Warrants.</w:t>
      </w:r>
    </w:p>
    <w:p>
      <w:pPr>
        <w:spacing w:after="0" w:line="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addition, the Amendment and Restatements eliminated the Company’s call right under the terms of the May 2024 Series A Warrants to call the May 2024 Series A Warrants after June 24, 2025, if the volume-weighted average price of shares of common stock exceeded specified prices. There were no other changes in the terms of the May 2024 Series A Warrants and May 2024 Series B Warrants.</w:t>
      </w:r>
    </w:p>
    <w:p>
      <w:pPr>
        <w:spacing w:after="0" w:line="6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May 2024 Series A Warrants and May 2024 Series B Warrants, as amended, no longer fail the indexation guidance under ASC 815, Derivatives and Hedging, and the fair value of the warrant liability at the amendment date, in the amount of $5.2 million, was reclassified to equity.</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On June 17, 2025, the Company entered into a purchase agreement (the “Lincoln Park Purchase Agreement”) and a registration rights agreement (the “Registration Rights Agreement”) with Lincoln Park Capital Fund, LLC (“Lincoln Park”), pursuant to which the Company has the right, but not the obligation, to sell to Lincoln Park, and Lincoln Park committed to purchase up to $50.0 million of shares of the Company’s common stock, $0.001 par value per share. Such sales of common stock by the Company are subject to certain limitations and conditions set forth in the Lincoln Park Purchase Agreement including, but not limited to, the filing and effectiveness of a registration statement (a "Lincoln Park Registration Statement"). As of September 30, 2025, under the Lincoln Park Registration Statements, the resale of up to a total of 50,000,000 shares are reserved for issuance and sale under the Lincoln Park Purchase Agreement.</w:t>
      </w:r>
    </w:p>
    <w:p>
      <w:pPr>
        <w:spacing w:after="0" w:line="8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Under the Lincoln Park Purchase Agreement, on any business day selected by the Company over the 36-month period commencing on June 23, 2025 (the "Purchase Date"), the Company may direct Lincoln Park to purchase up to 300,000 shares of common stock on such Purchase Date, so long as the closing stock price on The Nasdaq Capital Market is not below $0.10 on the applicable Purchase Date (a “Regular Purchase”); provided, however, that (i) a Regular Purchase may be increased to up to 400,000 shares, if the closing sale price per share of the common stock on The Nasdaq Capital Market is not below $0.50 on the applicable Purchase Date; and (ii) a Regular Purchase may be increased to up to 500,000 shares, if the closing sale price per share of the common stock on The Nasdaq Capital Market is not below $0.75 on the applicable Purchase Date. In any case, Lincoln Park’s maximum obligation under any single Regular Purchase will not exceed $1.0 million. The above-referenced share amount limitations and closing sale price thresholds are subject to adjustment for any reorganization, recapitalization, non-cash dividend,</w:t>
      </w:r>
    </w:p>
    <w:p>
      <w:pPr>
        <w:sectPr>
          <w:pgSz w:w="11900" w:h="16838" w:orient="portrait"/>
          <w:cols w:equalWidth="0" w:num="1">
            <w:col w:w="11240"/>
          </w:cols>
          <w:pgMar w:left="320" w:top="256"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6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stock split, reverse stock split or other similar transaction as provided in the Purchase Agreement. The purchase price per share for each such Regular Purchase will be 97% of the lesser of: (i) the lowest sale price for the common stock on The Nasdaq Capital Market on the date of sale, and</w:t>
      </w:r>
    </w:p>
    <w:p>
      <w:pPr>
        <w:ind w:left="520" w:right="20" w:hanging="3"/>
        <w:spacing w:after="0" w:line="260" w:lineRule="auto"/>
        <w:tabs>
          <w:tab w:leader="none" w:pos="7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three lowest closing sale prices for the common stock on The Nasdaq Capital Market during the 10 consecutive business days ending on the business day immediately preceding the purchase date.</w:t>
      </w:r>
    </w:p>
    <w:p>
      <w:pPr>
        <w:spacing w:after="0" w:line="73"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Company also has the right to direct Lincoln Park, on any business day on which the Company has properly submitted a Regular Purchase notice for the maximum amount the Company is then permitted to sell to Lincoln Park in such Regular Purchase, to purchase an additional amount of the common stock (an “Accelerated Purchase”) of additional shares based on criteria established in the Lincoln Park Purchase Agreement. The purchase price per share for each such Accelerated Purchase will be 96.5% of the lesser of: (i) the volume weighted average price ("VWAP") during a specific time window on the Accelerated Purchase date as defined in the Lincoln Park Purchase Agreement, and (ii) the closing sale price of the Company’s common stock on The Nasdaq Capital Market on the same Accelerated Purchase date.</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addition to the Regular Purchase and Accelerated Purchase, the Company can sell to Lincoln Park an additional amount of common stock (an "Additional Accelerated Purchases"), which can be initiated multiple times on the same Additional Accelerated Purchase date. The purchase price per share for each such Additional Accelerated Purchase will be 96.5% of the lesser of: (i) the VWAP during a specific time windows on the Additional Accelerated Purchase date as defined in the Lincoln Park Purchase Agreement, and (ii) the closing sale price of the Company’s common stock on The Nasdaq Capital Market on the same Additional Accelerated Purchase date.</w:t>
      </w:r>
    </w:p>
    <w:p>
      <w:pPr>
        <w:spacing w:after="0" w:line="7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sales of shares of common stock to Lincoln Park through a Regular Purchase, an Accelerated Purchase and an Additional Accelerated Purchases, depend upon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Lincoln Park Purchase Agreement to the Company depend on the frequency and prices at which the Company sells shares of its stock to Lincoln Park.</w:t>
      </w:r>
    </w:p>
    <w:p>
      <w:pPr>
        <w:spacing w:after="0" w:line="75"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accordance with the Lincoln Park Purchase Agreement, the Company was required to pay Lincoln Park an initial commitment fee of $0.5 million, which was paid through the issuance of 1,612,903 shares of common stock on August 14, 2025. The initial commitment fee was recorded as a reduction to additional paid-in capital in the condensed consolidated balance sheet as of September 30, 2025. The Company has agreed to pay an additional commitment fee of $0.5 million, which it may elect to pay in cash or shares of its common stock, or a combination of cash and shares of its common stock, upon receipt of $25.0 million aggregate gross proceeds from sales of common stock to Lincoln Park under the Lincoln Park Purchase Agreement.</w:t>
      </w:r>
    </w:p>
    <w:p>
      <w:pPr>
        <w:spacing w:after="0" w:line="7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the nine months ended September 30, 2025, the Company issued 44,575,496 shares under the Lincoln Park Purchase Agreement for gross proceeds of approximately $19.6 million. The Company incurred approximately $50,000 for legal fees in connection with the Lincoln Park Purchase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the Company had the following warrants outstanding:</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2024</w:t>
            </w:r>
          </w:p>
        </w:tc>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00" w:type="dxa"/>
            <w:vAlign w:val="bottom"/>
            <w:shd w:val="clear" w:color="auto" w:fill="CFF0FC"/>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3,093,708</w:t>
            </w:r>
          </w:p>
        </w:tc>
        <w:tc>
          <w:tcPr>
            <w:tcW w:w="100" w:type="dxa"/>
            <w:vAlign w:val="bottom"/>
          </w:tcPr>
          <w:p>
            <w:pPr>
              <w:spacing w:after="0"/>
              <w:rPr>
                <w:sz w:val="18"/>
                <w:szCs w:val="18"/>
                <w:color w:val="auto"/>
              </w:rPr>
            </w:pPr>
          </w:p>
        </w:tc>
      </w:tr>
      <w:tr>
        <w:trPr>
          <w:trHeight w:val="216"/>
        </w:trPr>
        <w:tc>
          <w:tcPr>
            <w:tcW w:w="7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2025 Pre-Funded Warrants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2,611,809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0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5,753,802</w:t>
            </w:r>
          </w:p>
        </w:tc>
        <w:tc>
          <w:tcPr>
            <w:tcW w:w="10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share of common stock is issuable for each warrant upon exercise.</w:t>
      </w:r>
    </w:p>
    <w:p>
      <w:pPr>
        <w:spacing w:after="0" w:line="329" w:lineRule="exact"/>
        <w:rPr>
          <w:sz w:val="20"/>
          <w:szCs w:val="20"/>
          <w:color w:val="auto"/>
        </w:rPr>
      </w:pPr>
    </w:p>
    <w:p>
      <w:pPr>
        <w:ind w:left="780" w:hanging="772"/>
        <w:spacing w:after="0"/>
        <w:tabs>
          <w:tab w:leader="none" w:pos="7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3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September 30, 2025, there were 76,025 shares of common stock remaining and available for future issuances under the 2015 Plan.</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During the three months ended September 30, 2025, there was an additional 20,000,000 shares approved to be issued under the 2020 Plan. The 2020 Plan, as amended, provides for the issuance of up to 21,303,334 shares of common stock, plus the number of shares available for issuance is increased to the extent that awards granted under the 2020 Plan and the Company’s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2014 Equity Incentive Plan are forfeited or expire (except as otherwise provided in the 2020 Plan). As of September 30, 2025, there were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10,005,151 shares remaining and available for future issuances under the 2020 Plan.</w:t>
      </w:r>
    </w:p>
    <w:p>
      <w:pPr>
        <w:spacing w:after="0" w:line="9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2025 is as follows: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10,800,137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(125,814)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11,272,863</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10,073,271</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1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9.75</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692,781</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-456565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September 30, 2025, the total compensation cost related to non-vested stock options not yet recognized for all the Company’s plans is approximately $5.4 million, which is expected to be recognized as a result of vesting under service conditions over a weighted average period of 3.29 years.</w:t>
      </w:r>
    </w:p>
    <w:p>
      <w:pPr>
        <w:spacing w:after="0" w:line="176"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restricted stock units represent the right to receive a certain number of shares of common stock subject to certain vesting conditions and other restrictions. The fair value of restricted stock units is determined by the closing market price on the grant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restricted stock unit activity for the nine months ended September 30, 2025 is as follows: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2,823,857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2,823,857</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Restricted stock units granted during the nine months ended September 30, 2025 generally vest over a 36-month period upon satisfaction of service conditions. As of September 30, 2025, the total compensation cost related to non-vested restricted stock units not yet recognized for all the Company’s plans is approximately $1.5 million, which is expected to be recognized as a result of vesting under service conditions over a weighted average period of 2.75 years.</w:t>
      </w:r>
    </w:p>
    <w:p>
      <w:pPr>
        <w:spacing w:after="0" w:line="284" w:lineRule="exact"/>
        <w:rPr>
          <w:sz w:val="20"/>
          <w:szCs w:val="20"/>
          <w:color w:val="auto"/>
        </w:rPr>
      </w:pPr>
    </w:p>
    <w:p>
      <w:pPr>
        <w:ind w:left="860" w:hanging="852"/>
        <w:spacing w:after="0"/>
        <w:tabs>
          <w:tab w:leader="none" w:pos="8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and the measure of segment assets is reported on the condensed consolidated balance sheets as total assets.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w:t>
      </w:r>
    </w:p>
    <w:p>
      <w:pPr>
        <w:spacing w:after="0" w:line="8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stock-based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Depreciation and amortization expense is consistent with those presented in the condensed consolidated statements of cash flows.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Clinical, development and licensing expenses</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-156845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-156845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-156845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-156845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3" w:lineRule="exact"/>
        <w:rPr>
          <w:sz w:val="20"/>
          <w:szCs w:val="20"/>
          <w:color w:val="auto"/>
        </w:rPr>
      </w:pPr>
    </w:p>
    <w:p>
      <w:pPr>
        <w:ind w:left="780" w:hanging="772"/>
        <w:spacing w:after="0"/>
        <w:tabs>
          <w:tab w:leader="none" w:pos="7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Related Transactions</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recorded a $6.4 million liability in accounts payable and accrued expenses due to the March 2025 Private Placement Purchasers. Such liability declined by $1.3 million from September 30, 2025 to October 27, 2025 due to 1) a $0.9 million reduction as a result of the reselling of securities acquired in the March 2025 Private Placement by certain March 2025 Private Placement Purchasers, which was recorded as a reduction of the liability that would have been settled in cash, with a corresponding increase to stockholders’ equity, and 2) a payment of $0.4 million to the March 2025 Private Placement Purchasers subsequent to September 30, 2025, with 0.6 million shares of the Company’s common stock returned and cancelled under the terms of the Letter Agreement.</w:t>
      </w:r>
    </w:p>
    <w:p>
      <w:pPr>
        <w:spacing w:after="0" w:line="7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October 28, 2025, the Company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the Company is no longer required to use 90% of the proceeds from any subsequent financing to repay the March 2025 Private Placement Purchasers. Instead, the Company is only required to retain sufficient funds in an interest bearing account to cover such repayment obligations and make such repayments upon request by any March 2025 Private Placement Purchaser who executed the Amendment Agreement until each such purchaser has received cash either from the Company or from reselling securities acquired in the March 2025 Private Placement in an amount equal to 115% of the purchase price such purchaser paid in the March 2025 Private Placement. If such requests are made, the requesting purchaser must return shares acquired in the March 2025 Private Placement at a value of $0.66 per share.</w:t>
      </w:r>
    </w:p>
    <w:p>
      <w:pPr>
        <w:spacing w:after="0" w:line="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 addition, the Company issued approximately 3.3 million shares on the Lincoln Park Purchase Credit Agreement, raising an additional $1.9 million of capital through October 29, 2025.</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Houston Lease</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October 16, 2025, the Company entered into a lease (the “Houston Lease”) with LG 1 Property Owner LP, pursuant to which the Company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the Company’s share of the building’s direct expenses. The Houston Lease has an initial term of 120 calendar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consolidated financial statements and notes thereto contained in our Annual Report on Form 10-K for the year ended December 31, 2024, as filed on March 31,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as well as under “Part I – Item 1A - Risk Factors” in our Annual Report on Form 10-K for the year ended December 31, 2024, in other subsequent filings with the Securities and Exchange Commission, and elsewhere in this Quarterly Report. These statements, like all statements in this Quarterly Report, speak only as of the date of this Quarterly Report (unless another date is indicated), and the Company undertakes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includes the following sections:</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that discusses our operating results and some of the trends that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includes a more detailed discussion of our revenue and expenses.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that discusses key aspects of our consolidated statements of cash flows, changes in our financial position and our financial commitments.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is a U.S. pharmaceutical company developing targeted radiotherapeutics with advanced platform technologies for central nervous system (“CNS”) cancers. Our novel radioactive drug formulations and medical device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8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REYOBIQ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cerebrospinal fluid cancer diagnostic portfolio known as the CNSide Platform is currently being utilized in the ReSPECT-LM clinical trial funded by the Cancer Prevention and Research Institute of Texas (“CPRIT”). In connection with our business plan for developing the CNSide Platform, we formed CNSide Diagnostics, LLC (“CNSide Diagnostics”), a wholly owned subsidiary of the Company, and our board of directors appointed a board of managers for CNSide Diagnostics. We are planning for the CNSide Cerebrospinal Fluid Tumor Cell Enumeration test (the “CNSide Test”), which is a laboratory developed test (“LDT”), to be re-introduced to the U.S. market starting in the fourth quarter of 2025. The laboratory for the CNSide Test in Houston, Texas has received a certificate of accreditation from the Centers for Medicare &amp; Medicaid Services (CMS) which deems the lab compliant with Clinical Laboratory Improvement Amendments (“CLIA”) regulations. Furthermore, CNSide Diagnostics has signed a national agreement with UnitedHealthcare Insurance Company, effective September 15, 2025, covering over 51 million people throughout the United States, to provide the CNSide Test.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is located in Houston, Texas, in proximity to world-class cancer institutions and researchers.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w:t>
      </w:r>
    </w:p>
    <w:p>
      <w:pPr>
        <w:spacing w:after="0" w:line="1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Our most advanced investigational drug, REYOBIQ, is a patented radiotherapy potentially useful for patients with CNS and other cancers. We announced in March 2025 that the U.S. Food and Drug Administration (“FDA”) conditionally accepted the proprietary name REYOBIQ to be used by us for our proprietary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Preclinical study data describing the use of REYOBIQ</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several cancer targets have been published in peer-reviewed journals and reported at a variety of medical society peer-reviewed meetings. Besides GBM, LM and PBC, REYOBIQ has been reported to have potential applications for head and neck cancer, ovarian cancer, breast cancer and peritoneal metastases.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REYOBIQ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REYOBIQ for recurrent GBM through the completion of a Phase 2 clinical trial, including enrollment of up to 55 patients.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REYOBIQ versus External Beam Radiation Therapy for Recurrent GBM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REYOBIQ is a novel injectable radiotherapy designed to deliver targeted, high dose radiation directly into GBM tumors in a safe, effective, and convenient manner that may ultimately prolong patient survival. REYOBIQ is composed of the radionuclide Rhenium-186 and a nanoliposomal carrier, and is infused in a highly targeted, controlled fashion, directly into the tumor via precision brain mapping and CED catheters. Potential benefits of REYOBIQ compared to standard external beam radiotherapy or external beam radiation therapy (“EBRT”) include:</w:t>
      </w:r>
    </w:p>
    <w:p>
      <w:pPr>
        <w:spacing w:after="0" w:line="72" w:lineRule="exact"/>
        <w:rPr>
          <w:sz w:val="20"/>
          <w:szCs w:val="20"/>
          <w:color w:val="auto"/>
        </w:rPr>
      </w:pPr>
    </w:p>
    <w:p>
      <w:pPr>
        <w:ind w:left="520" w:right="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REYOBIQ radiation dose delivered to patients may be up to 20 times greater than what is possible with commonly used EBRT, which, unlike EBRT and proton beam devices, spares normal tissue and the brain from radiation exposure.</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can be visualized in real-time during administration, possibly giving clinicians better control of radiation dosing, distribution and retention.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potentially more effectively treats a bulk tumor and microscopic disease that has already invaded healthy tissue.</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is given during a single, short, in-patient hospital visit, and is available in all hospitals with nuclear medicine and neurosurgery, while EBRT requires out-patient visits five days a week for approximately four to six weeks.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REYOBIQ is designed for and provides patient tolerability and safety. Though no REYOBIQ head-to-head trial with chemo, immune, EBRT or systemic radiopharmaceutical products have been conducted, patient tolerability and safety considerations have been reported as expected.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REYOBIQ for the treatment of patients with GBM.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REYOBIQ is under clinical investigation in a Phase 1/2 multicenter, sequential cohort, open-label, volume and dose escalation study (“ReSPECT-GBM”) of the safety, tolerability, and distribution of REYOBIQ given by CED catheters to patients with recurrent or progressive malignant glioma after standard surgical, radiation, and/or chemotherapy treatment. The trial is funded through Phase 2 in large part by a National Institute of Health/National Cancer Institute grant.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Phase 1 of our ReSPECT-GBM Trial and are targeting full enrollment into Phase 2 by the end of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Trials for LM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REYOBIQ as high as 1,075 Gy were shown in animal models with LM without significant observed toxicity. Furthermore, treatment led to a marked reduction in tumor burden in both C6 and MDA-231 LM models.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REYOBIQ for the treatment of LM in November 2021, we initiated the trial and began screening patients for the ReSPECT-LM Phase 1 clinical trial in the fourth quarter of 2021.</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ReSPECT-LM is a multi-center, sequential cohort, open-label, dose escalation study evaluating the safety, tolerability, and efficacy of a single-dose application of REYOBIQ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REYOBIQ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As of September 30, 2025, we had received approximately $14.3 million in milestone payments under the CPRIT Contract.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Interim results show that a single treatment with REYOBIQ resulted in a consistent decreased cerebrospinal fluid (“CSF”) tumor cell count/ml and is tolerated by all LM patients. REYOBIQ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REYOBIQ distribution throughout the subarachnoid space.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ReSPECT LM Multi-dose Phase 1/2 Study is currently enrolling patients.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received FDA feedback pertaining to a pre-Investigational New Drug Application (“IND”) meeting briefing package in which the FDA stated that we are not required to perform any additional preclinical or toxicology studies.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Department of Defense office of the Congressionally Directed Medical Research Programs to receive a $3.0 million fund for research and development purposes (“DoD Award”) over a three-year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period. The DoD Award will be used to support the planned expansion of our clinical trial for pediatric brain cancer. We anticipate beginning enrollment for our Phase 1 ReSPECT-PBC clinical trial in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25, 2025, we announced that the FDA cleared its Investigational New Drug ("IND") application (No. 168178) for REYOBIQ for the treatment of pediatric patients with supratentorial recurrent, refractory, or progressive high-grade glioma ("HGG") and ependymoma. The Phase 1/2a trial is a two-part, single-arm, prospective study aimed at determining the maximum tolerated dose ("MTD"), safety, and tolerability of REYOBIQ in pediatric patients aged 6 to 21 years (with consideration for patients up to 25 years on a case-by-case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 trial design include:</w:t>
      </w:r>
    </w:p>
    <w:p>
      <w:pPr>
        <w:spacing w:after="0" w:line="117" w:lineRule="exact"/>
        <w:rPr>
          <w:sz w:val="20"/>
          <w:szCs w:val="20"/>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1a/b (dose escalation): This phase will enroll an estimated 24 patients using a modified 3+3 dose escalation scheme to establish the MTD and recommended Phase 2 dose ("RP2D"). Safety assessment and alignment with the FDA will occur at defined intervals.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This phase will enroll approximately 32 patients (12 with ependymoma and 20 with HGG) at the RP2D to assess efficacy.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to begin enrollment in our ReSPECT-PBC clinical trial before the end of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be regulated as a medical device under the FDCA.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CNSide FORESEE Trial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CNSide Platform consists of four LDTs used for treatment selection and treatment monitoring of patients with LM. The CNSide Platform facilitates tumor cell detection/enumeration and biomarker identification using cellular assays (immunocytochemistry (ICC) and fluorescence in situ hybridization (FISH)) and molecular assays (next-generation sequencing (NGS)). The CNSide Test is currently being used in the ReSPECT-LM trial as an exploratory endpoint.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acquiring the CNSide Platform in 2024, we have established infrastructure to support a scalable and centralized testing laboratory in Houston, TX that will service the U.S. market. We have been executing on our commercial market access strategy, which includes prioritized state licensure, proprietary reimbursement codes, commercial and government payor coverage, and value-based pricing to optimize revenue. We anticipate introducing the CNSide Platform first in Texas in the second half of 2025, followed rapidly by expansion into additional states in 2026. In parallel, additional expanded CNS testing capabilities are also expected to roll out over the next year.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CNSide CSF Assay Platform was previously commercially available, market acceptance and adoption were widespread, with several national and regional commercial payor agreements in place and the test in regular use at major cancer centers across the U.S. We are now in contact with the legacy payors and healthcare providers in anticipation of the planned 2025 launch, and later this year will be expanding those contacts to support a 50-state strategy. Finally, we have hired experienced leadership with expertise in the development and commercialization of clinical diagnostic technologies on a large scale.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section below for information on our recent financings.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Related Transactions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recorded a $6.4 million liability in accounts payable and accrued expenses due to the March 2025 Private Placement Purchasers. Such liability declined by $1.3 million from September 30, 2025 to October 27, 2025 due to 1) a $0.9 million reduction as a result of the reselling of securities acquired in the March 2025 Private Placement by certain March 2025 Private Placement Purchasers, which was recorded as a reduction of liability that would have been settled in cash, with a corresponding increase to</w:t>
      </w:r>
    </w:p>
    <w:p>
      <w:pPr>
        <w:sectPr>
          <w:pgSz w:w="11900" w:h="16838" w:orient="portrait"/>
          <w:cols w:equalWidth="0" w:num="1">
            <w:col w:w="11240"/>
          </w:cols>
          <w:pgMar w:left="320" w:top="256"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stockholders’ equity, and 2) a payment of $0.4 million to the March 2025 Private Placement Purchasers subsequent to September 30, 2025, with 0.6 million shares of the Company’s common stock returned and cancelled under the terms of the Letter Agreement.</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October 28, 2025, we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we are no longer required to use 90% of the proceeds from any subsequent financing to repay the March 2025 Private Placement Purchasers. Instead, we are only required to retain sufficient funds in an interest bearing account to cover such repayment obligations and make such repayments upon request by any March 2025 Private Placement Purchaser who executed the Amendment Agreement until each such purchaser has received cash either from us or from reselling securities acquired in the March 2025 Private Placement in an amount equal to 115% of the purchase price such purchaser paid in the March 2025 Private Placement. If such requests are made, the requesting purchaser must return shares acquired in the March 2025 Private Placement at a value of $0.66 per share.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issued approximately 3.3 million shares on the Lincoln Park Purchase Credit Agreement, raising an additional $1.9 million of capital through October 29,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Lease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2025, we entered into a lease (the “Houston Lease”) with LG 1 Property Owner LP, pursuant to which we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our share of the building’s direct expenses. The Houston Lease has an initial term of 120 calendar months.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recognized $1.4 million and $3.8 million, and $1.5 million and $4.4 million of grant revenue during the three and nine months ended September 30, 2025 and 2024, respectively,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and nine months ended September 30,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2,425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2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shd w:val="clear" w:color="auto" w:fill="CFF0FC"/>
          </w:tcPr>
          <w:p>
            <w:pPr>
              <w:spacing w:after="0"/>
              <w:rPr>
                <w:sz w:val="19"/>
                <w:szCs w:val="19"/>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$0.4 million during the three months ended September 30, 2025 as compared to the same period in 2024. The decrease was due primarily to a decrease of $0.4 million in development expenses, a decrease of $0.4 million in compensation expense, a decrease of $0.4 million in professional research and development services, and a decrease of $0.1 million in depreciation expense. These decreases were partially offset by an increase of $0.5 million in licensing expenses and an increase of $0.4 million in diagnostics.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$3.0 million during the nine months ended September 30, 2025 as compared to the same period in 2024. The decrease was due primarily to a decrease of $1.3 million in clinical expenses, a decrease of $1.1 million in compensation expense, a decrease of $0.7 million in professional services, a decrease of $0.3 million in development expenses, a decrease of $0.2 million in depreciation expense and a decrease of $0.1 million in travel costs. These decreases were partially offset by an increase of $0.4 million in diagnostics, and $0.3 million in licensing expenses.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expenses to increase during the remainder of 2025 as compared to the corresponding comparable period in 2024 as we commence the ReSPECT-LM dose optimization trial for REYOBIQ and prepare for the launch of the CNSide Test.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nine months ended September 30, 2025 and 2024 (in thousands):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2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2,927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2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$1.0 million during the three months ended September 30, 2025, as compared to the same period in 2024, primarily due to an increase of $0.6 million in compensation expense, an increase of $0.3 million in legal and professional fees, and an increase of $0.1 million in accounting expenses.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$1.2 million during the nine months ended September 30, 2025, as compared to the same period in 2024, primarily due to an increase of $1.3 million in compensation expense, partially offset by a decrease of $0.1 million in legal and professional services.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increase during the remainder of 2025 as compared to the corresponding comparable period in 2024 as we work towards the commercial launch of the CNSide Test, which will require an increase in administrative and sales headcount.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equity awards issued to employees, directors and non-employees. We measure stock-based compensation expense based on the grant-date fair value of any awards granted to our employees. Such expense is recognized over the requisite service period.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and nine months ended September 30,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2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7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stock-based compensation expense is impacted by grants of equity awards, the vesting schedule of such grants, as well as the grant date fair value of equity awards. Stock-based compensation expense increased during the three and nine months ended September 30, 2025 as compared to the same periods in 2024 primarily due to an increase in the number of awards granted, which was partially offset by a decrease in the grant date fair value of equity awards granted.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non-operating income and expenses for the three and nine months ended September 30, 2025 and 2024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8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(3,061)</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57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for the three and nine months ended September 30, 2025 compared with the same period in 2024 primarily due to reduced accreted income on our available-for-sale securities in 2024 and a lower interest rate environment in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September 30, 2025 as compared to the same period in 2024 was due to the January 2025 payoff of the Pershing Credit Facility. The increase in interest expense for the nine months ended September 30, 2025 as compared to the same period in 2024 was due to interest expense incurred in connection with the Funding Notes and Exchange Notes issued in February 2025, partially offset by the January 2025 payoff of the Pershing Credit Facility.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financing expenses for the nine months ended September 30, 2025 as compared to the same period in 2024 was primarily due to the March 2025 PIPE and May 2024 PIPE transactions.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fair value of the derivative instruments for the three months ended September 30, 2025 as compared to the same period in 2024 was due to the March 2025 Private Placement and May 2024 Private Placement and accompanying warrants issued in both financings. The change in the fair value of the derivative instruments for the nine months ended September 30, 2025 as compared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same period in 2024 was primarily due to the March 2025 Private Placement (specifically the liability classified March 2025 Series B Warrants, which were remeasured immediately prior to exercise, before being reclassified as equity), offset by the May 2024 Private Placement (specifically the May 2024 Series A Warrants and May 2024 Series B Warrants, which were initially classified as liabilities before being reclassified as equity).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warrant issuance costs for the three months ended September 30, 2025 as compared to the same period in 2024, was due to warrant issuance costs related to the May 2024 Private Placement. The increase in the warrant issuance costs for the nine months ended September 30, 2025 as compared to the same period in 2024 was due to the warrant issuance costs from the March 2025 Private Placement and May 2024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September 30, 2025 and December 31,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13,289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820" w:type="dxa"/>
            <w:vAlign w:val="bottom"/>
            <w:tcBorders>
              <w:top w:val="single" w:sz="8" w:color="CFF0FC"/>
            </w:tcBorders>
          </w:tcPr>
          <w:p>
            <w:pPr>
              <w:spacing w:after="0"/>
              <w:rPr>
                <w:sz w:val="18"/>
                <w:szCs w:val="18"/>
                <w:color w:val="auto"/>
              </w:rPr>
            </w:pPr>
          </w:p>
        </w:tc>
        <w:tc>
          <w:tcPr>
            <w:tcW w:w="29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17,586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(10,292)</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-591185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net losses of $16.7 million for the nine months ended September 30, 2025. We have an accumulated deficit of $510.2 million as of September 30, 2025. Additionally, we used net cash of $14.5 million to fund our operating activities for the nine months ended September 30, 2025. These factors raise substantial doubt about our ability to continue as a going concern.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our common and preferred equity, proceeds from our now-repaid in full term loan with Oxford Finance, LLC (“Oxford”), our line of credit facility with Pershing LLC and grant funding. We have had, and will continue to have, an ongoing need to raise additional cash from outside sources to fund our future clinical development programs and other operations, and commercialize the CNSide Test. There can be no assurance that we will be able to continue to raise additional capital in the future. Our inability to raise additional cash would have a material and adverse impact on our operations and ability to satisfy our obligations.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SPEA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13, 2025 (the “February 2025 SPEA Closing Date”), we entered into a securities purchase and exchange agreement (the “February 2025 SPEA”) with certain existing accredited investors. Pursuant to the February 2025 SPEA, on the February 2025 SPEA Closing Date we issued secured convertible promissory notes (the “Funding Notes”) in the aggregate principal amount of $3.3 million together with common stock purchase warrants (the “February 2025 Warrants”) to purchase 3,002,009 shares of our common stock at an exercise price of $1.12 per share. The aggregate purchase price for the Funding Note and February 2025 Warrants was approximately $3.7 million and included payment of $0.125 per February 2025 Warrant in accordance with the listing rules of Nasdaq.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May 2024 Purchase Agreement (as described below)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February 2025 SPEA Closing Date, pursuant to the February 2025 SPEA, we issued to the Outside Investors secured convertible promissory notes in the aggregate amount of $3.2 million (the “Exchange Notes”) in exchange for cancellation of the 3,543,247 May 2024 Series A Warrants held by them, and the Outside Investors entered into a second amendment to the May 2024 Purchase Agreement to eliminate the Financing Restrictions.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below, we repurchased the Funding Notes and issued common stock and warrants for cancellation of the Exchange Notes in connection with the March 2025 Private Placement.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2025 Private Placement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to purchase one share of common stock.</w:t>
      </w:r>
    </w:p>
    <w:p>
      <w:pPr>
        <w:sectPr>
          <w:pgSz w:w="11900" w:h="16838" w:orient="portrait"/>
          <w:cols w:equalWidth="0" w:num="1">
            <w:col w:w="11240"/>
          </w:cols>
          <w:pgMar w:left="320" w:top="256"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Pre-Funded Warrant in the March 2025 Private Placement, together with one accompanying March 2025 Series A Warrant and one accompanying March 2025 Series B Warrant, represented the applicable “Minimum Price” in accordance with Listing Rule 5635(d) of Nasdaq.</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 $1.32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the Floor Price, and the number of shares issuable upon exercise therefor will increase such that the aggregate exercise price remains unchanged.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 $1.98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us and for three times the number of shares of common stock then subject to the March 2025 Series B Warrant.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securities issued in the March 2025 Private Placement, 3,077,270 shares of Common Stock, 19,650,000 shares of March 2025 Pre-Funded Warrants in lieu thereof, and the accompanying 22,727,270 March 2025 Series A Warrants and 22,727,270 March 2025 Series B Warrants, were issued in consideration of new capital subscriptions, and 992,468 shares of Common Stock, 4,322,400 March 2025 Pre-Funded Warrants in lieu thereof, and the accompanying 5,314,870 March 2025 Series A Warrants and 5,314,870 March 2025 Series B Warrants, were issued in exchange for the cancelation of the Exchange Notes.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aggregate gross proceeds at the closing were approximately $15.0 million, before deducting $1.4 million of expenses payable by us.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2023 Series B Warrants were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the change in fair value for the nine months ended September 30, 2025, and a $0.8 million credit to additional paid-in-capital.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Purchasers entered into a letter agreement (the “Letter Agreement”) with each of the Purchasers in an effort to, among other items, minimize the dilutive impact of the March 2025 Private Placement. The Letter Agreement extinguished the March 2025 Series A Warrants, modified the March 2025 Series B Warrants, and provided for the return of Private Placement Shares and Pre-Funded Warrants, as further discussed in the following paragraphs.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which resulted in a $2.7 million gain on change in fair value recorded as capital contribution to additional paid-in capital, as the extinguishment was deemed equivalent to a capital contribution by existing shareholders of the Company.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 the indexation guidance under ASC 815, Derivatives and Hedging, and the fair value of the warrant liability, in the amount of $11.0 million was reclassified to equity. Immediately prior to reclassification, the March 2025 Series B Warrant liability was remeasured, and $4.5 million was recorded as a capital contribution to additional paid-in capital, as the modification of the March 2025 Series B Warrants was deemed equivalent to a capital contribution by existing shareholders of the Company. After the June 17, 2025 modification, 34,794,54 Amended March 2025 Series B Warrants were cashless exercised.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w:t>
      </w:r>
    </w:p>
    <w:p>
      <w:pPr>
        <w:sectPr>
          <w:pgSz w:w="11900" w:h="16838" w:orient="portrait"/>
          <w:cols w:equalWidth="0" w:num="1">
            <w:col w:w="11240"/>
          </w:cols>
          <w:pgMar w:left="320" w:top="256"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paid the March 2025 Private Placement Purchasers $2.3 million and 3,472,740 shares were returned and cancelled under the terms of the Letter Agreement</w:t>
      </w:r>
      <w:r>
        <w:rPr>
          <w:rFonts w:ascii="Times New Roman" w:cs="Times New Roman" w:eastAsia="Times New Roman" w:hAnsi="Times New Roman"/>
          <w:sz w:val="18"/>
          <w:szCs w:val="18"/>
          <w:color w:val="2B333D"/>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Letters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11, 2025, we and certain March 2025 Private Placement Purchasers party to the Letter Agreement entered into that certain letter of support (the “Support Letters”) to modify certain portions of the Letter Agreement as between us and each of such March 2025 Private Placement Purchasers. In the event that we reasonably believe that, within the 30 days (the “Modification Period”) prior to the end of any fiscal quarter, we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we desire to trigger the modification of the Subsequent Financing Percentage, we agree to supply the purchaser who executed a Support Letter with a pro forma balance sheet to evidence its reasonable belief of the Potential Equity Deficiency approximately 30 days prior to each end of fiscal quarter once the books for prior months are closed. In accordance with the Support Letters, we made a cash payment of $0.5 million to each purchaser for a total cash payment of $2.3 million, which was recorded as a reduction to additional paid-in capital in the condensed consolidated balance sheet as of September 30, 2025. Such payment counted as cash received by the purchaser towards its Maximum Amount. Each Support Letter also grants the purchaser party to the letter a participation right in certain future financings of ours for a period of 12 months.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March 2025 Purchase Agreement, we entered into that certain First Amendment to the February 2025 SPEA (the “First Amendment”). The February 2025 SPEA included certain limitations and restrictions on our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$3.4 million in principal amount of the Funding Notes and accrued interest, along with the February 2025 Warrants issued pursuant to the February 2025 SPEA for an aggregate purchase price of $4.2 million. In exchange for the repurchase by us of the Funding Notes and February 2025 SPEA Warrants, the February 2025 Purchasers agreed to consent to the March 2025 Private Placement and eliminate the New Financing Restrictions.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(the “May 2024 Purchase Agreement”), which was subsequently amended, with certain investors, including certain of the our directors and executive officers (the “May 2024 Private Placement Purchasers”), whereby we issued and sold in a private placement (the “May 2024 Private Placement”): (i) 3,591,532 shares of common stock or, at the election of each investor, Pre-Funded warrants (“May 2024 Pre-Funded Warrants”) to purchase shares of common stock exercisable immediately at an exercise price of $0.001 per share. Each share or May 2024 Pre-Funded Warrant was accompanied by (i) a Series A common warrant (“May 2024 Series A Warrants”) to purchase one share of common stock, for an aggregate of 3,591,532 Series A Warrants, and (ii) one Series B common warrant (“May 2024 Series B Warrants”) to purchase one share of common stock, for an aggregate of 3,591,532 May 2024 Series B Warrants. At the closing of the May 2024 Private Placement, we received net proceeds of approximately $7.3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purchase agreement (the “Lincoln Park Purchase Agreement”) and a registration rights agreement pursuant to which Lincoln Park Capital Fund (“Lincoln Park”) committed to purchase up to $50.0 million of shares of our common stock. Under the terms and subject to the conditions of the Lincoln Park Purchase Agreement, we have the right, but not the obligation, to sell to Lincoln Park, and Lincoln Park is obligated to purchase up to $50.0 million of shares of our common stock. Sales of common stock by us are subject to certain limitations, and can occur from time to time, at our sole discretion, over the 36-month period commencing on June 23, 2025, subject to the satisfaction of certain conditions. Actual sales of shares of common stock to Lincoln Park under the Lincoln Park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Lincoln Park Purchase Agreement,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2025, a registration statement (the “Initial Registration Statement”) was declared effective covering the resale of up to 17,000,000 shares of our common stock. On August 14, 2025, a registration statement (the “Second Registration Statement”) was declared effective covering the resale of up to 33,000,000 shares of our common stock.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Lincoln Park Purchase Agreement, we were required to pay Lincoln Park an initial commitment fee of $0.5 million, which was paid through the issuance of 1,612,903 shares of common stock on August 14, 2025. The initial commitment fee was recorded as a reduction to additional paid-in capital in the condensed consolidated balance sheet as of September 30, 2025. An additional commitment fee of $0.5 million will be paid in cash or shares of common stock, or a combination of cash and shares of common stock, if and when we sell over $25.0 million of our common stock under the Lincoln Park Purchase Agreement.</w:t>
      </w:r>
    </w:p>
    <w:p>
      <w:pPr>
        <w:sectPr>
          <w:pgSz w:w="11900" w:h="16838" w:orient="portrait"/>
          <w:cols w:equalWidth="0" w:num="1">
            <w:col w:w="11240"/>
          </w:cols>
          <w:pgMar w:left="320" w:top="256"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the nine months ended September 30, 2025, we issued 44,575,496 shares under the Lincoln Park Purchase Agreement for gross proceeds of approximately $19.6 million. The Company incurred approximately $50,000 for legal fees in connection with the Lincoln Park Purchase Agreement.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Subsequent to September 30, 2025, we issued 3.3 million shares under the Lincoln Park Purchase Agreement, raising an additional $1.9 million of capital through October 29,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REYOBIQ for the treatment of patients with LM. We recognized $3.8 million, $5.8 million, $4.9 million and $0.2 million of grant revenue during the nine months ended September 30, 2025, years ended December 31, 2024, 2023 and 2022, respectively, all of which has been received. The amounts recognized represents CPRIT’s share of the costs incurred for our REYOBIQ development for the treatment of patients with LM. As of September 30, 2025, we had $1.1 million of deferred grant liability related to the CPRIT Grant.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2024, we received notice from the Listing Qualifications staff of Nasdaq (the “Staff”), notifying us that we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Nasdaq Listing Rule 5550(b)(1). We requested a hearing before the Nasdaq hearing panel and on October 30, 2024, we received a decision from the panel, notifying us that we had until March 4, 2025 to demonstrate compliance with the Minimum Stockholders’ Equity Requirement.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7, 2025, we received notification from Nasdaq that it had regained compliance with the Minimum Stockholders’ Equity Requirement due to the March 2025 Private Placement.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5815(d)(4)(B), we will be subject to a Mandatory Panel Monitor until March 7, 2026. If the Staff finds us again out of compliance with the Minimum Stockholders’ Equity Requirement before that date,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hearing before the panel regarding our continued listing.</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on May 16, 2025, we received notice from Nasdaq that, because the closing bid price for our common stock has fallen below $1.00 per share for 30 consecutive business days, we no longer comply with the minimum bid price requirement pursuant to Nasdaq Listing Rule 5550(a)(2) (the “Minimum Bid Requirement”).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Nasdaq’s Minimum Bid Requirement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Staff determines that we will not be able to cure the deficiency, or if we are otherwise not eligible for such additional compliance period, Nasdaq will provide notice that our common stock will be subject to delisting. In the event we receive notice that its common stock is being delisted, Nasdaq rules permit us to appeal any delisting determination by the Staff.</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may, if appropriate, consider implementing available options to regain compliance with the Minimum Bid Requirement.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our stockholders granted discretionary authority to our board of directors to (i) amend our Certificate of Incorporation to combine outstanding shares of our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on August 7, 2025, the stockholders granted discretionary authority to the Company’s board of directors to (i) amend the Company’s Certificate of Incorporation to combine outstanding shares of the Company’s common stock into a lesser number of outstanding shares, or a “reverse stock split,” at a specific ratio within a range of one-for two (1-for-2) to a maximum of one-for-two</w:t>
      </w:r>
    </w:p>
    <w:p>
      <w:pPr>
        <w:sectPr>
          <w:pgSz w:w="11900" w:h="16838" w:orient="portrait"/>
          <w:cols w:equalWidth="0" w:num="1">
            <w:col w:w="11240"/>
          </w:cols>
          <w:pgMar w:left="320" w:top="256"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hundred fifty (1-for-250), with the exact ratio to be determined by the board of directors in its sole discretion; and (ii) effect the reverse stock split, if at all, within twelve (12) months of the date the proposal is approved by stockholders.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2025, the Staff notified the Company that it was not in compliance with the Minimum Stockholders’ Equity Requirement (the “June 3 Letter”).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(the “Panel”), pursuant to the procedures set forth in the Nasdaq Listing Rule 5800 Series. The Company timely requested a hearing, which hearing took place as scheduled on July 15, 2025.</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a decision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2025, the Company received a letter (the “August 2025 Letter”) from Nasdaq confirming its compliance with Nasdaq Listing Rule 5550(b). Specifically, the August 2025 Letter confirmed that the Company was in compliance with both (1) the Market Value of Listing Securities standard under 5550(b)(2), which requires certain companies to maintain a market value of listed securities of at least $35 million as well as compliance with (2) the alternative stockholders’ equity threshold under 5550(b)(1) or the Minimum Stockholders’ Equity Requirement. Accordingly, the Company satisfied two alternative criteria under Nasdaq Listing Rule 5550.</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such compliance, Nasdaq permitted the Company the remainder of the previously announced grace period to regain compliance with the $1.00 bid price rule under Nasdaq Listing Rule 5550(a)(2), through November 12, 2025. Nasdaq previously required that the Company remedy the bid price deficiency by September 8, 2025, a deadline that no longer applies.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August 2025 Letter also provided that, solely with respect to the Equity Standard, the Company remains subject to a one-year panel monitoring period, through August 22, 2026. If, within that one-year monitoring period, the Staff determines that the Company no longer satisfies the Equity Standard (and the Company is not then in compliance with one of the alternative standards under Rule 5550(b)), the Company will not be permitted to provide the Staff with a plan of compliance and the Staff is not permitted to grant additional time to regain compliance with the Equity Standard nor will the Company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Requirement or maintain compliance with the Equity Standard.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shares of our common and preferred equity, warrants, proceeds from the now-repaid in full term loan with Oxford, the margin loan facility under a line of credit with Pershing and grant funding. However, we have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 and other operations in the next twelve months from the filing of this Quarterly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and the timing of receipt of, future regulatory approvals for our product candidates and the costs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utility of the CNSide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rights and defending any intellectual property-related claims;</w:t>
      </w:r>
    </w:p>
    <w:p>
      <w:pPr>
        <w:sectPr>
          <w:pgSz w:w="11900" w:h="16838" w:orient="portrait"/>
          <w:cols w:equalWidth="0" w:num="1">
            <w:col w:w="11240"/>
          </w:cols>
          <w:pgMar w:left="320" w:top="256"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we identify and attempt to develop.</w:t>
      </w:r>
    </w:p>
    <w:p>
      <w:pPr>
        <w:spacing w:after="0" w:line="117" w:lineRule="exact"/>
        <w:rPr>
          <w:sz w:val="20"/>
          <w:szCs w:val="20"/>
          <w:color w:val="auto"/>
        </w:rPr>
      </w:pPr>
    </w:p>
    <w:p>
      <w:pPr>
        <w:jc w:val="both"/>
        <w:ind w:firstLine="53"/>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nine months ended September 30, 2025 and 2024 is summarized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60" w:type="dxa"/>
            <w:vAlign w:val="bottom"/>
          </w:tcPr>
          <w:p>
            <w:pPr>
              <w:spacing w:after="0"/>
              <w:rPr>
                <w:sz w:val="15"/>
                <w:szCs w:val="15"/>
                <w:color w:val="auto"/>
              </w:rPr>
            </w:pPr>
          </w:p>
        </w:tc>
        <w:tc>
          <w:tcPr>
            <w:tcW w:w="31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(14,518)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September 30, 2025.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of $14.5 million was primarily related to the net loss of $16.7 million and $4.7 million of changes to operating assets and liabilities, partially offset by $3.1 million of noncash financing expenses, $0.8 million of stock-based compensation expense, and $2.6 million of changes to the fair value of derivative instruments.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of $9.3 million was primarily related to the net loss of $9.1 million and a $5.7 million change to the fair value of derivative instruments, partially offset by $3.5 million of noncash financing expenses and $0.8 million of changes to operating assets and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2025 of $0.2 million was primarily related to the redemption of short-term investments of $11.3 million which was partially offset by the purchase of short-term investments of $11.1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of $4.2 million was related to the purchase of Biocept assets of $0.5 million, short-term investments of $7.1 million and purchase of fixed assets of $0.1 million, partially offset by the redemption of short-term investments of $3.7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of $27.5 million was related to $19.6 million in proceeds from the sale of common stock under the Lincoln Park Purchase Agreement, $15.9 million of proceeds from sale of common stock, Pre-Funded Warrants and warrants in connection with the March 2025 Private Placement, and $3.7 million of net proceeds from the issuance of notes payable and warrants, partially offset by $3.3 million repayment on the Pershing Credit Facility, $3.7 million repayment of Notes payable, $2.3 million of costs paid to investors pursuant to the Letter Agreement, $0.2 million of costs related to the sale of common stock, and $2.3 million of financing costs related to the return and cancellation of Private Placement Shares and Pre-Funded Warrants.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of $6.2 million was related to net proceeds of $7.3 million from the exercise of Series B Warrants from the May 2024 Private Placement and the drawdown of $3.3 million from the Pershing Credit Facility, partially offset by the repurchase of treasury stock for approximately $0.4 million and repayment of the principle balance under the Oxford loan of $4.0 million.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it is important for you to understand our most critical accounting policies. Our critical accounting policies and estimates are discussed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2024 and there have been no material changes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other than what was disclosed in Note 2 of the accompanying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September 30, 2025,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Annual Report on Form 10-K for the year ended December 31, 2024, which are incorporated herein by this reference, other than as set forth below.</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Nasdaq for failure to comply with the Minimum Stockholders’ Equity Requirement, the Minimum Bid Requirement or other applicable continued listing requirements and standards of Nasdaq, which would seriously harm the liquidity of our stock and our ability to raise capital.</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maintain compliance with Nasdaq's continued listing requirements and standards. The Company timely requested a hearing, which hearing took place as scheduled on July 15, 2025. On July 22, 2025, the Panel issued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w:t>
      </w:r>
    </w:p>
    <w:p>
      <w:pPr>
        <w:sectPr>
          <w:pgSz w:w="11900" w:h="16838" w:orient="portrait"/>
          <w:cols w:equalWidth="0" w:num="1">
            <w:col w:w="11240"/>
          </w:cols>
          <w:pgMar w:left="320" w:top="256"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 On August 22, 2025, the Company received the August 2025 Letter from Nasdaq confirming its compliance with Nasdaq Listing Rule 5550(b). Specifically, the August 2025 Letter confirmed that the Company was in compliance with both (1) the Market Value of Listing Securities standard under 5550(b)(2), which requires certain companies to maintain a market value of listed securities of at least $35 million as well as compliance with (2) the alternative stockholders’ equity threshold under 5550(b)(1) or the Minimum Stockholders’ Equity Requirement. Accordingly, the Company satisfied two alternative criteria under Nasdaq Listing Rule 5550. As a result of such compliance, Nasdaq permitted the Company the remainder of the previously announced grace period to regain compliance with the $1.00 bid price rule under Nasdaq Listing Rule 5550(a)(2), through November 12, 2025. Nasdaq previously required that the Company remedy the bid price deficiency by September 8, 2025, a deadline that no longer applies. The August 2025 Letter also provided that, solely with respect to the Equity Standard, the Company remains subject to a one-year panel monitoring period, through August 22, 2026. If, within that one-year monitoring period, the Staff determines that the Company no longer satisfies the Equity Standard (and the Company is not then in compliance with one of the alternative standards under Rule 5550(b)), the Company will not be permitted to provide the Staff with a plan of compliance and the Staff is not permitted to grant additional time to regain compliance with the Equity Standard nor will the Company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assurances that we will be able to comply with the applicable listing requirements and standards of Nasdaq.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Stockholders’ Equity Requirement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we received notice from the Listing Qualifications staff of Nasdaq (the “Staff”), notifying us that we no longer maintained at least $2.5 million in stockholders’ equity, as required under Nasdaq Listing Rule 5550(b)(1) (the “Minimum Stockholders’ Equity Requirement”).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the Minimum Stockholders’ Equity Requirement and that, as a result, unless we timely requested an appeal of this determination to a Nasdaq hearing panel, Nasdaq would move to suspend trading of our common stock and to have our shares of common stock delisted from The Nasdaq Capital Market. The Company timely requested a hearing before the panel, and the hearing was held on October 22, 2024. On October 30, 2024, Nasdaq provided us until March 4, 2025, to notify Nasdaq that we were in compliance with the Minimum Stockholders’ Equity Requirement. On March 7, 2025, the Company received notification from Nasdaq that it had regained compliance with the Minimum Stockholders’ Equity Requirement.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5815(d)(4)(B), we will be subject to a Mandatory Panel Monitor until March 7, 2026. If the Staff finds we are again out of compliance with the Minimum Stockholders’ Equity Requirement before that date, we will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Nasdaq hearing panel regarding our continued listing.</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3, 2025, the Staff notified the Company that it was not in compliance with the Minimum Stockholders’ Equity Requirement.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pursuant to the procedures set forth in the Nasdaq Listing Rule 5800 Series. The Company timely requested a hearing, which hearing took place as scheduled on July 15, 2025.</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2025, the Company received a letter (the “August 2025 Letter”) from Nasdaq confirming its compliance with Nasdaq Listing Rule 5550(b). Specifically, the August 2025 Letter confirmed that the Company was in compliance with both (1) the Market Value of Listing Securities standard under 5550(b)(2), which requires certain companies to maintain a market value of listed securities of at least $35 million as well as compliance with (2) the alternative stockholders’ equity threshold under 5550(b)(1) or the Minimum Stockholders’ Equity Requirement. Accordingly, the Company satisfied two alternative criteria under Nasdaq Listing Rule 5550.</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such compliance, Nasdaq permitted the Company the remainder of the previously announced grace period to regain compliance with the $1.00 bid price rule under Nasdaq Listing Rule 5550(a)(2), through November 12, 2025. Nasdaq previously required that the Company remedy the bid price deficiency by September 8, 2025, a deadline that no longer applies.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August 2025 Letter also provided that, solely with respect to the Equity Standard, the Company remains subject to a one-year panel monitoring period, through August 22, 2026. If, within that one-year monitoring period, the Staff determines that the Company no longer satisfies the Equity Standard (and the Company is not then in compliance with one of the alternative standards under Rule 5550(b)), the Company will not be permitted to provide the Staff with a plan of compliance and the Staff is not permitted to grant additional time to regain compliance with the Equity Standard nor will the Company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Requirement or that the Company will maintain compliance with the Equity Standard.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2025, we received notice from Nasdaq that, because the closing bid price for the our common stock has fallen below $1.00 per share for 30 consecutive business days, we no longer comply with the minimum bid price requirement pursuant to Nasdaq Listing Rule 5550(a)(2) (the “Minimum Bid Requirement”). Nasdaq’s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 by effecting a reverse stock split if necessary. If the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Staff. Furthermore, any efforts we take to meet the Minimum Bid Requirement, including pursuing a reverse stock split, may not be sufficient.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Consequences of Delisting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meet Nasdaq’s listing requirements or comply with the requisite Nasdaq requirements to maintain our listing of common stock on Nasdaq. In the event that our common stock is delisted from Nasdaq, as a result of our failure to comply with the Minimum Stockholders’ Equity Requirement or the Minimum Bid Requirement or as a result of our failure to continue to comply with any other requirement for continued listing on Nasdaq, and we are not able to list our securities on Nasdaq or any other national securities exchange, we could face significant material adverse consequences, including:</w:t>
      </w:r>
    </w:p>
    <w:p>
      <w:pPr>
        <w:spacing w:after="0" w:line="75" w:lineRule="exact"/>
        <w:rPr>
          <w:sz w:val="20"/>
          <w:szCs w:val="20"/>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the market price of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incurring of additional costs under state blue sky laws in connection with any sales of our securities.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we require additional funding to develop our product candidates, conduct future operations, and repay our outstanding debt obligations. If we are unable to obtain the funds necessary to do so because our common stock is not listed on any national securities exchange, we may be required to delay, scale back or eliminate our product development activities, and we may be unable to continue our business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common stock is delisted by Nasdaq, our common stock may be eligible to trade on an over-the-counter quotation system where an investor may find it more difficult to sell our stock or obtain accurate quotations as to the market value of our common stock. In the event our common stock is delisted from Nasdaq, we may not be able to list our common stock on another national securities exchange or obtain quotation on an over-the-counter quotation system.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2(a): Unregistered Sales of Equity Securities and Use of Proceeds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Information required by Item 701 of Regulation S-K as to all unregistered sales of equity securities of the Company during the period covered by this Quarterly Report has previously been included in Current Reports on Form 8-K filed with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2(b):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256"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2(c): Purchases of Equity Securities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purchases of its common stock for the three months ended September 30,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Company Purchases of Common Stock</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 Value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Plans or</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20"/>
              <w:spacing w:after="0" w:line="175" w:lineRule="exact"/>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1 - 31,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955,150</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955,150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2025</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2,517,590</w:t>
            </w:r>
          </w:p>
        </w:tc>
        <w:tc>
          <w:tcPr>
            <w:tcW w:w="4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2,517,590</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3,472,740</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3,472,740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-170815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020" w:right="40" w:hanging="503"/>
        <w:spacing w:after="0" w:line="272"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4, 2025, the Company entered into a securities purchase agreement with various purchasers (the “Purchasers”), pursuant to which the Company issued to such Purchasers in a private placement (“March 2025 Private Placement”) common stock of the Company. On June 17, 2025, the Company and the Purchasers entered into a letter agreement (the “Letter Agreement”) with each of the Purchasers in an effort to, among other items, minimize the dilutive impact of the March 2025 Private Placement. The Letter Agreement provided for the return and cancellation of Private Placement Shares and Pre-Funded Warrants. Refer to Note 13. Stockholders’ Equity in Part I, Item 1 of this Quarterly Report on Form 10-Q for more information on the Letter Agreement.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28, 2025, the Company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the Company is no longer required to use 90% of the proceeds from any subsequent financing to repay the March 2025 Private Placement Purchasers. Instead, the Company is only required to retain sufficient funds in an interest bearing account to cover such repayment obligations and make such repayments upon request by any March 2025 Private Placement Purchaser who executed the Amendment Agreement until each such purchaser has received cash either from the Company or from reselling securities acquired in the March 2025 Private Placement in an amount equal to 115% of the purchase price such purchaser paid in the March 2025 Private Placement. If such requests are made, the requesting purchaser must return shares acquired in the March 2025 Private Placement at a value of $0.66 per share. The foregoing summary does not purport to be complete and is qualified in its entirety by reference to the full text of the Amendment Agreement, which is filed as Exhibit 10.3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10"/>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2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PLUS THERAPEUTICS, INC.</w:t>
            </w:r>
          </w:p>
        </w:tc>
      </w:tr>
      <w:tr>
        <w:trPr>
          <w:trHeight w:val="403"/>
        </w:trPr>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13"/>
          </w:tcPr>
          <w:p>
            <w:pPr>
              <w:ind w:left="2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22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Filed with this</w:t>
            </w:r>
          </w:p>
        </w:tc>
      </w:tr>
      <w:tr>
        <w:trPr>
          <w:trHeight w:val="212"/>
        </w:trPr>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Form 10-Q</w:t>
            </w:r>
          </w:p>
        </w:tc>
      </w:tr>
      <w:tr>
        <w:trPr>
          <w:trHeight w:val="195"/>
        </w:trPr>
        <w:tc>
          <w:tcPr>
            <w:tcW w:w="1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28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Composite Certificate of Incorporation</w:t>
              </w:r>
            </w:hyperlink>
          </w:p>
        </w:tc>
        <w:tc>
          <w:tcPr>
            <w:tcW w:w="2080" w:type="dxa"/>
            <w:vAlign w:val="bottom"/>
            <w:gridSpan w:val="10"/>
          </w:tcPr>
          <w:p>
            <w:pPr>
              <w:spacing w:after="0"/>
              <w:rPr>
                <w:sz w:val="16"/>
                <w:szCs w:val="16"/>
                <w:color w:val="auto"/>
              </w:rPr>
            </w:pPr>
          </w:p>
        </w:tc>
        <w:tc>
          <w:tcPr>
            <w:tcW w:w="1220" w:type="dxa"/>
            <w:vAlign w:val="bottom"/>
          </w:tcPr>
          <w:p>
            <w:pPr>
              <w:spacing w:after="0"/>
              <w:rPr>
                <w:sz w:val="16"/>
                <w:szCs w:val="16"/>
                <w:color w:val="auto"/>
              </w:rPr>
            </w:pPr>
          </w:p>
        </w:tc>
      </w:tr>
      <w:tr>
        <w:trPr>
          <w:trHeight w:val="5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Certificate of Amendment to the Certificate of Incorporation, as</w:t>
              </w:r>
            </w:hyperlink>
          </w:p>
        </w:tc>
        <w:tc>
          <w:tcPr>
            <w:tcW w:w="28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amended</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4920" w:type="dxa"/>
            <w:vAlign w:val="bottom"/>
            <w:gridSpan w:val="17"/>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Amended and Restated Bylaws of Plus Therapeutics, Inc.</w:t>
              </w:r>
            </w:hyperlink>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Certificate of Designation of Preferences, Rights and Limitations of</w:t>
              </w:r>
            </w:hyperlink>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Series B Convertible Preferred Stock</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4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Certificate of Designation of Preferences, Rights and Limitations of</w:t>
              </w:r>
            </w:hyperlink>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Series C Convertible Preferred Stock</w:t>
              </w:r>
            </w:hyperlink>
          </w:p>
        </w:tc>
        <w:tc>
          <w:tcPr>
            <w:tcW w:w="12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8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Description of Securities</w:t>
              </w:r>
            </w:hyperlink>
          </w:p>
        </w:tc>
        <w:tc>
          <w:tcPr>
            <w:tcW w:w="2240" w:type="dxa"/>
            <w:vAlign w:val="bottom"/>
            <w:gridSpan w:val="11"/>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Form of Common Stock Certificate</w:t>
              </w:r>
            </w:hyperlink>
          </w:p>
        </w:tc>
        <w:tc>
          <w:tcPr>
            <w:tcW w:w="2360" w:type="dxa"/>
            <w:vAlign w:val="bottom"/>
            <w:gridSpan w:val="12"/>
          </w:tcPr>
          <w:p>
            <w:pPr>
              <w:spacing w:after="0"/>
              <w:rPr>
                <w:sz w:val="24"/>
                <w:szCs w:val="24"/>
                <w:color w:val="auto"/>
              </w:rPr>
            </w:pPr>
          </w:p>
        </w:tc>
        <w:tc>
          <w:tcPr>
            <w:tcW w:w="1220" w:type="dxa"/>
            <w:vAlign w:val="bottom"/>
          </w:tcPr>
          <w:p>
            <w:pPr>
              <w:spacing w:after="0"/>
              <w:rPr>
                <w:sz w:val="24"/>
                <w:szCs w:val="24"/>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920" w:type="dxa"/>
            <w:vAlign w:val="bottom"/>
            <w:gridSpan w:val="17"/>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Form of Pre-Funded Warrant</w:t>
              </w:r>
            </w:hyperlink>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Amendment and Restatement of the May 2024 Series A</w:t>
              </w:r>
            </w:hyperlink>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Warrant</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Amendment and Restatement of the May 2024 Series B</w:t>
              </w:r>
            </w:hyperlink>
          </w:p>
        </w:tc>
        <w:tc>
          <w:tcPr>
            <w:tcW w:w="2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Warrant</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920" w:type="dxa"/>
            <w:vAlign w:val="bottom"/>
            <w:gridSpan w:val="17"/>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Pre-Funded Warrant</w:t>
              </w:r>
            </w:hyperlink>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120" w:type="dxa"/>
            <w:vAlign w:val="bottom"/>
            <w:tcBorders>
              <w:right w:val="single" w:sz="8" w:color="0000EE"/>
            </w:tcBorders>
            <w:gridSpan w:val="4"/>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6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Form of Warrant issued pursuant to the Securities Purchase and</w:t>
              </w:r>
            </w:hyperlink>
          </w:p>
        </w:tc>
        <w:tc>
          <w:tcPr>
            <w:tcW w:w="3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Exchange Agreement, dated February 13, 2025, by and among Plus</w:t>
              </w:r>
            </w:hyperlink>
          </w:p>
        </w:tc>
        <w:tc>
          <w:tcPr>
            <w:tcW w:w="12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7"/>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Therapeutics, Inc. and the purchasers named therein</w:t>
              </w:r>
            </w:hyperlink>
          </w:p>
        </w:tc>
        <w:tc>
          <w:tcPr>
            <w:tcW w:w="12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74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of Pre-Funded Warrant</w:t>
              </w:r>
            </w:hyperlink>
          </w:p>
        </w:tc>
        <w:tc>
          <w:tcPr>
            <w:tcW w:w="1180" w:type="dxa"/>
            <w:vAlign w:val="bottom"/>
            <w:gridSpan w:val="7"/>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120" w:type="dxa"/>
            <w:vAlign w:val="bottom"/>
            <w:tcBorders>
              <w:right w:val="single" w:sz="8" w:color="0000EE"/>
            </w:tcBorders>
            <w:gridSpan w:val="4"/>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Form of Amended March 2025 Series B Warrant</w:t>
              </w:r>
            </w:hyperlink>
          </w:p>
        </w:tc>
        <w:tc>
          <w:tcPr>
            <w:tcW w:w="80" w:type="dxa"/>
            <w:vAlign w:val="bottom"/>
            <w:tcBorders>
              <w:bottom w:val="single" w:sz="8" w:color="0000EE"/>
            </w:tcBorders>
          </w:tcPr>
          <w:p>
            <w:pPr>
              <w:spacing w:after="0"/>
              <w:rPr>
                <w:sz w:val="24"/>
                <w:szCs w:val="24"/>
                <w:color w:val="auto"/>
              </w:rPr>
            </w:pPr>
          </w:p>
        </w:tc>
        <w:tc>
          <w:tcPr>
            <w:tcW w:w="1300" w:type="dxa"/>
            <w:vAlign w:val="bottom"/>
            <w:gridSpan w:val="8"/>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32" w:lineRule="exact"/>
        <w:rPr>
          <w:sz w:val="20"/>
          <w:szCs w:val="20"/>
          <w:color w:val="auto"/>
        </w:rPr>
      </w:pPr>
    </w:p>
    <w:p>
      <w:pPr>
        <w:spacing w:after="0"/>
        <w:tabs>
          <w:tab w:leader="none" w:pos="820" w:val="left"/>
          <w:tab w:leader="none" w:pos="20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-114935</wp:posOffset>
            </wp:positionV>
            <wp:extent cx="20574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 w:lineRule="exact"/>
        <w:rPr>
          <w:sz w:val="20"/>
          <w:szCs w:val="20"/>
          <w:color w:val="auto"/>
        </w:rPr>
      </w:pPr>
    </w:p>
    <w:p>
      <w:pPr>
        <w:ind w:left="720" w:right="20" w:hanging="731"/>
        <w:spacing w:after="0" w:line="267"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03/11/2016 Exhibit 3.1</w:t>
      </w:r>
    </w:p>
    <w:p>
      <w:pPr>
        <w:spacing w:after="0" w:line="8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05/10/2016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05/23/2018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07/29/2019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08/06/2019 Exhibit 3.1</w:t>
      </w:r>
    </w:p>
    <w:p>
      <w:pPr>
        <w:spacing w:after="0" w:line="59"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04/28/2023</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97"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05/02/2025</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11"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09/21/2021 Exhibit 3.1</w:t>
      </w:r>
    </w:p>
    <w:p>
      <w:pPr>
        <w:spacing w:after="0" w:line="162" w:lineRule="exact"/>
        <w:rPr>
          <w:sz w:val="20"/>
          <w:szCs w:val="20"/>
          <w:color w:val="auto"/>
        </w:rPr>
      </w:pPr>
    </w:p>
    <w:p>
      <w:pPr>
        <w:ind w:left="700" w:right="20" w:hanging="641"/>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11/28/2017 Exhibit 3.1</w:t>
      </w:r>
    </w:p>
    <w:p>
      <w:pPr>
        <w:spacing w:after="0" w:line="162"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07/25/2018 Exhibit 3.1</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03/30/2020 Exhibit 4.1</w:t>
      </w:r>
    </w:p>
    <w:p>
      <w:pPr>
        <w:spacing w:after="0" w:line="162" w:lineRule="exact"/>
        <w:rPr>
          <w:sz w:val="20"/>
          <w:szCs w:val="20"/>
          <w:color w:val="auto"/>
        </w:rPr>
      </w:pPr>
    </w:p>
    <w:p>
      <w:pPr>
        <w:ind w:left="680" w:right="20" w:hanging="66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03/09/2018 Exhibit 4.33</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4.1</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011-34375 08/14/2024 Exhibit 4.7</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011-34375 08/14/2024 Exhibit 4.8</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011-34375 02/18/2025 Exhibit 4.1</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02/18/2025 Exhibit 4.2</w:t>
      </w:r>
    </w:p>
    <w:p>
      <w:pPr>
        <w:spacing w:after="0" w:line="378"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03/04/2025 Exhibit 4.1</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06/17/2025 Exhibit 4.1</w:t>
      </w:r>
    </w:p>
    <w:p>
      <w:pPr>
        <w:spacing w:after="0" w:line="200" w:lineRule="exact"/>
        <w:rPr>
          <w:sz w:val="20"/>
          <w:szCs w:val="20"/>
          <w:color w:val="auto"/>
        </w:rPr>
      </w:pPr>
    </w:p>
    <w:p>
      <w:pPr>
        <w:sectPr>
          <w:pgSz w:w="11900" w:h="16838" w:orient="portrait"/>
          <w:cols w:equalWidth="0" w:num="2">
            <w:col w:w="7560" w:space="180"/>
            <w:col w:w="2840"/>
          </w:cols>
          <w:pgMar w:left="320" w:top="256" w:right="999" w:bottom="1440" w:gutter="0" w:footer="0" w:header="0"/>
        </w:sectPr>
      </w:pPr>
    </w:p>
    <w:p>
      <w:pPr>
        <w:spacing w:after="0" w:line="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256" w:right="99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90"/>
        </w:trPr>
        <w:tc>
          <w:tcPr>
            <w:tcW w:w="1300" w:type="dxa"/>
            <w:vAlign w:val="bottom"/>
            <w:tcBorders>
              <w:top w:val="single" w:sz="8" w:color="0000FF"/>
            </w:tcBorders>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Support Letter, dated July 11, 2025, by and between Plus</w:t>
              </w:r>
            </w:hyperlink>
          </w:p>
        </w:tc>
        <w:tc>
          <w:tcPr>
            <w:tcW w:w="360" w:type="dxa"/>
            <w:vAlign w:val="bottom"/>
            <w:gridSpan w:val="3"/>
          </w:tcPr>
          <w:p>
            <w:pPr>
              <w:spacing w:after="0"/>
              <w:rPr>
                <w:sz w:val="24"/>
                <w:szCs w:val="24"/>
                <w:color w:val="auto"/>
              </w:rPr>
            </w:pP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S-1  333-289526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08/12/2025</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Therapeutics, Inc. and certain holders</w:t>
              </w:r>
            </w:hyperlink>
          </w:p>
        </w:tc>
        <w:tc>
          <w:tcPr>
            <w:tcW w:w="2400" w:type="dxa"/>
            <w:vAlign w:val="bottom"/>
            <w:gridSpan w:val="9"/>
          </w:tcPr>
          <w:p>
            <w:pPr>
              <w:spacing w:after="0"/>
              <w:rPr>
                <w:sz w:val="17"/>
                <w:szCs w:val="17"/>
                <w:color w:val="auto"/>
              </w:rPr>
            </w:pPr>
          </w:p>
        </w:tc>
        <w:tc>
          <w:tcPr>
            <w:tcW w:w="2900" w:type="dxa"/>
            <w:vAlign w:val="bottom"/>
          </w:tcPr>
          <w:p>
            <w:pPr>
              <w:ind w:left="1680"/>
              <w:spacing w:after="0" w:line="196" w:lineRule="exact"/>
              <w:rPr>
                <w:sz w:val="20"/>
                <w:szCs w:val="20"/>
                <w:color w:val="auto"/>
              </w:rPr>
            </w:pPr>
            <w:r>
              <w:rPr>
                <w:rFonts w:ascii="Times New Roman" w:cs="Times New Roman" w:eastAsia="Times New Roman" w:hAnsi="Times New Roman"/>
                <w:sz w:val="18"/>
                <w:szCs w:val="18"/>
                <w:color w:val="auto"/>
              </w:rPr>
              <w:t>Exhibit 10.41</w:t>
            </w:r>
          </w:p>
        </w:tc>
        <w:tc>
          <w:tcPr>
            <w:tcW w:w="1080" w:type="dxa"/>
            <w:vAlign w:val="bottom"/>
          </w:tcPr>
          <w:p>
            <w:pPr>
              <w:spacing w:after="0"/>
              <w:rPr>
                <w:sz w:val="17"/>
                <w:szCs w:val="17"/>
                <w:color w:val="auto"/>
              </w:rPr>
            </w:pPr>
          </w:p>
        </w:tc>
      </w:tr>
      <w:tr>
        <w:trPr>
          <w:trHeight w:val="412"/>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Amended &amp; Restated 2020 Stock Incentive Plan, amended August 7,</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1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Amendment Agreement, dated October 28, 2025</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380" w:type="dxa"/>
            <w:vAlign w:val="bottom"/>
            <w:gridSpan w:val="4"/>
          </w:tcPr>
          <w:p>
            <w:pPr>
              <w:spacing w:after="0"/>
              <w:rPr>
                <w:sz w:val="24"/>
                <w:szCs w:val="24"/>
                <w:color w:val="auto"/>
              </w:rPr>
            </w:pP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13a-1.04(a), as adopted pursuant to Section 302 of</w:t>
            </w:r>
          </w:p>
        </w:tc>
        <w:tc>
          <w:tcPr>
            <w:tcW w:w="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820" w:type="dxa"/>
            <w:vAlign w:val="bottom"/>
            <w:gridSpan w:val="10"/>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w:t>
            </w:r>
          </w:p>
        </w:tc>
        <w:tc>
          <w:tcPr>
            <w:tcW w:w="520" w:type="dxa"/>
            <w:vAlign w:val="bottom"/>
            <w:gridSpan w:val="5"/>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720" w:type="dxa"/>
            <w:vAlign w:val="bottom"/>
            <w:gridSpan w:val="7"/>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Certifications Pursuant to 18 U.S.C. Section 1350/ Securities Exchange</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Act Rule 13a-14(b), as adopted pursuant to Section 906 of the Sarbanes</w:t>
            </w: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 Oxley Act of 2002</w:t>
            </w: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420" w:type="dxa"/>
            <w:vAlign w:val="bottom"/>
            <w:gridSpan w:val="2"/>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3700" w:type="dxa"/>
            <w:vAlign w:val="bottom"/>
            <w:gridSpan w:val="1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4"/>
        </w:trPr>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9"/>
        </w:trPr>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Documents</w:t>
            </w: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9"/>
        </w:trPr>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 w:lineRule="exact"/>
        <w:rPr>
          <w:sz w:val="20"/>
          <w:szCs w:val="20"/>
          <w:color w:val="auto"/>
        </w:rPr>
      </w:pPr>
    </w:p>
    <w:p>
      <w:pPr>
        <w:spacing w:after="0" w:line="29" w:lineRule="exact"/>
        <w:rPr>
          <w:sz w:val="20"/>
          <w:szCs w:val="20"/>
          <w:color w:val="auto"/>
        </w:rPr>
      </w:pPr>
    </w:p>
    <w:p>
      <w:pPr>
        <w:ind w:left="520" w:hanging="512"/>
        <w:spacing w:after="0" w:line="231" w:lineRule="exact"/>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31.1, 31.2 and 32.1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October 30, 2025</w:t>
      </w:r>
      <w:r>
        <w:rPr>
          <w:sz w:val="20"/>
          <w:szCs w:val="20"/>
          <w:color w:val="auto"/>
        </w:rPr>
        <w:tab/>
      </w:r>
      <w:r>
        <w:rPr>
          <w:rFonts w:ascii="Times New Roman" w:cs="Times New Roman" w:eastAsia="Times New Roman" w:hAnsi="Times New Roman"/>
          <w:sz w:val="17"/>
          <w:szCs w:val="17"/>
          <w:color w:val="auto"/>
        </w:rPr>
        <w:t>Marc H. Hedrick</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October 30, 2025</w:t>
      </w:r>
      <w:r>
        <w:rPr>
          <w:sz w:val="20"/>
          <w:szCs w:val="20"/>
          <w:color w:val="auto"/>
        </w:rPr>
        <w:tab/>
      </w:r>
      <w:r>
        <w:rPr>
          <w:rFonts w:ascii="Times New Roman" w:cs="Times New Roman" w:eastAsia="Times New Roman" w:hAnsi="Times New Roman"/>
          <w:sz w:val="17"/>
          <w:szCs w:val="17"/>
          <w:color w:val="auto"/>
        </w:rPr>
        <w:t>Andrew Sims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PLUS THERAPEUTICS, INC. </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STOCK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p>
      <w:pPr>
        <w:spacing w:after="0" w:line="121"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(a)  The Plan was adopted by the Board of Directors on April 30, 2020 and approved by the Company’s stockholders on June 16, 2020. The Plan was amended and restated by the Board of Directors on March 22, 2021, subject to approval of the Company’s stockholders, which approval occurred on May 17, 2021. The Plan was further amended and restated by the Board of Directors on March 28, 2022, subject to approval of the Company’s stockholders, which approval was obtained on May 16, 2022. The Plan was further amended and restated by the Board of Directors on February 24, 2023, subject to approval of the Company’s stockholders, which approval was obtained on April 20, 2023. The Plan was further amended and restated by the Board of Directors on July 8, 2024, subject to approval of the Company’s stockholders, which approval was obtained on August 15, 2024. The Plan was further amended and restated by the Board of Directors on July 17, 2025, subject to approval of the Company’s stockholders, which approval was obtained on August 7, 2025.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spacing w:after="0" w:line="84"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(i)  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 Section 5(a) below) and be then immediately available for grants and issuance pursuant to Awards hereunder, up to the maximum number set forth in Section 5(a) below.</w:t>
      </w:r>
    </w:p>
    <w:p>
      <w:pPr>
        <w:spacing w:after="0" w:line="72"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(ii)  In addition, from and after 12:01 a.m. Central time on the Effective Date, with respect to the aggregate number of Shares subject, at such time, to outstanding stock options and stock awards granted under the Predecessor Plan that (i) expire or terminate for any reason prior to exercise or settlement; or (ii)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3(a) below. For the avoidance of doubt, Predecessor Plan Returning Shares will not include any Shares subject to outstanding stock options or stock awards granted under the Predecessor Plan that are reacquired, withheld (or not issued) to satisfy (i) a tax withholding obligation in connection with an award or (ii) the purchase price or exercise price of an award.</w:t>
      </w:r>
    </w:p>
    <w:p>
      <w:pPr>
        <w:spacing w:after="0" w:line="84" w:lineRule="exact"/>
        <w:rPr>
          <w:sz w:val="20"/>
          <w:szCs w:val="20"/>
          <w:color w:val="auto"/>
        </w:rPr>
      </w:pPr>
    </w:p>
    <w:p>
      <w:pPr>
        <w:ind w:right="320" w:firstLine="416"/>
        <w:spacing w:after="0" w:line="261" w:lineRule="auto"/>
        <w:rPr>
          <w:sz w:val="20"/>
          <w:szCs w:val="20"/>
          <w:color w:val="auto"/>
        </w:rPr>
      </w:pPr>
      <w:r>
        <w:rPr>
          <w:rFonts w:ascii="Times New Roman" w:cs="Times New Roman" w:eastAsia="Times New Roman" w:hAnsi="Times New Roman"/>
          <w:sz w:val="18"/>
          <w:szCs w:val="18"/>
          <w:color w:val="auto"/>
        </w:rPr>
        <w:t>(b)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   “Affiliate” </w:t>
      </w:r>
      <w:r>
        <w:rPr>
          <w:rFonts w:ascii="Times New Roman" w:cs="Times New Roman" w:eastAsia="Times New Roman" w:hAnsi="Times New Roman"/>
          <w:sz w:val="18"/>
          <w:szCs w:val="18"/>
          <w:color w:val="auto"/>
        </w:rPr>
        <w:t>shall mean any entity other than a Subsidiary, if the Company and/or one or more Subsidiaries own not less than 50% of such entity.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   “Award” </w:t>
      </w:r>
      <w:r>
        <w:rPr>
          <w:rFonts w:ascii="Times New Roman" w:cs="Times New Roman" w:eastAsia="Times New Roman" w:hAnsi="Times New Roman"/>
          <w:sz w:val="18"/>
          <w:szCs w:val="18"/>
          <w:color w:val="auto"/>
        </w:rPr>
        <w:t>shall mean any award of an Option, a SAR, a Restricted Share or a Stock Unit under the Plan.</w:t>
      </w:r>
    </w:p>
    <w:p>
      <w:pPr>
        <w:spacing w:after="0" w:line="117" w:lineRule="exact"/>
        <w:rPr>
          <w:sz w:val="20"/>
          <w:szCs w:val="20"/>
          <w:color w:val="auto"/>
        </w:rPr>
      </w:pPr>
    </w:p>
    <w:p>
      <w:pPr>
        <w:ind w:right="6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  “Award Agreement” </w:t>
      </w:r>
      <w:r>
        <w:rPr>
          <w:rFonts w:ascii="Times New Roman" w:cs="Times New Roman" w:eastAsia="Times New Roman" w:hAnsi="Times New Roman"/>
          <w:sz w:val="18"/>
          <w:szCs w:val="18"/>
          <w:color w:val="auto"/>
        </w:rPr>
        <w:t>shall mean a Stock Option Agreement, SAR Agreement, Restricted Share Agreement or Stock Unit Agreement,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(d)   “Board of Directors” or “Board” </w:t>
      </w:r>
      <w:r>
        <w:rPr>
          <w:rFonts w:ascii="Times New Roman" w:cs="Times New Roman" w:eastAsia="Times New Roman" w:hAnsi="Times New Roman"/>
          <w:sz w:val="18"/>
          <w:szCs w:val="18"/>
          <w:color w:val="auto"/>
        </w:rPr>
        <w:t>shall mean the Board of Directors of the Company, as constituted from time to time.</w:t>
      </w:r>
    </w:p>
    <w:p>
      <w:pPr>
        <w:spacing w:after="0" w:line="117" w:lineRule="exact"/>
        <w:rPr>
          <w:sz w:val="20"/>
          <w:szCs w:val="20"/>
          <w:color w:val="auto"/>
        </w:rPr>
      </w:pPr>
    </w:p>
    <w:p>
      <w:pPr>
        <w:ind w:right="140"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  “Cause” </w:t>
      </w:r>
      <w:r>
        <w:rPr>
          <w:rFonts w:ascii="Times New Roman" w:cs="Times New Roman" w:eastAsia="Times New Roman" w:hAnsi="Times New Roman"/>
          <w:sz w:val="18"/>
          <w:szCs w:val="18"/>
          <w:color w:val="auto"/>
        </w:rPr>
        <w:t>shall mean, unless such term or an equivalent term is otherwise defined by the applicable Award Agreement or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right="100"/>
        <w:spacing w:after="0" w:line="261" w:lineRule="auto"/>
        <w:rPr>
          <w:sz w:val="20"/>
          <w:szCs w:val="20"/>
          <w:color w:val="auto"/>
        </w:rPr>
      </w:pPr>
      <w:r>
        <w:rPr>
          <w:rFonts w:ascii="Times New Roman" w:cs="Times New Roman" w:eastAsia="Times New Roman" w:hAnsi="Times New Roman"/>
          <w:sz w:val="18"/>
          <w:szCs w:val="18"/>
          <w:color w:val="auto"/>
        </w:rPr>
        <w:t>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   “Change in Control”. </w:t>
      </w:r>
      <w:r>
        <w:rPr>
          <w:rFonts w:ascii="Times New Roman" w:cs="Times New Roman" w:eastAsia="Times New Roman" w:hAnsi="Times New Roman"/>
          <w:sz w:val="18"/>
          <w:szCs w:val="18"/>
          <w:color w:val="auto"/>
        </w:rPr>
        <w:t>shall mean the occurrence of any of the following events:</w:t>
      </w:r>
    </w:p>
    <w:p>
      <w:pPr>
        <w:spacing w:after="0" w:line="119"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(i)  A change in the composition of the Board of Directors occurs, as a result of which fewer than one-half of the incumbent directors are directors who either: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Had been directors of the Company on the “look-back date” (as defined below) (the “original directors”); or</w:t>
      </w:r>
    </w:p>
    <w:p>
      <w:pPr>
        <w:spacing w:after="0" w:line="117" w:lineRule="exact"/>
        <w:rPr>
          <w:sz w:val="20"/>
          <w:szCs w:val="20"/>
          <w:color w:val="auto"/>
        </w:rPr>
      </w:pPr>
    </w:p>
    <w:p>
      <w:pPr>
        <w:jc w:val="both"/>
        <w:ind w:right="560" w:firstLine="416"/>
        <w:spacing w:after="0" w:line="266" w:lineRule="auto"/>
        <w:rPr>
          <w:sz w:val="20"/>
          <w:szCs w:val="20"/>
          <w:color w:val="auto"/>
        </w:rPr>
      </w:pPr>
      <w:r>
        <w:rPr>
          <w:rFonts w:ascii="Times New Roman" w:cs="Times New Roman" w:eastAsia="Times New Roman" w:hAnsi="Times New Roman"/>
          <w:sz w:val="18"/>
          <w:szCs w:val="18"/>
          <w:color w:val="auto"/>
        </w:rPr>
        <w:t>(B)  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w:t>
      </w:r>
    </w:p>
    <w:p>
      <w:pPr>
        <w:spacing w:after="0" w:line="68"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(ii)  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81" w:lineRule="exact"/>
        <w:rPr>
          <w:sz w:val="20"/>
          <w:szCs w:val="20"/>
          <w:color w:val="auto"/>
        </w:rPr>
      </w:pPr>
    </w:p>
    <w:p>
      <w:pPr>
        <w:jc w:val="both"/>
        <w:ind w:right="240" w:firstLine="416"/>
        <w:spacing w:after="0" w:line="261" w:lineRule="auto"/>
        <w:rPr>
          <w:sz w:val="20"/>
          <w:szCs w:val="20"/>
          <w:color w:val="auto"/>
        </w:rPr>
      </w:pPr>
      <w:r>
        <w:rPr>
          <w:rFonts w:ascii="Times New Roman" w:cs="Times New Roman" w:eastAsia="Times New Roman" w:hAnsi="Times New Roman"/>
          <w:sz w:val="18"/>
          <w:szCs w:val="18"/>
          <w:color w:val="auto"/>
        </w:rPr>
        <w:t>(iii)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   The sale, transfer or other disposition of all or substantially all of the Company’s assets.</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subsection 2(f)(i) above, the term “look-back” date shall mean the date 24 months prior to the date of the event that may constitute a Change in Control.</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subsection 2.f)iii))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   “Code” </w:t>
      </w:r>
      <w:r>
        <w:rPr>
          <w:rFonts w:ascii="Times New Roman" w:cs="Times New Roman" w:eastAsia="Times New Roman" w:hAnsi="Times New Roman"/>
          <w:sz w:val="18"/>
          <w:szCs w:val="18"/>
          <w:color w:val="auto"/>
        </w:rPr>
        <w:t>shall mean the Internal Revenue Code of 1986, as amended.</w:t>
      </w:r>
    </w:p>
    <w:p>
      <w:pPr>
        <w:spacing w:after="0" w:line="117" w:lineRule="exact"/>
        <w:rPr>
          <w:sz w:val="20"/>
          <w:szCs w:val="20"/>
          <w:color w:val="auto"/>
        </w:rPr>
      </w:pPr>
    </w:p>
    <w:p>
      <w:pPr>
        <w:ind w:right="1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  “Committee” </w:t>
      </w:r>
      <w:r>
        <w:rPr>
          <w:rFonts w:ascii="Times New Roman" w:cs="Times New Roman" w:eastAsia="Times New Roman" w:hAnsi="Times New Roman"/>
          <w:sz w:val="18"/>
          <w:szCs w:val="18"/>
          <w:color w:val="auto"/>
        </w:rPr>
        <w:t>shall mean the Compensation Committee as designated by the Board of Directors, which is authorized to administer the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3 hereof.</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(i)   “Company” </w:t>
      </w:r>
      <w:r>
        <w:rPr>
          <w:rFonts w:ascii="Times New Roman" w:cs="Times New Roman" w:eastAsia="Times New Roman" w:hAnsi="Times New Roman"/>
          <w:sz w:val="18"/>
          <w:szCs w:val="18"/>
          <w:color w:val="auto"/>
        </w:rPr>
        <w:t>shall mean Plus Therapeutics, Inc., a Delaware corporation, or any successor corporation thereto.</w:t>
      </w:r>
    </w:p>
    <w:p>
      <w:pPr>
        <w:spacing w:after="0" w:line="117" w:lineRule="exact"/>
        <w:rPr>
          <w:sz w:val="20"/>
          <w:szCs w:val="20"/>
          <w:color w:val="auto"/>
        </w:rPr>
      </w:pPr>
    </w:p>
    <w:p>
      <w:pPr>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  “Consultant” </w:t>
      </w:r>
      <w:r>
        <w:rPr>
          <w:rFonts w:ascii="Times New Roman" w:cs="Times New Roman" w:eastAsia="Times New Roman" w:hAnsi="Times New Roman"/>
          <w:sz w:val="18"/>
          <w:szCs w:val="18"/>
          <w:color w:val="auto"/>
        </w:rPr>
        <w:t>shall mean an individual who is a consultant or advisor and who provides bona fide services to the Company, a Parent,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or an Affiliate as an independent contractor (not including service as a member of the Board of Directors) or a member of the board of directors of a Parent or a Subsidiary, in each case who is not an Employee.</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(k)   “Disability” </w:t>
      </w:r>
      <w:r>
        <w:rPr>
          <w:rFonts w:ascii="Times New Roman" w:cs="Times New Roman" w:eastAsia="Times New Roman" w:hAnsi="Times New Roman"/>
          <w:sz w:val="18"/>
          <w:szCs w:val="18"/>
          <w:color w:val="auto"/>
        </w:rPr>
        <w:t>shall mean any permanent and total disability as defined by section 22(e)(3) of the Code.</w:t>
      </w:r>
    </w:p>
    <w:p>
      <w:pPr>
        <w:spacing w:after="0" w:line="117" w:lineRule="exact"/>
        <w:rPr>
          <w:sz w:val="20"/>
          <w:szCs w:val="20"/>
          <w:color w:val="auto"/>
        </w:rPr>
      </w:pPr>
    </w:p>
    <w:p>
      <w:pPr>
        <w:ind w:right="2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  “Effective Date” </w:t>
      </w:r>
      <w:r>
        <w:rPr>
          <w:rFonts w:ascii="Times New Roman" w:cs="Times New Roman" w:eastAsia="Times New Roman" w:hAnsi="Times New Roman"/>
          <w:sz w:val="18"/>
          <w:szCs w:val="18"/>
          <w:color w:val="auto"/>
        </w:rPr>
        <w:t>shall mean the effective date of this Plan document, which is the date of the annual meeting of stockholders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2020.</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(m)   “Employee” </w:t>
      </w:r>
      <w:r>
        <w:rPr>
          <w:rFonts w:ascii="Times New Roman" w:cs="Times New Roman" w:eastAsia="Times New Roman" w:hAnsi="Times New Roman"/>
          <w:sz w:val="18"/>
          <w:szCs w:val="18"/>
          <w:color w:val="auto"/>
        </w:rPr>
        <w:t>shall mean any individual who is a common-law employee of the Company, a Parent, a Subsidiary or an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(n)   “Exchange Act” </w:t>
      </w:r>
      <w:r>
        <w:rPr>
          <w:rFonts w:ascii="Times New Roman" w:cs="Times New Roman" w:eastAsia="Times New Roman" w:hAnsi="Times New Roman"/>
          <w:sz w:val="18"/>
          <w:szCs w:val="18"/>
          <w:color w:val="auto"/>
        </w:rPr>
        <w:t>shall mean the Securities Exchange Act of 1934, as amended, and the rules and regulations promulgated thereunder.</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ind w:right="4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  “Exercise Price” </w:t>
      </w:r>
      <w:r>
        <w:rPr>
          <w:rFonts w:ascii="Times New Roman" w:cs="Times New Roman" w:eastAsia="Times New Roman" w:hAnsi="Times New Roman"/>
          <w:sz w:val="18"/>
          <w:szCs w:val="18"/>
          <w:color w:val="auto"/>
        </w:rPr>
        <w:t>shall mean, in the case of an Option, the amount for which one Share may be purchased upon exercise of such Option,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   “Fair Market Value” </w:t>
      </w:r>
      <w:r>
        <w:rPr>
          <w:rFonts w:ascii="Times New Roman" w:cs="Times New Roman" w:eastAsia="Times New Roman" w:hAnsi="Times New Roman"/>
          <w:sz w:val="18"/>
          <w:szCs w:val="18"/>
          <w:color w:val="auto"/>
        </w:rPr>
        <w:t>with respect to a Share, shall mean the market price of one Share, determined by the Committee as follows:</w:t>
      </w:r>
    </w:p>
    <w:p>
      <w:pPr>
        <w:spacing w:after="0" w:line="119"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  If the Stock was traded over-the-counter (“OTC”)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w:t>
      </w:r>
    </w:p>
    <w:p>
      <w:pPr>
        <w:spacing w:after="0" w:line="72" w:lineRule="exact"/>
        <w:rPr>
          <w:sz w:val="20"/>
          <w:szCs w:val="20"/>
          <w:color w:val="auto"/>
        </w:rPr>
      </w:pPr>
    </w:p>
    <w:p>
      <w:pPr>
        <w:jc w:val="both"/>
        <w:ind w:right="200" w:firstLine="416"/>
        <w:spacing w:after="0" w:line="266" w:lineRule="auto"/>
        <w:rPr>
          <w:sz w:val="20"/>
          <w:szCs w:val="20"/>
          <w:color w:val="auto"/>
        </w:rPr>
      </w:pPr>
      <w:r>
        <w:rPr>
          <w:rFonts w:ascii="Times New Roman" w:cs="Times New Roman" w:eastAsia="Times New Roman" w:hAnsi="Times New Roman"/>
          <w:sz w:val="18"/>
          <w:szCs w:val="18"/>
          <w:color w:val="auto"/>
        </w:rPr>
        <w:t>(ii)  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w:t>
      </w:r>
    </w:p>
    <w:p>
      <w:pPr>
        <w:spacing w:after="0" w:line="68"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(iii)  If none of the foregoing provisions is applicable, then the Fair Market Value shall be determined by the Committee in good faith on such basis as it deems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the determination of Fair Market Value by the Committee shall be conclusive and binding on all persons.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(q)   “ISO” </w:t>
      </w:r>
      <w:r>
        <w:rPr>
          <w:rFonts w:ascii="Times New Roman" w:cs="Times New Roman" w:eastAsia="Times New Roman" w:hAnsi="Times New Roman"/>
          <w:sz w:val="18"/>
          <w:szCs w:val="18"/>
          <w:color w:val="auto"/>
        </w:rPr>
        <w:t>shall mean an employee incentive stock option described in Section 422 of the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   “Nonstatutory Option” or “NSO” </w:t>
      </w:r>
      <w:r>
        <w:rPr>
          <w:rFonts w:ascii="Times New Roman" w:cs="Times New Roman" w:eastAsia="Times New Roman" w:hAnsi="Times New Roman"/>
          <w:sz w:val="18"/>
          <w:szCs w:val="18"/>
          <w:color w:val="auto"/>
        </w:rPr>
        <w:t>shall mean an employee stock option that is not an ISO.</w:t>
      </w:r>
    </w:p>
    <w:p>
      <w:pPr>
        <w:spacing w:after="0" w:line="117"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  “Offeree” </w:t>
      </w:r>
      <w:r>
        <w:rPr>
          <w:rFonts w:ascii="Times New Roman" w:cs="Times New Roman" w:eastAsia="Times New Roman" w:hAnsi="Times New Roman"/>
          <w:sz w:val="18"/>
          <w:szCs w:val="18"/>
          <w:color w:val="auto"/>
        </w:rPr>
        <w:t>shall mean an individual to whom the Committee has offered the right to acquire Shares under the Plan (other than upon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Option or SAR).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(t)   “Option” </w:t>
      </w:r>
      <w:r>
        <w:rPr>
          <w:rFonts w:ascii="Times New Roman" w:cs="Times New Roman" w:eastAsia="Times New Roman" w:hAnsi="Times New Roman"/>
          <w:sz w:val="18"/>
          <w:szCs w:val="18"/>
          <w:color w:val="auto"/>
        </w:rPr>
        <w:t>shall mean an ISO or Nonstatutory Option granted under the Plan and entitling the holder to purchase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(u)   “Optionee” </w:t>
      </w:r>
      <w:r>
        <w:rPr>
          <w:rFonts w:ascii="Times New Roman" w:cs="Times New Roman" w:eastAsia="Times New Roman" w:hAnsi="Times New Roman"/>
          <w:sz w:val="18"/>
          <w:szCs w:val="18"/>
          <w:color w:val="auto"/>
        </w:rPr>
        <w:t>shall mean the holder of an Option or SAR.</w:t>
      </w:r>
    </w:p>
    <w:p>
      <w:pPr>
        <w:spacing w:after="0" w:line="117"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  “Outside Director” </w:t>
      </w:r>
      <w:r>
        <w:rPr>
          <w:rFonts w:ascii="Times New Roman" w:cs="Times New Roman" w:eastAsia="Times New Roman" w:hAnsi="Times New Roman"/>
          <w:sz w:val="18"/>
          <w:szCs w:val="18"/>
          <w:color w:val="auto"/>
        </w:rPr>
        <w:t>shall mean a member of the Board of Directors who is not a common-law employee of, or paid consultant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Parent or a Subsidiary.</w:t>
      </w:r>
    </w:p>
    <w:p>
      <w:pPr>
        <w:spacing w:after="0" w:line="50"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  “Parent” </w:t>
      </w:r>
      <w:r>
        <w:rPr>
          <w:rFonts w:ascii="Times New Roman" w:cs="Times New Roman" w:eastAsia="Times New Roman" w:hAnsi="Times New Roman"/>
          <w:sz w:val="18"/>
          <w:szCs w:val="18"/>
          <w:color w:val="auto"/>
        </w:rPr>
        <w:t>shall mean any corporation (other than the Company) in an unbroken chain of corporations ending with the Company, if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(x)   “Participant” </w:t>
      </w:r>
      <w:r>
        <w:rPr>
          <w:rFonts w:ascii="Times New Roman" w:cs="Times New Roman" w:eastAsia="Times New Roman" w:hAnsi="Times New Roman"/>
          <w:sz w:val="18"/>
          <w:szCs w:val="18"/>
          <w:color w:val="auto"/>
        </w:rPr>
        <w:t>shall mean the holder of an Award.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(y)   “Plan” </w:t>
      </w:r>
      <w:r>
        <w:rPr>
          <w:rFonts w:ascii="Times New Roman" w:cs="Times New Roman" w:eastAsia="Times New Roman" w:hAnsi="Times New Roman"/>
          <w:sz w:val="18"/>
          <w:szCs w:val="18"/>
          <w:color w:val="auto"/>
        </w:rPr>
        <w:t>shall mean this 2020 Stock Incentive Plan of Plus Therapeutics, Inc., as amended from time to time.</w:t>
      </w:r>
    </w:p>
    <w:p>
      <w:pPr>
        <w:spacing w:after="0" w:line="117" w:lineRule="exact"/>
        <w:rPr>
          <w:sz w:val="20"/>
          <w:szCs w:val="20"/>
          <w:color w:val="auto"/>
        </w:rPr>
      </w:pPr>
    </w:p>
    <w:p>
      <w:pPr>
        <w:ind w:right="1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  “Purchase Price” </w:t>
      </w:r>
      <w:r>
        <w:rPr>
          <w:rFonts w:ascii="Times New Roman" w:cs="Times New Roman" w:eastAsia="Times New Roman" w:hAnsi="Times New Roman"/>
          <w:sz w:val="18"/>
          <w:szCs w:val="18"/>
          <w:color w:val="auto"/>
        </w:rPr>
        <w:t>shall mean the consideration for which one Share may be acquired under the Plan (other than upon exercise of an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as specified by the Committee.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(aa)   “Restricted Share” </w:t>
      </w:r>
      <w:r>
        <w:rPr>
          <w:rFonts w:ascii="Times New Roman" w:cs="Times New Roman" w:eastAsia="Times New Roman" w:hAnsi="Times New Roman"/>
          <w:sz w:val="18"/>
          <w:szCs w:val="18"/>
          <w:color w:val="auto"/>
        </w:rPr>
        <w:t>shall mean a Share awarded under the Plan.</w:t>
      </w:r>
    </w:p>
    <w:p>
      <w:pPr>
        <w:spacing w:after="0" w:line="117" w:lineRule="exact"/>
        <w:rPr>
          <w:sz w:val="20"/>
          <w:szCs w:val="20"/>
          <w:color w:val="auto"/>
        </w:rPr>
      </w:pPr>
    </w:p>
    <w:p>
      <w:pPr>
        <w:ind w:right="3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(bb)  “Restricted Share Agreement” </w:t>
      </w:r>
      <w:r>
        <w:rPr>
          <w:rFonts w:ascii="Times New Roman" w:cs="Times New Roman" w:eastAsia="Times New Roman" w:hAnsi="Times New Roman"/>
          <w:sz w:val="18"/>
          <w:szCs w:val="18"/>
          <w:color w:val="auto"/>
        </w:rPr>
        <w:t>shall mean the agreement between the Company and the recipient of a Restricted Share which contains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and restrictions pertaining to such Restricted Shares.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(cc)   “SAR” </w:t>
      </w:r>
      <w:r>
        <w:rPr>
          <w:rFonts w:ascii="Times New Roman" w:cs="Times New Roman" w:eastAsia="Times New Roman" w:hAnsi="Times New Roman"/>
          <w:sz w:val="18"/>
          <w:szCs w:val="18"/>
          <w:color w:val="auto"/>
        </w:rPr>
        <w:t>shall mean a stock appreciation right granted under the Plan.</w:t>
      </w:r>
    </w:p>
    <w:p>
      <w:pPr>
        <w:spacing w:after="0" w:line="117" w:lineRule="exact"/>
        <w:rPr>
          <w:sz w:val="20"/>
          <w:szCs w:val="20"/>
          <w:color w:val="auto"/>
        </w:rPr>
      </w:pPr>
    </w:p>
    <w:p>
      <w:pPr>
        <w:ind w:right="4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(dd)  “SAR Agreement” </w:t>
      </w:r>
      <w:r>
        <w:rPr>
          <w:rFonts w:ascii="Times New Roman" w:cs="Times New Roman" w:eastAsia="Times New Roman" w:hAnsi="Times New Roman"/>
          <w:sz w:val="18"/>
          <w:szCs w:val="18"/>
          <w:color w:val="auto"/>
        </w:rPr>
        <w:t>shall mean the agreement between the Company and an Optionee which contains the terms, conditions and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pertaining to his or her SAR.</w:t>
      </w:r>
    </w:p>
    <w:p>
      <w:pPr>
        <w:spacing w:after="0" w:line="5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(ee)  “Service” </w:t>
      </w:r>
      <w:r>
        <w:rPr>
          <w:rFonts w:ascii="Times New Roman" w:cs="Times New Roman" w:eastAsia="Times New Roman" w:hAnsi="Times New Roman"/>
          <w:sz w:val="18"/>
          <w:szCs w:val="18"/>
          <w:color w:val="auto"/>
        </w:rPr>
        <w:t>shall mean service as an Employee, Consultant or Outside Director, subject to such further limitations as may be set forth in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(ff)   “Share” </w:t>
      </w:r>
      <w:r>
        <w:rPr>
          <w:rFonts w:ascii="Times New Roman" w:cs="Times New Roman" w:eastAsia="Times New Roman" w:hAnsi="Times New Roman"/>
          <w:sz w:val="18"/>
          <w:szCs w:val="18"/>
          <w:color w:val="auto"/>
        </w:rPr>
        <w:t>shall mean one share of Stock, as adjusted in accordance with Section 11 (if applicable).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(gg)   “Stock” </w:t>
      </w:r>
      <w:r>
        <w:rPr>
          <w:rFonts w:ascii="Times New Roman" w:cs="Times New Roman" w:eastAsia="Times New Roman" w:hAnsi="Times New Roman"/>
          <w:sz w:val="18"/>
          <w:szCs w:val="18"/>
          <w:color w:val="auto"/>
        </w:rPr>
        <w:t>shall mean the common stock of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6" w:name="page47"/>
    <w:bookmarkEnd w:id="46"/>
    <w:p>
      <w:pPr>
        <w:ind w:right="8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(hh)  “Stock Option Agreement” </w:t>
      </w:r>
      <w:r>
        <w:rPr>
          <w:rFonts w:ascii="Times New Roman" w:cs="Times New Roman" w:eastAsia="Times New Roman" w:hAnsi="Times New Roman"/>
          <w:sz w:val="18"/>
          <w:szCs w:val="18"/>
          <w:color w:val="auto"/>
        </w:rPr>
        <w:t>shall mean the agreement between the Company and an Optionee that contains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pertaining to such Option.</w:t>
      </w:r>
    </w:p>
    <w:p>
      <w:pPr>
        <w:spacing w:after="0" w:line="50"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(ii)  “Stock Unit” </w:t>
      </w:r>
      <w:r>
        <w:rPr>
          <w:rFonts w:ascii="Times New Roman" w:cs="Times New Roman" w:eastAsia="Times New Roman" w:hAnsi="Times New Roman"/>
          <w:sz w:val="18"/>
          <w:szCs w:val="18"/>
          <w:color w:val="auto"/>
        </w:rPr>
        <w:t>shall mean a bookkeeping entry representing the Company’s obligation to deliver one Share (or distribute cash) on a future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a Stock Unit Agreement.</w:t>
      </w:r>
    </w:p>
    <w:p>
      <w:pPr>
        <w:spacing w:after="0" w:line="50"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(jj)  “Stock Unit Agreement” </w:t>
      </w:r>
      <w:r>
        <w:rPr>
          <w:rFonts w:ascii="Times New Roman" w:cs="Times New Roman" w:eastAsia="Times New Roman" w:hAnsi="Times New Roman"/>
          <w:sz w:val="18"/>
          <w:szCs w:val="18"/>
          <w:color w:val="auto"/>
        </w:rPr>
        <w:t>shall mean the agreement between the Company and the recipient of a Stock Unit which contains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pertaining to such Stock Unit.</w:t>
      </w:r>
    </w:p>
    <w:p>
      <w:pPr>
        <w:spacing w:after="0" w:line="50"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(kk)  “Subsidiary” </w:t>
      </w:r>
      <w:r>
        <w:rPr>
          <w:rFonts w:ascii="Times New Roman" w:cs="Times New Roman" w:eastAsia="Times New Roman" w:hAnsi="Times New Roman"/>
          <w:sz w:val="18"/>
          <w:szCs w:val="18"/>
          <w:color w:val="auto"/>
        </w:rPr>
        <w:t>shall mean any corporation, if the Company and/or one or more other Subsidiaries own not less than 50% of the total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all classes of outstanding stock of such corporation.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corporation that attains the status of a Subsidiary on a date after the adoption of the Plan shall be considered a Subsidiary commencing as of such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11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Committee Composition</w:t>
      </w:r>
      <w:r>
        <w:rPr>
          <w:rFonts w:ascii="Times New Roman" w:cs="Times New Roman" w:eastAsia="Times New Roman" w:hAnsi="Times New Roman"/>
          <w:sz w:val="18"/>
          <w:szCs w:val="18"/>
          <w:color w:val="auto"/>
        </w:rPr>
        <w:t>. The Plan shall be administered by a Committee appointed by the Board of Directors, or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7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(b)  Committee for Non-Officer Grants</w:t>
      </w:r>
      <w:r>
        <w:rPr>
          <w:rFonts w:ascii="Times New Roman" w:cs="Times New Roman" w:eastAsia="Times New Roman" w:hAnsi="Times New Roman"/>
          <w:sz w:val="18"/>
          <w:szCs w:val="18"/>
          <w:color w:val="auto"/>
        </w:rPr>
        <w:t>. The Board of Directors may also appoint one or more separate committees of the Board, each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w:t>
      </w:r>
    </w:p>
    <w:p>
      <w:pPr>
        <w:spacing w:after="0" w:line="77" w:lineRule="exact"/>
        <w:rPr>
          <w:sz w:val="20"/>
          <w:szCs w:val="20"/>
          <w:color w:val="auto"/>
        </w:rPr>
      </w:pPr>
    </w:p>
    <w:p>
      <w:pPr>
        <w:ind w:right="12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Committee Procedures</w:t>
      </w:r>
      <w:r>
        <w:rPr>
          <w:rFonts w:ascii="Times New Roman" w:cs="Times New Roman" w:eastAsia="Times New Roman" w:hAnsi="Times New Roman"/>
          <w:sz w:val="18"/>
          <w:szCs w:val="18"/>
          <w:color w:val="auto"/>
        </w:rPr>
        <w:t>. The Board of Directors shall designate one of the members of the Committee as chairman. The Committee may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65" w:lineRule="exact"/>
        <w:rPr>
          <w:sz w:val="20"/>
          <w:szCs w:val="20"/>
          <w:color w:val="auto"/>
        </w:rPr>
      </w:pPr>
    </w:p>
    <w:p>
      <w:pPr>
        <w:ind w:right="2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(d)  Committee Responsibilities</w:t>
      </w:r>
      <w:r>
        <w:rPr>
          <w:rFonts w:ascii="Times New Roman" w:cs="Times New Roman" w:eastAsia="Times New Roman" w:hAnsi="Times New Roman"/>
          <w:sz w:val="18"/>
          <w:szCs w:val="18"/>
          <w:color w:val="auto"/>
        </w:rPr>
        <w:t>. Subject to the provisions of the Plan, the Committee shall have full authority and discretion to take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To interpret the Plan and to apply its provisions;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To adopt, amend or rescind rules, procedures and forms relating to the Plan;</w:t>
      </w:r>
    </w:p>
    <w:p>
      <w:pPr>
        <w:spacing w:after="0" w:line="117"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(iii)  To adopt, amend or terminate sub-plans established for the purpose of satisfying applicable foreign laws including qualifying for preferred tax treatment under applicable foreign tax laws;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   To authorize any person to execute, on behalf of the Company, any instrument required to carry out the purposes of the Plan;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   To determine when Awards are to be granted under the Plan;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   To select the Offerees, Optionees and Participants;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(vii)   To determine the type of Award and number of Shares or amount of cash to be made subject to each Award;</w:t>
      </w:r>
    </w:p>
    <w:p>
      <w:pPr>
        <w:spacing w:after="0" w:line="117"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(viii)  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72" w:lineRule="exact"/>
        <w:rPr>
          <w:sz w:val="20"/>
          <w:szCs w:val="20"/>
          <w:color w:val="auto"/>
        </w:rPr>
      </w:pPr>
    </w:p>
    <w:p>
      <w:pPr>
        <w:ind w:right="260" w:firstLine="416"/>
        <w:spacing w:after="0" w:line="282" w:lineRule="auto"/>
        <w:rPr>
          <w:sz w:val="20"/>
          <w:szCs w:val="20"/>
          <w:color w:val="auto"/>
        </w:rPr>
      </w:pPr>
      <w:r>
        <w:rPr>
          <w:rFonts w:ascii="Times New Roman" w:cs="Times New Roman" w:eastAsia="Times New Roman" w:hAnsi="Times New Roman"/>
          <w:sz w:val="18"/>
          <w:szCs w:val="18"/>
          <w:color w:val="auto"/>
        </w:rPr>
        <w:t>(ix)  To amend any outstanding Award Agreement, subject to applicable legal restrictions and to the consent of the Participant if the Participant’s rights or obligations would be materially impaired;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   To prescribe the consideration for the grant of each Award or other right under the Plan and to determine the sufficiency of such consideration;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(xi)   To determine the disposition of each Award or other right under the Plan in the event of a Participant’s divorce or dissolution of marriage;</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7" w:name="page48"/>
    <w:bookmarkEnd w:id="47"/>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(xii)  To determine whether Awards under the Plan will be granted in replacement of other grants under an incentive or other compensation plan of an acquired business;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(xiii)   To correct any defect, supply any omission, or reconcile any inconsistency in the Plan or any Award Agreement;</w:t>
      </w:r>
    </w:p>
    <w:p>
      <w:pPr>
        <w:spacing w:after="0" w:line="117"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(xiv)  To establish or verify the extent of satisfaction of any performance goals or other conditions applicable to the grant, issuance, exercisability, vesting and/or ability to retain any Award; and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(xv)   To take any other actions deemed necessary or advisable for the administration of the Plan.</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w:t>
      </w:r>
    </w:p>
    <w:p>
      <w:pPr>
        <w:spacing w:after="0" w:line="77"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(e)  Cancellation and Re-Grant of Stock Awards</w:t>
      </w:r>
      <w:r>
        <w:rPr>
          <w:rFonts w:ascii="Times New Roman" w:cs="Times New Roman" w:eastAsia="Times New Roman" w:hAnsi="Times New Roman"/>
          <w:sz w:val="18"/>
          <w:szCs w:val="18"/>
          <w:color w:val="auto"/>
        </w:rPr>
        <w:t>. Notwithstanding any contrary provision of the Plan, neither the Committee nor its designees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authority to: (i) amend the terms of outstanding Options or SARs to reduce the Exercise Price thereof, or (ii) cancel outstanding Options or SARs with an Exercise Price above the current Fair Market Value per Share in exchange for another Option or SAR with a lower exercise price or for another Award or for cash, unless the stockholders of the Company have previously approved such an action or such action relates to an adjustment pursuant to Section 11.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ELIGIBILITY.</w:t>
      </w:r>
    </w:p>
    <w:p>
      <w:pPr>
        <w:spacing w:after="0" w:line="119"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(a)  General Rule</w:t>
      </w:r>
      <w:r>
        <w:rPr>
          <w:rFonts w:ascii="Times New Roman" w:cs="Times New Roman" w:eastAsia="Times New Roman" w:hAnsi="Times New Roman"/>
          <w:sz w:val="18"/>
          <w:szCs w:val="18"/>
          <w:color w:val="auto"/>
        </w:rPr>
        <w:t>. Only common-law employees of the Company, a Parent or a Subsidiary shall be eligible for the grant of ISOs. Only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and Outside Directors shall be eligible for the grant of Restricted Shares, Stock Units, Nonstatutory Options or SARs.</w:t>
      </w:r>
    </w:p>
    <w:p>
      <w:pPr>
        <w:spacing w:after="0" w:line="50" w:lineRule="exact"/>
        <w:rPr>
          <w:sz w:val="20"/>
          <w:szCs w:val="20"/>
          <w:color w:val="auto"/>
        </w:rPr>
      </w:pPr>
    </w:p>
    <w:p>
      <w:pPr>
        <w:ind w:right="20" w:firstLine="416"/>
        <w:spacing w:after="0" w:line="273" w:lineRule="auto"/>
        <w:rPr>
          <w:sz w:val="20"/>
          <w:szCs w:val="20"/>
          <w:color w:val="auto"/>
        </w:rPr>
      </w:pPr>
      <w:r>
        <w:rPr>
          <w:rFonts w:ascii="Times New Roman" w:cs="Times New Roman" w:eastAsia="Times New Roman" w:hAnsi="Times New Roman"/>
          <w:sz w:val="17"/>
          <w:szCs w:val="17"/>
          <w:i w:val="1"/>
          <w:iCs w:val="1"/>
          <w:color w:val="auto"/>
        </w:rPr>
        <w:t>(b)  Limit on Grants to Outside Directors</w:t>
      </w:r>
      <w:r>
        <w:rPr>
          <w:rFonts w:ascii="Times New Roman" w:cs="Times New Roman" w:eastAsia="Times New Roman" w:hAnsi="Times New Roman"/>
          <w:sz w:val="17"/>
          <w:szCs w:val="17"/>
          <w:color w:val="auto"/>
        </w:rPr>
        <w:t>. Notwithstanding any other provision of the Plan to the contrary, the Board of Directors may establish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w:t>
      </w:r>
    </w:p>
    <w:p>
      <w:pPr>
        <w:spacing w:after="0" w:line="63" w:lineRule="exact"/>
        <w:rPr>
          <w:sz w:val="20"/>
          <w:szCs w:val="20"/>
          <w:color w:val="auto"/>
        </w:rPr>
      </w:pPr>
    </w:p>
    <w:p>
      <w:pPr>
        <w:jc w:val="both"/>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Ten-Percent Stockholders</w:t>
      </w:r>
      <w:r>
        <w:rPr>
          <w:rFonts w:ascii="Times New Roman" w:cs="Times New Roman" w:eastAsia="Times New Roman" w:hAnsi="Times New Roman"/>
          <w:sz w:val="18"/>
          <w:szCs w:val="18"/>
          <w:color w:val="auto"/>
        </w:rPr>
        <w:t>. An Employee who owns more than 10% of the total combined voting power of all classes of outstanding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 Parent or Subsidiary shall not be eligible for the grant of an ISO unless such grant satisfies the requirements of Section 422(c)(5) of the Code.</w:t>
      </w:r>
    </w:p>
    <w:p>
      <w:pPr>
        <w:spacing w:after="0" w:line="50" w:lineRule="exact"/>
        <w:rPr>
          <w:sz w:val="20"/>
          <w:szCs w:val="20"/>
          <w:color w:val="auto"/>
        </w:rPr>
      </w:pPr>
    </w:p>
    <w:p>
      <w:pPr>
        <w:jc w:val="both"/>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(d)  Attribution Rules</w:t>
      </w:r>
      <w:r>
        <w:rPr>
          <w:rFonts w:ascii="Times New Roman" w:cs="Times New Roman" w:eastAsia="Times New Roman" w:hAnsi="Times New Roman"/>
          <w:sz w:val="18"/>
          <w:szCs w:val="18"/>
          <w:color w:val="auto"/>
        </w:rPr>
        <w:t>. For purposes of Section 4.c) above, in determining stock ownership, an Employee shall be deemed to own the stock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65" w:lineRule="exact"/>
        <w:rPr>
          <w:sz w:val="20"/>
          <w:szCs w:val="20"/>
          <w:color w:val="auto"/>
        </w:rPr>
      </w:pPr>
    </w:p>
    <w:p>
      <w:pPr>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Outstanding Stock</w:t>
      </w:r>
      <w:r>
        <w:rPr>
          <w:rFonts w:ascii="Times New Roman" w:cs="Times New Roman" w:eastAsia="Times New Roman" w:hAnsi="Times New Roman"/>
          <w:sz w:val="18"/>
          <w:szCs w:val="18"/>
          <w:color w:val="auto"/>
        </w:rPr>
        <w:t>. For purposes of Section 4(c) above, “outstanding stock” shall include all stock actually issued and outstanding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grant. “Outstanding stock” shall not include shares authorized for issuance under outstanding options held by the Employee or by any other person.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STOCK SUBJECT TO PLAN.</w:t>
      </w:r>
    </w:p>
    <w:p>
      <w:pPr>
        <w:spacing w:after="0" w:line="11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(a)  Basic Limitation</w:t>
      </w:r>
      <w:r>
        <w:rPr>
          <w:rFonts w:ascii="Times New Roman" w:cs="Times New Roman" w:eastAsia="Times New Roman" w:hAnsi="Times New Roman"/>
          <w:sz w:val="18"/>
          <w:szCs w:val="18"/>
          <w:color w:val="auto"/>
        </w:rPr>
        <w:t>. Shares offered under the Plan shall be authorized but unissued Shares or treasury Shares. Subject to Section 5.b) below,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maximum aggregate number of Shares authorized for issuance as Awards under the Plan shall not exceed 21,303,334 Shares, which is the sum of (i) 36,667 shares approved at the Company’s 2020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66,667 shares approved at the Company’s 2021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133,333 shares approved at the Company’s 2022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66,667 shares approved at the Company’s 2023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1,000,000 Shares approved at the Company’s 2024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 20,000,000 Shares approved at the Company’s 2025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 the number of shares subject to the Predecessor Plan’s Available 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(viii) the number of shares that are Predecessor Plan Returning Shares, as such shares become available from time to time (the “Absolute Share Limit”). The number of Shares that may be delivered in the aggregate pursuant to the exercise of ISOs granted under the Plan shall not exceed 21,303,334 Shares plus, to the extent allowable under Section 422 of the Code and the Treasury Regulations promulgated thereunder, any Shares that become available for issuance under the Plan pursuant to Section 5(b). The limitations of this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Section 5(a) shall be subject to adjustment pursuant to Section 11. The number of Shares that are subject to Options or other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66"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(b)  Additional Shares</w:t>
      </w:r>
      <w:r>
        <w:rPr>
          <w:rFonts w:ascii="Times New Roman" w:cs="Times New Roman" w:eastAsia="Times New Roman" w:hAnsi="Times New Roman"/>
          <w:sz w:val="18"/>
          <w:szCs w:val="18"/>
          <w:color w:val="auto"/>
        </w:rPr>
        <w:t>. If Restricted Shares are forfeited, then such Shares shall again become available for Awards under the Plan. If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5(b), Shares that have actually been issued shall not again become available for Awards under the Plan, except for Restricted Shares that are forfeited and do not become vested.</w:t>
      </w:r>
    </w:p>
    <w:p>
      <w:pPr>
        <w:spacing w:after="0" w:line="7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  Substitution and Assumption of Awards. </w:t>
      </w:r>
      <w:r>
        <w:rPr>
          <w:rFonts w:ascii="Times New Roman" w:cs="Times New Roman" w:eastAsia="Times New Roman" w:hAnsi="Times New Roman"/>
          <w:sz w:val="18"/>
          <w:szCs w:val="18"/>
          <w:color w:val="auto"/>
        </w:rPr>
        <w:t>The Committee may make Awards under the Plan by assumption, substitution or replacement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RESTRICTED SHARES.</w:t>
      </w:r>
    </w:p>
    <w:p>
      <w:pPr>
        <w:spacing w:after="0" w:line="119" w:lineRule="exact"/>
        <w:rPr>
          <w:sz w:val="20"/>
          <w:szCs w:val="20"/>
          <w:color w:val="auto"/>
        </w:rPr>
      </w:pPr>
    </w:p>
    <w:p>
      <w:pPr>
        <w:jc w:val="both"/>
        <w:ind w:right="2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(a)  Restricted Stock Agreement</w:t>
      </w:r>
      <w:r>
        <w:rPr>
          <w:rFonts w:ascii="Times New Roman" w:cs="Times New Roman" w:eastAsia="Times New Roman" w:hAnsi="Times New Roman"/>
          <w:sz w:val="18"/>
          <w:szCs w:val="18"/>
          <w:color w:val="auto"/>
        </w:rPr>
        <w:t>. Each grant of Restricted Shares under the Plan shall be evidenced by a Restricted Stock Agreement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65" w:lineRule="exact"/>
        <w:rPr>
          <w:sz w:val="20"/>
          <w:szCs w:val="20"/>
          <w:color w:val="auto"/>
        </w:rPr>
      </w:pPr>
    </w:p>
    <w:p>
      <w:pPr>
        <w:ind w:right="6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Payment for Awards</w:t>
      </w:r>
      <w:r>
        <w:rPr>
          <w:rFonts w:ascii="Times New Roman" w:cs="Times New Roman" w:eastAsia="Times New Roman" w:hAnsi="Times New Roman"/>
          <w:sz w:val="18"/>
          <w:szCs w:val="18"/>
          <w:color w:val="auto"/>
        </w:rPr>
        <w:t>. Restricted Shares may be sold or awarded under the Plan for such consideration as the Committee may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cash, cash equivalents, full-recourse promissory notes, past services and future services.</w:t>
      </w:r>
    </w:p>
    <w:p>
      <w:pPr>
        <w:spacing w:after="0" w:line="50" w:lineRule="exact"/>
        <w:rPr>
          <w:sz w:val="20"/>
          <w:szCs w:val="20"/>
          <w:color w:val="auto"/>
        </w:rPr>
      </w:pPr>
    </w:p>
    <w:p>
      <w:pPr>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Vesting</w:t>
      </w:r>
      <w:r>
        <w:rPr>
          <w:rFonts w:ascii="Times New Roman" w:cs="Times New Roman" w:eastAsia="Times New Roman" w:hAnsi="Times New Roman"/>
          <w:sz w:val="18"/>
          <w:szCs w:val="18"/>
          <w:color w:val="auto"/>
        </w:rPr>
        <w:t>. Each Award of Restricted Shares may or may not be subject to vesting. Vesting shall occur, in full or in installments, upon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conditions specified in the Restricted Stock Agreement. A Restricted Stock Agreement may provide for accelerated vesting in the event of the Participant’s death, Disability or retirement or other events.</w:t>
      </w:r>
    </w:p>
    <w:p>
      <w:pPr>
        <w:spacing w:after="0" w:line="65"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(d)  Voting and Dividend Rights</w:t>
      </w:r>
      <w:r>
        <w:rPr>
          <w:rFonts w:ascii="Times New Roman" w:cs="Times New Roman" w:eastAsia="Times New Roman" w:hAnsi="Times New Roman"/>
          <w:sz w:val="18"/>
          <w:szCs w:val="18"/>
          <w:color w:val="auto"/>
        </w:rPr>
        <w:t>. The holders of Restricted Shares awarded under the Plan shall have the same voting, dividend and other rights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w:t>
      </w:r>
    </w:p>
    <w:p>
      <w:pPr>
        <w:spacing w:after="0" w:line="72" w:lineRule="exact"/>
        <w:rPr>
          <w:sz w:val="20"/>
          <w:szCs w:val="20"/>
          <w:color w:val="auto"/>
        </w:rPr>
      </w:pPr>
    </w:p>
    <w:p>
      <w:pPr>
        <w:jc w:val="both"/>
        <w:ind w:right="1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Restrictions on Transfer of Shares</w:t>
      </w:r>
      <w:r>
        <w:rPr>
          <w:rFonts w:ascii="Times New Roman" w:cs="Times New Roman" w:eastAsia="Times New Roman" w:hAnsi="Times New Roman"/>
          <w:sz w:val="18"/>
          <w:szCs w:val="18"/>
          <w:color w:val="auto"/>
        </w:rPr>
        <w:t>. Restricted Shares shall be subject to such rights of repurchase, rights of first refusal or other restrictions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may determine. Such restrictions shall be set forth in the applicable Restricted Stock Agreement and shall apply in addition to any general restrictions that may apply to all holders of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TERMS AND CONDITIONS OF OPTIONS.</w:t>
      </w:r>
    </w:p>
    <w:p>
      <w:pPr>
        <w:spacing w:after="0" w:line="11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(a)  Stock Option Agreement</w:t>
      </w:r>
      <w:r>
        <w:rPr>
          <w:rFonts w:ascii="Times New Roman" w:cs="Times New Roman" w:eastAsia="Times New Roman" w:hAnsi="Times New Roman"/>
          <w:sz w:val="18"/>
          <w:szCs w:val="18"/>
          <w:color w:val="auto"/>
        </w:rPr>
        <w:t>. Each grant of an Option under the Plan shall be evidenced by a Stock Option Agreement between the Optionee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w:t>
      </w:r>
    </w:p>
    <w:p>
      <w:pPr>
        <w:spacing w:after="0" w:line="75" w:lineRule="exact"/>
        <w:rPr>
          <w:sz w:val="20"/>
          <w:szCs w:val="20"/>
          <w:color w:val="auto"/>
        </w:rPr>
      </w:pPr>
    </w:p>
    <w:p>
      <w:pPr>
        <w:ind w:right="3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Number of Shares</w:t>
      </w:r>
      <w:r>
        <w:rPr>
          <w:rFonts w:ascii="Times New Roman" w:cs="Times New Roman" w:eastAsia="Times New Roman" w:hAnsi="Times New Roman"/>
          <w:sz w:val="18"/>
          <w:szCs w:val="18"/>
          <w:color w:val="auto"/>
        </w:rPr>
        <w:t>. Each Stock Option Agreement shall specify the number of Shares that are subject to the Option and shall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such number in accordance with Section 11.</w:t>
      </w:r>
    </w:p>
    <w:p>
      <w:pPr>
        <w:spacing w:after="0" w:line="50"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(c)  Exercise Price</w:t>
      </w:r>
      <w:r>
        <w:rPr>
          <w:rFonts w:ascii="Times New Roman" w:cs="Times New Roman" w:eastAsia="Times New Roman" w:hAnsi="Times New Roman"/>
          <w:sz w:val="18"/>
          <w:szCs w:val="18"/>
          <w:color w:val="auto"/>
        </w:rPr>
        <w:t>. Each Stock Option Agreement shall specify the Exercise Price. The Exercise Price of an ISO shall not be less than 100%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a Share on the date of grant, except as otherwise provided in Section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ind w:right="300"/>
        <w:spacing w:after="0" w:line="282" w:lineRule="auto"/>
        <w:rPr>
          <w:sz w:val="20"/>
          <w:szCs w:val="20"/>
          <w:color w:val="auto"/>
        </w:rPr>
      </w:pPr>
      <w:r>
        <w:rPr>
          <w:rFonts w:ascii="Times New Roman" w:cs="Times New Roman" w:eastAsia="Times New Roman" w:hAnsi="Times New Roman"/>
          <w:sz w:val="18"/>
          <w:szCs w:val="18"/>
          <w:color w:val="auto"/>
        </w:rPr>
        <w:t>the Exercise Price under any Option shall be determined by the Committee at its sole discretion. The Exercise Price shall be payable in one of the forms described in Section 8.</w:t>
      </w:r>
    </w:p>
    <w:p>
      <w:pPr>
        <w:spacing w:after="0" w:line="52"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(d)  Withholding Taxes</w:t>
      </w:r>
      <w:r>
        <w:rPr>
          <w:rFonts w:ascii="Times New Roman" w:cs="Times New Roman" w:eastAsia="Times New Roman" w:hAnsi="Times New Roman"/>
          <w:sz w:val="18"/>
          <w:szCs w:val="18"/>
          <w:color w:val="auto"/>
        </w:rPr>
        <w:t>. As a condition to the exercise of an Option, the Optionee shall make such arrangements as the Committee may require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72"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i w:val="1"/>
          <w:iCs w:val="1"/>
          <w:color w:val="auto"/>
        </w:rPr>
        <w:t>(e)  Exercisability and Term</w:t>
      </w:r>
      <w:r>
        <w:rPr>
          <w:rFonts w:ascii="Times New Roman" w:cs="Times New Roman" w:eastAsia="Times New Roman" w:hAnsi="Times New Roman"/>
          <w:sz w:val="18"/>
          <w:szCs w:val="18"/>
          <w:color w:val="auto"/>
        </w:rPr>
        <w:t>. Each Stock Option Agreement shall specify the date when all or any installment of the Option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75"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Exercise of Options</w:t>
      </w:r>
      <w:r>
        <w:rPr>
          <w:rFonts w:ascii="Times New Roman" w:cs="Times New Roman" w:eastAsia="Times New Roman" w:hAnsi="Times New Roman"/>
          <w:sz w:val="18"/>
          <w:szCs w:val="18"/>
          <w:color w:val="auto"/>
        </w:rPr>
        <w:t>. Each Stock Option Agreement shall set forth the extent to which the Optionee shall have the right to exercise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75"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(g)  No Rights as a Stockholder</w:t>
      </w:r>
      <w:r>
        <w:rPr>
          <w:rFonts w:ascii="Times New Roman" w:cs="Times New Roman" w:eastAsia="Times New Roman" w:hAnsi="Times New Roman"/>
          <w:sz w:val="18"/>
          <w:szCs w:val="18"/>
          <w:color w:val="auto"/>
        </w:rPr>
        <w:t>. An Optionee, or a transferee of an Optionee, shall have no rights (including voting, dividend and other rights)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w:t>
      </w:r>
    </w:p>
    <w:p>
      <w:pPr>
        <w:spacing w:after="0" w:line="7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i w:val="1"/>
          <w:iCs w:val="1"/>
          <w:color w:val="auto"/>
        </w:rPr>
        <w:t>(h)  Modification or Extension of Options</w:t>
      </w:r>
      <w:r>
        <w:rPr>
          <w:rFonts w:ascii="Times New Roman" w:cs="Times New Roman" w:eastAsia="Times New Roman" w:hAnsi="Times New Roman"/>
          <w:sz w:val="18"/>
          <w:szCs w:val="18"/>
          <w:color w:val="auto"/>
        </w:rPr>
        <w:t>. Within the limitations of the Plan, the Committee may modify, extend outstanding Options or may accept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w:t>
      </w:r>
    </w:p>
    <w:p>
      <w:pPr>
        <w:spacing w:after="0" w:line="75" w:lineRule="exact"/>
        <w:rPr>
          <w:sz w:val="20"/>
          <w:szCs w:val="20"/>
          <w:color w:val="auto"/>
        </w:rPr>
      </w:pPr>
    </w:p>
    <w:p>
      <w:pPr>
        <w:jc w:val="both"/>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(i)  Restrictions on Transfer of Shares</w:t>
      </w:r>
      <w:r>
        <w:rPr>
          <w:rFonts w:ascii="Times New Roman" w:cs="Times New Roman" w:eastAsia="Times New Roman" w:hAnsi="Times New Roman"/>
          <w:sz w:val="18"/>
          <w:szCs w:val="18"/>
          <w:color w:val="auto"/>
        </w:rPr>
        <w:t>. Any Shares issued upon exercise of an Option shall be subject to such special forfeiture conditions,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rights of first refusal and other transfer restrictions as the Committee may determine. Such restrictions shall be set forth in the applicable Stock Option Agreement and shall apply in addition to any general restrictions that may apply to all holders of Shares.</w:t>
      </w:r>
    </w:p>
    <w:p>
      <w:pPr>
        <w:spacing w:after="0" w:line="65" w:lineRule="exact"/>
        <w:rPr>
          <w:sz w:val="20"/>
          <w:szCs w:val="20"/>
          <w:color w:val="auto"/>
        </w:rPr>
      </w:pPr>
    </w:p>
    <w:p>
      <w:pPr>
        <w:jc w:val="both"/>
        <w:ind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(j)  Buyout Provisions</w:t>
      </w:r>
      <w:r>
        <w:rPr>
          <w:rFonts w:ascii="Times New Roman" w:cs="Times New Roman" w:eastAsia="Times New Roman" w:hAnsi="Times New Roman"/>
          <w:sz w:val="18"/>
          <w:szCs w:val="18"/>
          <w:color w:val="auto"/>
        </w:rPr>
        <w:t>. Except with respect to an Option whose Exercise Price exceeds the Fair Market Value of the Shares subject to the Option,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at any time (i) offer to buy out for a payment in cash or cash equivalents an Option previously granted or (ii) authorize an Optionee to elect to cash out an Option previously granted, in either case at such time and based upon such terms and conditions as the Committee shall establish.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PAYMENT FOR SHARES.</w:t>
      </w:r>
    </w:p>
    <w:p>
      <w:pPr>
        <w:spacing w:after="0" w:line="119" w:lineRule="exact"/>
        <w:rPr>
          <w:sz w:val="20"/>
          <w:szCs w:val="20"/>
          <w:color w:val="auto"/>
        </w:rPr>
      </w:pPr>
    </w:p>
    <w:p>
      <w:pPr>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(a)  General Rule</w:t>
      </w:r>
      <w:r>
        <w:rPr>
          <w:rFonts w:ascii="Times New Roman" w:cs="Times New Roman" w:eastAsia="Times New Roman" w:hAnsi="Times New Roman"/>
          <w:sz w:val="18"/>
          <w:szCs w:val="18"/>
          <w:color w:val="auto"/>
        </w:rPr>
        <w:t>. The entire Exercise Price or Purchase Price of Shares issued under the Plan shall be payable in lawful money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at the time when such Shares are purchased, except as provided in Section 8(b) through Section 8(h) below.</w:t>
      </w:r>
    </w:p>
    <w:p>
      <w:pPr>
        <w:spacing w:after="0" w:line="50"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(b)  Surrender of Stock</w:t>
      </w:r>
      <w:r>
        <w:rPr>
          <w:rFonts w:ascii="Times New Roman" w:cs="Times New Roman" w:eastAsia="Times New Roman" w:hAnsi="Times New Roman"/>
          <w:sz w:val="18"/>
          <w:szCs w:val="18"/>
          <w:color w:val="auto"/>
        </w:rPr>
        <w:t>. To the extent that a Stock Option Agreement so provides, payment may be made all or in part by surrendering, or attesting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75" w:lineRule="exact"/>
        <w:rPr>
          <w:sz w:val="20"/>
          <w:szCs w:val="20"/>
          <w:color w:val="auto"/>
        </w:rPr>
      </w:pPr>
    </w:p>
    <w:p>
      <w:pPr>
        <w:ind w:right="4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Services Rendered</w:t>
      </w:r>
      <w:r>
        <w:rPr>
          <w:rFonts w:ascii="Times New Roman" w:cs="Times New Roman" w:eastAsia="Times New Roman" w:hAnsi="Times New Roman"/>
          <w:sz w:val="18"/>
          <w:szCs w:val="18"/>
          <w:color w:val="auto"/>
        </w:rPr>
        <w:t>. At the discretion of the Committee, Shares may be awarded under the Plan in consideration of services rendered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 Subsidiary prior to the award. If Shares are awarded without the payment of a Purchase Price in cash,</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660"/>
        <w:spacing w:after="0" w:line="282" w:lineRule="auto"/>
        <w:rPr>
          <w:sz w:val="20"/>
          <w:szCs w:val="20"/>
          <w:color w:val="auto"/>
        </w:rPr>
      </w:pPr>
      <w:r>
        <w:rPr>
          <w:rFonts w:ascii="Times New Roman" w:cs="Times New Roman" w:eastAsia="Times New Roman" w:hAnsi="Times New Roman"/>
          <w:sz w:val="18"/>
          <w:szCs w:val="18"/>
          <w:color w:val="auto"/>
        </w:rPr>
        <w:t>the Committee shall make a determination (at the time of the Award) of the value of the services rendered by the Offeree and the sufficiency of the consideration to meet the requirements of Section 6(b).</w:t>
      </w:r>
    </w:p>
    <w:p>
      <w:pPr>
        <w:spacing w:after="0" w:line="52" w:lineRule="exact"/>
        <w:rPr>
          <w:sz w:val="20"/>
          <w:szCs w:val="20"/>
          <w:color w:val="auto"/>
        </w:rPr>
      </w:pPr>
    </w:p>
    <w:p>
      <w:pPr>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(d)  Cashless Exercise</w:t>
      </w:r>
      <w:r>
        <w:rPr>
          <w:rFonts w:ascii="Times New Roman" w:cs="Times New Roman" w:eastAsia="Times New Roman" w:hAnsi="Times New Roman"/>
          <w:sz w:val="18"/>
          <w:szCs w:val="18"/>
          <w:color w:val="auto"/>
        </w:rPr>
        <w:t>. To the extent that a Stock Option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65" w:lineRule="exact"/>
        <w:rPr>
          <w:sz w:val="20"/>
          <w:szCs w:val="20"/>
          <w:color w:val="auto"/>
        </w:rPr>
      </w:pPr>
    </w:p>
    <w:p>
      <w:pPr>
        <w:ind w:right="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Exercise/Pledge</w:t>
      </w:r>
      <w:r>
        <w:rPr>
          <w:rFonts w:ascii="Times New Roman" w:cs="Times New Roman" w:eastAsia="Times New Roman" w:hAnsi="Times New Roman"/>
          <w:sz w:val="18"/>
          <w:szCs w:val="18"/>
          <w:color w:val="auto"/>
        </w:rPr>
        <w:t>. To the extent that a Stock Option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65"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Net Exercise</w:t>
      </w:r>
      <w:r>
        <w:rPr>
          <w:rFonts w:ascii="Times New Roman" w:cs="Times New Roman" w:eastAsia="Times New Roman" w:hAnsi="Times New Roman"/>
          <w:sz w:val="18"/>
          <w:szCs w:val="18"/>
          <w:color w:val="auto"/>
        </w:rPr>
        <w:t>. To the extent that a Stock Option Agreement so provides, payment may be made by a “net exercise” arrangement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w:t>
      </w:r>
    </w:p>
    <w:p>
      <w:pPr>
        <w:spacing w:after="0" w:line="75" w:lineRule="exact"/>
        <w:rPr>
          <w:sz w:val="20"/>
          <w:szCs w:val="20"/>
          <w:color w:val="auto"/>
        </w:rPr>
      </w:pPr>
    </w:p>
    <w:p>
      <w:pPr>
        <w:ind w:right="1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(g)  Promissory Note</w:t>
      </w:r>
      <w:r>
        <w:rPr>
          <w:rFonts w:ascii="Times New Roman" w:cs="Times New Roman" w:eastAsia="Times New Roman" w:hAnsi="Times New Roman"/>
          <w:sz w:val="18"/>
          <w:szCs w:val="18"/>
          <w:color w:val="auto"/>
        </w:rPr>
        <w:t>. To the extent that a Stock Option Agreement or Restricted Stock Agreement so provides, payment may be made all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(on a form prescribed by the Company) a full-recourse promissory note.</w:t>
      </w:r>
    </w:p>
    <w:p>
      <w:pPr>
        <w:spacing w:after="0" w:line="50" w:lineRule="exact"/>
        <w:rPr>
          <w:sz w:val="20"/>
          <w:szCs w:val="20"/>
          <w:color w:val="auto"/>
        </w:rPr>
      </w:pPr>
    </w:p>
    <w:p>
      <w:pPr>
        <w:ind w:right="2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(h)  Other Forms of Payment</w:t>
      </w:r>
      <w:r>
        <w:rPr>
          <w:rFonts w:ascii="Times New Roman" w:cs="Times New Roman" w:eastAsia="Times New Roman" w:hAnsi="Times New Roman"/>
          <w:sz w:val="18"/>
          <w:szCs w:val="18"/>
          <w:color w:val="auto"/>
        </w:rPr>
        <w:t>. To the extent that a Stock Option Agreement or Restricted Stock Agreement so provides, payment may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form that is consistent with applicable laws, regulations and rules.</w:t>
      </w:r>
    </w:p>
    <w:p>
      <w:pPr>
        <w:spacing w:after="0" w:line="50" w:lineRule="exact"/>
        <w:rPr>
          <w:sz w:val="20"/>
          <w:szCs w:val="20"/>
          <w:color w:val="auto"/>
        </w:rPr>
      </w:pPr>
    </w:p>
    <w:p>
      <w:pPr>
        <w:ind w:right="4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(i)  Limitations under Applicable Law</w:t>
      </w:r>
      <w:r>
        <w:rPr>
          <w:rFonts w:ascii="Times New Roman" w:cs="Times New Roman" w:eastAsia="Times New Roman" w:hAnsi="Times New Roman"/>
          <w:sz w:val="18"/>
          <w:szCs w:val="18"/>
          <w:color w:val="auto"/>
        </w:rPr>
        <w:t>. Notwithstanding anything herein or in a Stock Option Agreement or Restricted Stock Agreement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payment may not be made in any form that is unlawful, as determined by the Committee in its sole discretion.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STOCK APPRECIATION RIGHTS.</w:t>
      </w:r>
    </w:p>
    <w:p>
      <w:pPr>
        <w:spacing w:after="0" w:line="119"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SAR Agreement</w:t>
      </w:r>
      <w:r>
        <w:rPr>
          <w:rFonts w:ascii="Times New Roman" w:cs="Times New Roman" w:eastAsia="Times New Roman" w:hAnsi="Times New Roman"/>
          <w:sz w:val="18"/>
          <w:szCs w:val="18"/>
          <w:color w:val="auto"/>
        </w:rPr>
        <w:t>. Each grant of a SAR under the Plan shall be evidenced by a SAR Agreement between the Optionee and the Company.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w:t>
      </w:r>
    </w:p>
    <w:p>
      <w:pPr>
        <w:spacing w:after="0" w:line="72"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Number of Shares</w:t>
      </w:r>
      <w:r>
        <w:rPr>
          <w:rFonts w:ascii="Times New Roman" w:cs="Times New Roman" w:eastAsia="Times New Roman" w:hAnsi="Times New Roman"/>
          <w:sz w:val="18"/>
          <w:szCs w:val="18"/>
          <w:color w:val="auto"/>
        </w:rPr>
        <w:t>. Each SAR Agreement shall specify the number of Shares to which the SAR pertains and shall provide for the adjustment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number in accordance with Section 11.</w:t>
      </w:r>
    </w:p>
    <w:p>
      <w:pPr>
        <w:spacing w:after="0" w:line="50"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(c)  Exercise Price</w:t>
      </w:r>
      <w:r>
        <w:rPr>
          <w:rFonts w:ascii="Times New Roman" w:cs="Times New Roman" w:eastAsia="Times New Roman" w:hAnsi="Times New Roman"/>
          <w:sz w:val="18"/>
          <w:szCs w:val="18"/>
          <w:color w:val="auto"/>
        </w:rPr>
        <w:t>. Each SAR Agreement shall specify the Exercise Price. The Exercise Price of a SAR shall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7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Exercisability and Term</w:t>
      </w:r>
      <w:r>
        <w:rPr>
          <w:rFonts w:ascii="Times New Roman" w:cs="Times New Roman" w:eastAsia="Times New Roman" w:hAnsi="Times New Roman"/>
          <w:sz w:val="18"/>
          <w:szCs w:val="18"/>
          <w:color w:val="auto"/>
        </w:rPr>
        <w:t>. Each SAR Agreement shall specify the date when all or any installment of the SAR is to become exercisable.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74" w:lineRule="exact"/>
        <w:rPr>
          <w:sz w:val="20"/>
          <w:szCs w:val="20"/>
          <w:color w:val="auto"/>
        </w:rPr>
      </w:pPr>
    </w:p>
    <w:p>
      <w:pPr>
        <w:ind w:right="60" w:firstLine="416"/>
        <w:spacing w:after="0" w:line="277" w:lineRule="auto"/>
        <w:rPr>
          <w:sz w:val="20"/>
          <w:szCs w:val="20"/>
          <w:color w:val="auto"/>
        </w:rPr>
      </w:pPr>
      <w:r>
        <w:rPr>
          <w:rFonts w:ascii="Times New Roman" w:cs="Times New Roman" w:eastAsia="Times New Roman" w:hAnsi="Times New Roman"/>
          <w:sz w:val="17"/>
          <w:szCs w:val="17"/>
          <w:i w:val="1"/>
          <w:iCs w:val="1"/>
          <w:color w:val="auto"/>
        </w:rPr>
        <w:t>(e)  No Rights as a Stockholder</w:t>
      </w:r>
      <w:r>
        <w:rPr>
          <w:rFonts w:ascii="Times New Roman" w:cs="Times New Roman" w:eastAsia="Times New Roman" w:hAnsi="Times New Roman"/>
          <w:sz w:val="17"/>
          <w:szCs w:val="17"/>
          <w:color w:val="auto"/>
        </w:rPr>
        <w:t>. A Participant, or a transferee of a Participant, shall have no rights (including voting, dividend and other rights)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 the Company). No adjustments shall be made for a dividend or other right for which the record date is prior to the date the Shares are issued, except as provided in Section 11.</w:t>
      </w:r>
    </w:p>
    <w:p>
      <w:pPr>
        <w:spacing w:after="0" w:line="60"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(f)  Exercise of SARs</w:t>
      </w:r>
      <w:r>
        <w:rPr>
          <w:rFonts w:ascii="Times New Roman" w:cs="Times New Roman" w:eastAsia="Times New Roman" w:hAnsi="Times New Roman"/>
          <w:sz w:val="18"/>
          <w:szCs w:val="18"/>
          <w:color w:val="auto"/>
        </w:rPr>
        <w:t>. Upon exercise of a SAR, the Optionee (or any person having the right to exercise the SAR after his or her death) shall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72" w:lineRule="exact"/>
        <w:rPr>
          <w:sz w:val="20"/>
          <w:szCs w:val="20"/>
          <w:color w:val="auto"/>
        </w:rPr>
      </w:pPr>
    </w:p>
    <w:p>
      <w:pPr>
        <w:jc w:val="both"/>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(g)  Modification, Extension or Assumption of SARs</w:t>
      </w:r>
      <w:r>
        <w:rPr>
          <w:rFonts w:ascii="Times New Roman" w:cs="Times New Roman" w:eastAsia="Times New Roman" w:hAnsi="Times New Roman"/>
          <w:sz w:val="18"/>
          <w:szCs w:val="18"/>
          <w:color w:val="auto"/>
        </w:rPr>
        <w:t>. Within the limitations of the Plan, the Committee may modify, extend or assume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or may accept the cancellation of outstanding SARs (whether granted by the Company or by another issuer) in return for the grant of new SARs for the same or a different number of Shares and at the same or a different Exercise Price;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40"/>
        <w:spacing w:after="0" w:line="261" w:lineRule="auto"/>
        <w:rPr>
          <w:sz w:val="20"/>
          <w:szCs w:val="20"/>
          <w:color w:val="auto"/>
        </w:rPr>
      </w:pPr>
      <w:r>
        <w:rPr>
          <w:rFonts w:ascii="Times New Roman" w:cs="Times New Roman" w:eastAsia="Times New Roman" w:hAnsi="Times New Roman"/>
          <w:sz w:val="18"/>
          <w:szCs w:val="18"/>
          <w:color w:val="auto"/>
        </w:rPr>
        <w:t>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w:t>
      </w:r>
    </w:p>
    <w:p>
      <w:pPr>
        <w:spacing w:after="0" w:line="70" w:lineRule="exact"/>
        <w:rPr>
          <w:sz w:val="20"/>
          <w:szCs w:val="20"/>
          <w:color w:val="auto"/>
        </w:rPr>
      </w:pPr>
    </w:p>
    <w:p>
      <w:pPr>
        <w:ind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(h)  Buyout Provisions</w:t>
      </w:r>
      <w:r>
        <w:rPr>
          <w:rFonts w:ascii="Times New Roman" w:cs="Times New Roman" w:eastAsia="Times New Roman" w:hAnsi="Times New Roman"/>
          <w:sz w:val="18"/>
          <w:szCs w:val="18"/>
          <w:color w:val="auto"/>
        </w:rPr>
        <w:t>. Except with respect to a SAR whose Exercise Price exceeds the Fair Market Value of the Shares subject to the SAR,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STOCK UNITS.</w:t>
      </w:r>
    </w:p>
    <w:p>
      <w:pPr>
        <w:spacing w:after="0" w:line="119"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Stock Unit Agreement</w:t>
      </w:r>
      <w:r>
        <w:rPr>
          <w:rFonts w:ascii="Times New Roman" w:cs="Times New Roman" w:eastAsia="Times New Roman" w:hAnsi="Times New Roman"/>
          <w:sz w:val="18"/>
          <w:szCs w:val="18"/>
          <w:color w:val="auto"/>
        </w:rPr>
        <w:t>. Each grant of Stock Units under the Plan shall be evidenced by a Stock Unit Agreement between the recipient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w:t>
      </w:r>
    </w:p>
    <w:p>
      <w:pPr>
        <w:spacing w:after="0" w:line="72" w:lineRule="exact"/>
        <w:rPr>
          <w:sz w:val="20"/>
          <w:szCs w:val="20"/>
          <w:color w:val="auto"/>
        </w:rPr>
      </w:pPr>
    </w:p>
    <w:p>
      <w:pPr>
        <w:ind w:right="2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Payment for Awards</w:t>
      </w:r>
      <w:r>
        <w:rPr>
          <w:rFonts w:ascii="Times New Roman" w:cs="Times New Roman" w:eastAsia="Times New Roman" w:hAnsi="Times New Roman"/>
          <w:sz w:val="18"/>
          <w:szCs w:val="18"/>
          <w:color w:val="auto"/>
        </w:rPr>
        <w:t>. To the extent that an Award is granted in the form of Stock Units, no cash consideration shall be required of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recipients.</w:t>
      </w:r>
    </w:p>
    <w:p>
      <w:pPr>
        <w:spacing w:after="0" w:line="50" w:lineRule="exact"/>
        <w:rPr>
          <w:sz w:val="20"/>
          <w:szCs w:val="20"/>
          <w:color w:val="auto"/>
        </w:rPr>
      </w:pPr>
    </w:p>
    <w:p>
      <w:pPr>
        <w:jc w:val="both"/>
        <w:ind w:right="5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Vesting Conditions</w:t>
      </w:r>
      <w:r>
        <w:rPr>
          <w:rFonts w:ascii="Times New Roman" w:cs="Times New Roman" w:eastAsia="Times New Roman" w:hAnsi="Times New Roman"/>
          <w:sz w:val="18"/>
          <w:szCs w:val="18"/>
          <w:color w:val="auto"/>
        </w:rPr>
        <w:t>. Each Award of Stock Units may or may not be subject to vesting. Vesting shall occur, in full or in installments,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conditions specified in the Stock Unit Agreement. A Stock Unit Agreement may provide for accelerated vesting in the event of the Participant’s death, Disability or retirement or other events.</w:t>
      </w:r>
    </w:p>
    <w:p>
      <w:pPr>
        <w:spacing w:after="0" w:line="65"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Voting and Dividend Rights</w:t>
      </w:r>
      <w:r>
        <w:rPr>
          <w:rFonts w:ascii="Times New Roman" w:cs="Times New Roman" w:eastAsia="Times New Roman" w:hAnsi="Times New Roman"/>
          <w:sz w:val="18"/>
          <w:szCs w:val="18"/>
          <w:color w:val="auto"/>
        </w:rPr>
        <w:t>. The holders of Stock Units shall have no voting rights. Prior to settlement or forfeiture, any Stock Unit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spacing w:after="0" w:line="74"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(e)  Form and Time of Settlement of Stock Units</w:t>
      </w:r>
      <w:r>
        <w:rPr>
          <w:rFonts w:ascii="Times New Roman" w:cs="Times New Roman" w:eastAsia="Times New Roman" w:hAnsi="Times New Roman"/>
          <w:sz w:val="18"/>
          <w:szCs w:val="18"/>
          <w:color w:val="auto"/>
        </w:rPr>
        <w:t>. Settlement of vested Stock Units may be made in the form of (a) cash, (b) Shares or (c)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w:t>
      </w:r>
    </w:p>
    <w:p>
      <w:pPr>
        <w:spacing w:after="0" w:line="77"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Death of Recipient</w:t>
      </w:r>
      <w:r>
        <w:rPr>
          <w:rFonts w:ascii="Times New Roman" w:cs="Times New Roman" w:eastAsia="Times New Roman" w:hAnsi="Times New Roman"/>
          <w:sz w:val="18"/>
          <w:szCs w:val="18"/>
          <w:color w:val="auto"/>
        </w:rPr>
        <w:t>. Any Stock Units Award that becomes payable after the recipient’s death shall be distributed to the recipient’s beneficiary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75"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(g)  Creditors’ Rights</w:t>
      </w:r>
      <w:r>
        <w:rPr>
          <w:rFonts w:ascii="Times New Roman" w:cs="Times New Roman" w:eastAsia="Times New Roman" w:hAnsi="Times New Roman"/>
          <w:sz w:val="18"/>
          <w:szCs w:val="18"/>
          <w:color w:val="auto"/>
        </w:rPr>
        <w:t>. A holder of Stock Units shall have no rights other than those of a general creditor of the Company. Stock Units represent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unfunded and unsecured obligation of the Company, subject to the terms and conditions of the applicable Stock Unit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1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Adjustments</w:t>
      </w:r>
      <w:r>
        <w:rPr>
          <w:rFonts w:ascii="Times New Roman" w:cs="Times New Roman" w:eastAsia="Times New Roman" w:hAnsi="Times New Roman"/>
          <w:sz w:val="18"/>
          <w:szCs w:val="18"/>
          <w:color w:val="auto"/>
        </w:rPr>
        <w:t>. In the event of a subdivision of the outstanding Stock, a declaration of a dividend payable in Shares, a declaration of a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The class(es) and maximum number of securities available for future Awards under Section 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The class(es) and number of securities that may be issued pursuant to the exercise of ISOs pursuant to Section 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   The class(es) and number of securities covered by each outstanding Option and SAR;</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8"/>
          <w:szCs w:val="18"/>
          <w:color w:val="auto"/>
        </w:rPr>
        <w:t>(iv)   The Exercise Price under each outstanding Option and SAR; and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   The classes and number of securities subject to any outstanding Award.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70" w:lineRule="exact"/>
        <w:rPr>
          <w:sz w:val="20"/>
          <w:szCs w:val="20"/>
          <w:color w:val="auto"/>
        </w:rPr>
      </w:pPr>
    </w:p>
    <w:p>
      <w:pPr>
        <w:ind w:right="1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Dissolution or Liquidation</w:t>
      </w:r>
      <w:r>
        <w:rPr>
          <w:rFonts w:ascii="Times New Roman" w:cs="Times New Roman" w:eastAsia="Times New Roman" w:hAnsi="Times New Roman"/>
          <w:sz w:val="18"/>
          <w:szCs w:val="18"/>
          <w:color w:val="auto"/>
        </w:rPr>
        <w:t>. To the extent not previously exercised or settled, Options, SARs and Stock Units shall terminate immediately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dissolution or liquidation of the Company.</w:t>
      </w:r>
    </w:p>
    <w:p>
      <w:pPr>
        <w:spacing w:after="0" w:line="50" w:lineRule="exact"/>
        <w:rPr>
          <w:sz w:val="20"/>
          <w:szCs w:val="20"/>
          <w:color w:val="auto"/>
        </w:rPr>
      </w:pPr>
    </w:p>
    <w:p>
      <w:pPr>
        <w:jc w:val="both"/>
        <w:ind w:right="5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Reorganizations</w:t>
      </w:r>
      <w:r>
        <w:rPr>
          <w:rFonts w:ascii="Times New Roman" w:cs="Times New Roman" w:eastAsia="Times New Roman" w:hAnsi="Times New Roman"/>
          <w:sz w:val="18"/>
          <w:szCs w:val="18"/>
          <w:color w:val="auto"/>
        </w:rPr>
        <w:t>. In the event that the Company is a party to a merger or other reorganization, outstanding Awards shall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of merger or reorganization. Subject to compliance with Section 409A of the Code, such agreement shall provide for:</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The continuation of the outstanding Awards by the Company, if the Company is a surviving corporation;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The assumption of the outstanding Awards by the surviving corporation or its parent or subsidiary;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   The substitution by the surviving corporation or its parent or subsidiary of its own awards for the outstanding Awards;</w:t>
      </w:r>
    </w:p>
    <w:p>
      <w:pPr>
        <w:spacing w:after="0" w:line="117" w:lineRule="exact"/>
        <w:rPr>
          <w:sz w:val="20"/>
          <w:szCs w:val="20"/>
          <w:color w:val="auto"/>
        </w:rPr>
      </w:pPr>
    </w:p>
    <w:p>
      <w:pPr>
        <w:jc w:val="both"/>
        <w:ind w:right="580" w:firstLine="416"/>
        <w:spacing w:after="0" w:line="266" w:lineRule="auto"/>
        <w:rPr>
          <w:sz w:val="20"/>
          <w:szCs w:val="20"/>
          <w:color w:val="auto"/>
        </w:rPr>
      </w:pPr>
      <w:r>
        <w:rPr>
          <w:rFonts w:ascii="Times New Roman" w:cs="Times New Roman" w:eastAsia="Times New Roman" w:hAnsi="Times New Roman"/>
          <w:sz w:val="18"/>
          <w:szCs w:val="18"/>
          <w:color w:val="auto"/>
        </w:rPr>
        <w:t>(iv)  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w:t>
      </w:r>
    </w:p>
    <w:p>
      <w:pPr>
        <w:spacing w:after="0" w:line="68"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(v)  Cancellation of the Award, to the extent not vested or not exercised prior to the effective time of the merger or reorganization, in exchange for such cash consideration, if any, as the Committee, in its sole discretion, may consider appropriate; or</w:t>
      </w:r>
    </w:p>
    <w:p>
      <w:pPr>
        <w:spacing w:after="0" w:line="54"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(vi)  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w:t>
      </w:r>
    </w:p>
    <w:p>
      <w:pPr>
        <w:spacing w:after="0" w:line="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need not take the same action or actions with respect to all Awards or portions thereof or with respect to all Participants. The Company may take different actions with respect to the vested and unvested portions of an Award.</w:t>
      </w:r>
    </w:p>
    <w:p>
      <w:pPr>
        <w:spacing w:after="0" w:line="52"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Reservation of Rights</w:t>
      </w:r>
      <w:r>
        <w:rPr>
          <w:rFonts w:ascii="Times New Roman" w:cs="Times New Roman" w:eastAsia="Times New Roman" w:hAnsi="Times New Roman"/>
          <w:sz w:val="18"/>
          <w:szCs w:val="18"/>
          <w:color w:val="auto"/>
        </w:rPr>
        <w:t>. Except as provided in this Section 11, an Optionee, Offeree or Participant shall have no rights by reason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74" w:lineRule="exact"/>
        <w:rPr>
          <w:sz w:val="20"/>
          <w:szCs w:val="20"/>
          <w:color w:val="auto"/>
        </w:rPr>
      </w:pPr>
    </w:p>
    <w:p>
      <w:pPr>
        <w:jc w:val="both"/>
        <w:ind w:right="2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(e)  Change in Control</w:t>
      </w:r>
      <w:r>
        <w:rPr>
          <w:rFonts w:ascii="Times New Roman" w:cs="Times New Roman" w:eastAsia="Times New Roman" w:hAnsi="Times New Roman"/>
          <w:sz w:val="18"/>
          <w:szCs w:val="18"/>
          <w:color w:val="auto"/>
        </w:rPr>
        <w:t>. In its discretion, the Committee pay provide in the Award Agreement governing an Award or at any other time may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DEFERRAL OF AWARDS.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   Committee Powers</w:t>
      </w:r>
      <w:r>
        <w:rPr>
          <w:rFonts w:ascii="Times New Roman" w:cs="Times New Roman" w:eastAsia="Times New Roman" w:hAnsi="Times New Roman"/>
          <w:sz w:val="18"/>
          <w:szCs w:val="18"/>
          <w:color w:val="auto"/>
        </w:rPr>
        <w:t>. Subject to compliance with Section 409A of the Code, the Committee (in its sole discretion) may permit or require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to:</w:t>
      </w:r>
    </w:p>
    <w:p>
      <w:pPr>
        <w:spacing w:after="0" w:line="99"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(i)  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(ii)  Have Shares that otherwise would be delivered to such Participant as a result of the exercise of an Option or SAR converted into an equal number of Stock Units; or</w:t>
      </w:r>
    </w:p>
    <w:p>
      <w:pPr>
        <w:spacing w:after="0" w:line="54"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(iii)  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70"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(b)  General Rules</w:t>
      </w:r>
      <w:r>
        <w:rPr>
          <w:rFonts w:ascii="Times New Roman" w:cs="Times New Roman" w:eastAsia="Times New Roman" w:hAnsi="Times New Roman"/>
          <w:sz w:val="18"/>
          <w:szCs w:val="18"/>
          <w:color w:val="auto"/>
        </w:rPr>
        <w:t>. A deferred compensation account established under this Section 12 may be credited with interest or other forms of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AWARDS UNDER OTHER PLANS.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LEGAL AND REGULATORY REQUIREMENTS.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WITHHOLDING TAXES.</w:t>
      </w:r>
    </w:p>
    <w:p>
      <w:pPr>
        <w:spacing w:after="0" w:line="119" w:lineRule="exact"/>
        <w:rPr>
          <w:sz w:val="20"/>
          <w:szCs w:val="20"/>
          <w:color w:val="auto"/>
        </w:rPr>
      </w:pPr>
    </w:p>
    <w:p>
      <w:pPr>
        <w:ind w:right="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(a)  Withholding Taxes</w:t>
      </w:r>
      <w:r>
        <w:rPr>
          <w:rFonts w:ascii="Times New Roman" w:cs="Times New Roman" w:eastAsia="Times New Roman" w:hAnsi="Times New Roman"/>
          <w:sz w:val="18"/>
          <w:szCs w:val="18"/>
          <w:color w:val="auto"/>
        </w:rPr>
        <w:t>. To the extent required by applicable federal, state, local or foreign law, a Participant or his or her successor shall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6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(b)  Share Withholding</w:t>
      </w:r>
      <w:r>
        <w:rPr>
          <w:rFonts w:ascii="Times New Roman" w:cs="Times New Roman" w:eastAsia="Times New Roman" w:hAnsi="Times New Roman"/>
          <w:sz w:val="18"/>
          <w:szCs w:val="18"/>
          <w:color w:val="auto"/>
        </w:rPr>
        <w:t>. The Committee may permit a Participant to satisfy all or part of his or her withholding or income tax obligations by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OTHER PROVISIONS APPLICABLE TO AWARDS.</w:t>
      </w:r>
    </w:p>
    <w:p>
      <w:pPr>
        <w:spacing w:after="0" w:line="119"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(a)  Transferability</w:t>
      </w:r>
      <w:r>
        <w:rPr>
          <w:rFonts w:ascii="Times New Roman" w:cs="Times New Roman" w:eastAsia="Times New Roman" w:hAnsi="Times New Roman"/>
          <w:sz w:val="18"/>
          <w:szCs w:val="18"/>
          <w:color w:val="auto"/>
        </w:rPr>
        <w:t>. Unless the agreement evidencing an Award (or an amendment thereto authorized by the Committee) expressly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w:t>
      </w:r>
    </w:p>
    <w:p>
      <w:pPr>
        <w:spacing w:after="0" w:line="75" w:lineRule="exact"/>
        <w:rPr>
          <w:sz w:val="20"/>
          <w:szCs w:val="20"/>
          <w:color w:val="auto"/>
        </w:rPr>
      </w:pPr>
    </w:p>
    <w:p>
      <w:pPr>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Performance Criteria</w:t>
      </w:r>
      <w:r>
        <w:rPr>
          <w:rFonts w:ascii="Times New Roman" w:cs="Times New Roman" w:eastAsia="Times New Roman" w:hAnsi="Times New Roman"/>
          <w:sz w:val="18"/>
          <w:szCs w:val="18"/>
          <w:color w:val="auto"/>
        </w:rPr>
        <w:t>. The number of Shares or other benefits granted, issued, retainable and/or vested under an Award may be made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performance goals.</w:t>
      </w:r>
    </w:p>
    <w:p>
      <w:pPr>
        <w:spacing w:after="0" w:line="52"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(i)  The Committee may utilize performance criteria including, but not limited to any of the following performance criteria: (a) cash flow (including operating cash flow), (b) earnings per share, (c) earnings before any combination of interest, taxes, depreciation or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(including as a percentage of revenue), (n) return on operating revenue, (o) return on invested capital, (p) market segment shares, (q) costs, (r) expenses, (s) achievement of target levels of discovery and/or development of products or services, including but not limited to research or regulatory achievements, (t) third party coverage and/or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right="260"/>
        <w:spacing w:after="0" w:line="255" w:lineRule="auto"/>
        <w:rPr>
          <w:sz w:val="20"/>
          <w:szCs w:val="20"/>
          <w:color w:val="auto"/>
        </w:rPr>
      </w:pPr>
      <w:r>
        <w:rPr>
          <w:rFonts w:ascii="Times New Roman" w:cs="Times New Roman" w:eastAsia="Times New Roman" w:hAnsi="Times New Roman"/>
          <w:sz w:val="18"/>
          <w:szCs w:val="18"/>
          <w:color w:val="auto"/>
        </w:rPr>
        <w:t>reimbursement objectives, (u) test volume metrics, (v) objective customer indicators (including, without limitation, customer satisfaction), (w) improvements in productivity, (x) attainment of objective operating goals, (y) objective employee metrics or (z) any other measures of performance selected by the Committee (“Qualifying Performance Criteria”), any of which may be measured either individually, alternatively or in any combination, applied to either the individual, the Company as a whole or to a business unit or subsidiary of the Company, either individually, alternatively or in any combination, and measured either annually or cumulatively over a period of years, or on the basis of any other specified period, on an absolute basis or relative to a pre-established target, to previous years’ results or to a designated comparison group or index, and subject to specified adjustments, in each case as specified by the Committee in the Award.</w:t>
      </w:r>
    </w:p>
    <w:p>
      <w:pPr>
        <w:spacing w:after="0" w:line="81"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(ii)  Unless specified otherwise by the Committee at the time the performance goals are established, the Committee shall appropriately adjust the method of evaluating performance under a Qualifying Performance Criteria for a performance period as follows: (a) to exclude asset write-downs, (b) to exclude litigation or claim judgments or settlements, (c) to exclude the effect of changes in tax law, accounting principles or other such laws or provisions affecting reported results, (d) to exclude accruals for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reorganization and restructuring programs, (e)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(f) to exclude the dilutive and/or accretive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(j) to exclude costs incurred in connection with potential acquisitions or divestitures that are required to be expensed under generally accepted accounting principles and (k) to make other appropriate adjustments selected by the Committee.</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Committee shall establish in writing the applicable performance goals (and any variation to the adjustments specified in the preceding subparagraph (ii)), and an objective method for determining the Award earned by a Participant if the goals are attained, while the outcome is substantially uncertain, and shall determine and certify in writing, for each Participant, the extent to which the performance goals have been met prior to payment or vesting of the Award. The Committee may reserve the right, in its sole discretion, to reduce the amount of compensation otherwise payable under the Plan upon the attainment of the pre-established performance goals.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NO EMPLOYMENT RIGHTS.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SECTION 409A.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 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DURATION AND AMENDMENTS.</w:t>
      </w:r>
    </w:p>
    <w:p>
      <w:pPr>
        <w:spacing w:after="0" w:line="119" w:lineRule="exact"/>
        <w:rPr>
          <w:sz w:val="20"/>
          <w:szCs w:val="20"/>
          <w:color w:val="auto"/>
        </w:rPr>
      </w:pPr>
    </w:p>
    <w:p>
      <w:pPr>
        <w:ind w:right="80" w:firstLine="416"/>
        <w:spacing w:after="0" w:line="277" w:lineRule="auto"/>
        <w:rPr>
          <w:sz w:val="20"/>
          <w:szCs w:val="20"/>
          <w:color w:val="auto"/>
        </w:rPr>
      </w:pPr>
      <w:r>
        <w:rPr>
          <w:rFonts w:ascii="Times New Roman" w:cs="Times New Roman" w:eastAsia="Times New Roman" w:hAnsi="Times New Roman"/>
          <w:sz w:val="17"/>
          <w:szCs w:val="17"/>
          <w:i w:val="1"/>
          <w:iCs w:val="1"/>
          <w:color w:val="auto"/>
        </w:rPr>
        <w:t>(a)  Term of the Plan</w:t>
      </w:r>
      <w:r>
        <w:rPr>
          <w:rFonts w:ascii="Times New Roman" w:cs="Times New Roman" w:eastAsia="Times New Roman" w:hAnsi="Times New Roman"/>
          <w:sz w:val="17"/>
          <w:szCs w:val="17"/>
          <w:color w:val="auto"/>
        </w:rPr>
        <w:t>. The Plan, as set forth herein, shall become effective on the Effective Date. No Award may be granted hereunder prior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The Board of Directors may suspend or terminate the Plan at any time. No ISOs may be granted after the tenth anniversary of the earlier of</w:t>
      </w:r>
    </w:p>
    <w:p>
      <w:pPr>
        <w:spacing w:after="0" w:line="1" w:lineRule="exact"/>
        <w:rPr>
          <w:sz w:val="20"/>
          <w:szCs w:val="20"/>
          <w:color w:val="auto"/>
        </w:rPr>
      </w:pPr>
    </w:p>
    <w:p>
      <w:pPr>
        <w:ind w:right="80" w:firstLine="8"/>
        <w:spacing w:after="0" w:line="260"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Plan, as amended and restated herein, is adopted in 2022 by the Board of Directors, or (ii) the date the Plan, as amended and restated herein is approved the stockholders of the Company.</w:t>
      </w:r>
    </w:p>
    <w:p>
      <w:pPr>
        <w:spacing w:after="0" w:line="71"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Right to Amend or Terminate the Plan</w:t>
      </w:r>
      <w:r>
        <w:rPr>
          <w:rFonts w:ascii="Times New Roman" w:cs="Times New Roman" w:eastAsia="Times New Roman" w:hAnsi="Times New Roman"/>
          <w:sz w:val="18"/>
          <w:szCs w:val="18"/>
          <w:color w:val="auto"/>
        </w:rPr>
        <w:t>. The Board of Directors may amend or terminate the Plan at any time and from time to time.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any Award granted before amendment of the Plan shall not be materially impaired by such</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160"/>
        <w:spacing w:after="0" w:line="282" w:lineRule="auto"/>
        <w:rPr>
          <w:sz w:val="20"/>
          <w:szCs w:val="20"/>
          <w:color w:val="auto"/>
        </w:rPr>
      </w:pPr>
      <w:r>
        <w:rPr>
          <w:rFonts w:ascii="Times New Roman" w:cs="Times New Roman" w:eastAsia="Times New Roman" w:hAnsi="Times New Roman"/>
          <w:sz w:val="18"/>
          <w:szCs w:val="18"/>
          <w:color w:val="auto"/>
        </w:rPr>
        <w:t>amendment, except with consent of the Participant. An amendment of the Plan shall be subject to the approval of the Company’s stockholders only to the extent required by applicable laws, regulations or rules.</w:t>
      </w:r>
    </w:p>
    <w:p>
      <w:pPr>
        <w:spacing w:after="0" w:line="52" w:lineRule="exact"/>
        <w:rPr>
          <w:sz w:val="20"/>
          <w:szCs w:val="20"/>
          <w:color w:val="auto"/>
        </w:rPr>
      </w:pPr>
    </w:p>
    <w:p>
      <w:pPr>
        <w:ind w:right="4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Effect of Termination</w:t>
      </w:r>
      <w:r>
        <w:rPr>
          <w:rFonts w:ascii="Times New Roman" w:cs="Times New Roman" w:eastAsia="Times New Roman" w:hAnsi="Times New Roman"/>
          <w:sz w:val="18"/>
          <w:szCs w:val="18"/>
          <w:color w:val="auto"/>
        </w:rPr>
        <w:t>. No Awards shall be granted under the Plan after the termination thereof. The termination of the Plan shall not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previously granted under the Plan.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AWARDS TO NON-U.S. PARTICIPANTS.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FORFEITURE, CANCELLATION OR CLAWBACK OF AWARDS.</w:t>
      </w:r>
    </w:p>
    <w:p>
      <w:pPr>
        <w:spacing w:after="0" w:line="121" w:lineRule="exact"/>
        <w:rPr>
          <w:sz w:val="20"/>
          <w:szCs w:val="20"/>
          <w:color w:val="auto"/>
        </w:rPr>
      </w:pPr>
    </w:p>
    <w:p>
      <w:pPr>
        <w:jc w:val="both"/>
        <w:ind w:right="340" w:firstLine="416"/>
        <w:spacing w:after="0" w:line="261" w:lineRule="auto"/>
        <w:rPr>
          <w:sz w:val="20"/>
          <w:szCs w:val="20"/>
          <w:color w:val="auto"/>
        </w:rPr>
      </w:pPr>
      <w:r>
        <w:rPr>
          <w:rFonts w:ascii="Times New Roman" w:cs="Times New Roman" w:eastAsia="Times New Roman" w:hAnsi="Times New Roman"/>
          <w:sz w:val="18"/>
          <w:szCs w:val="18"/>
          <w:color w:val="auto"/>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7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(b)  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In addition, to the extent claw-back or similar provisions applicable to Awards are required by applicable law, listing standards and/or policies adopted by the Company, Awards granted under the Plan shall be subject to such provisions.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GOVERNING LAW.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28,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Plus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2710 Reed Road, Suite 160</w:t>
      </w:r>
    </w:p>
    <w:p>
      <w:pPr>
        <w:spacing w:after="0"/>
        <w:rPr>
          <w:sz w:val="20"/>
          <w:szCs w:val="20"/>
          <w:color w:val="auto"/>
        </w:rPr>
      </w:pPr>
      <w:r>
        <w:rPr>
          <w:rFonts w:ascii="Times New Roman" w:cs="Times New Roman" w:eastAsia="Times New Roman" w:hAnsi="Times New Roman"/>
          <w:sz w:val="20"/>
          <w:szCs w:val="20"/>
          <w:color w:val="auto"/>
        </w:rPr>
        <w:t>Houston, Texas 77051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Reference is made to the letter agreement, dated as of June 17, 2025 (the “</w:t>
      </w:r>
      <w:r>
        <w:rPr>
          <w:rFonts w:ascii="Times New Roman" w:cs="Times New Roman" w:eastAsia="Times New Roman" w:hAnsi="Times New Roman"/>
          <w:sz w:val="20"/>
          <w:szCs w:val="20"/>
          <w:u w:val="single" w:color="auto"/>
          <w:color w:val="auto"/>
        </w:rPr>
        <w:t>Letter Agreement</w:t>
      </w:r>
      <w:r>
        <w:rPr>
          <w:rFonts w:ascii="Times New Roman" w:cs="Times New Roman" w:eastAsia="Times New Roman" w:hAnsi="Times New Roman"/>
          <w:sz w:val="20"/>
          <w:szCs w:val="20"/>
          <w:color w:val="auto"/>
        </w:rPr>
        <w:t>”), and the letters of support, all of which dated as of July 11, 2025 (the “</w:t>
      </w:r>
      <w:r>
        <w:rPr>
          <w:rFonts w:ascii="Times New Roman" w:cs="Times New Roman" w:eastAsia="Times New Roman" w:hAnsi="Times New Roman"/>
          <w:sz w:val="20"/>
          <w:szCs w:val="20"/>
          <w:u w:val="single" w:color="auto"/>
          <w:color w:val="auto"/>
        </w:rPr>
        <w:t>Support Letters</w:t>
      </w:r>
      <w:r>
        <w:rPr>
          <w:rFonts w:ascii="Times New Roman" w:cs="Times New Roman" w:eastAsia="Times New Roman" w:hAnsi="Times New Roman"/>
          <w:sz w:val="20"/>
          <w:szCs w:val="20"/>
          <w:color w:val="auto"/>
        </w:rPr>
        <w:t>”), each as between Plus Therapeutics,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each of the undersigned other than the Company (each, an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 Capitalized terms used but not defined in this Amendment shall have the meanings ascribed to them in the Letter Agreement. This Amendment shall be effective as of the date hereof as between each Investor and the Company.</w:t>
      </w:r>
    </w:p>
    <w:p>
      <w:pPr>
        <w:spacing w:after="0" w:line="19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consideration of the mutual covenants contained in this Amendment, and for good and valuable consideration the receipt and adequacy of which are hereby acknowledged, each of the Investors and the Company hereby agree as follows:</w:t>
      </w:r>
    </w:p>
    <w:p>
      <w:pPr>
        <w:spacing w:after="0" w:line="173" w:lineRule="exact"/>
        <w:rPr>
          <w:sz w:val="20"/>
          <w:szCs w:val="20"/>
          <w:color w:val="auto"/>
        </w:rPr>
      </w:pPr>
    </w:p>
    <w:p>
      <w:pPr>
        <w:jc w:val="both"/>
        <w:ind w:left="1140" w:hanging="383"/>
        <w:spacing w:after="0" w:line="254" w:lineRule="auto"/>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the Support Letter</w:t>
      </w:r>
      <w:r>
        <w:rPr>
          <w:rFonts w:ascii="Times New Roman" w:cs="Times New Roman" w:eastAsia="Times New Roman" w:hAnsi="Times New Roman"/>
          <w:sz w:val="20"/>
          <w:szCs w:val="20"/>
          <w:color w:val="auto"/>
        </w:rPr>
        <w:t>. The Support Letter between each Investor and the Company shall be terminated in full and rendered null and void, and all past, current, or future obligations of the Company under such Support Letter shall be extinguished.</w:t>
      </w:r>
    </w:p>
    <w:p>
      <w:pPr>
        <w:spacing w:after="0" w:line="18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the Side Letter</w:t>
      </w:r>
      <w:r>
        <w:rPr>
          <w:rFonts w:ascii="Times New Roman" w:cs="Times New Roman" w:eastAsia="Times New Roman" w:hAnsi="Times New Roman"/>
          <w:sz w:val="20"/>
          <w:szCs w:val="20"/>
          <w:color w:val="auto"/>
        </w:rPr>
        <w:t>. Sections 4 and 5 of the Letter Agreement are hereby deleted and replaced with the following:</w:t>
      </w:r>
    </w:p>
    <w:p>
      <w:pPr>
        <w:spacing w:after="0" w:line="229" w:lineRule="exact"/>
        <w:rPr>
          <w:rFonts w:ascii="Times New Roman" w:cs="Times New Roman" w:eastAsia="Times New Roman" w:hAnsi="Times New Roman"/>
          <w:sz w:val="20"/>
          <w:szCs w:val="20"/>
          <w:color w:val="auto"/>
        </w:rPr>
      </w:pPr>
    </w:p>
    <w:p>
      <w:pPr>
        <w:ind w:left="1700" w:hanging="195"/>
        <w:spacing w:after="0"/>
        <w:tabs>
          <w:tab w:leader="none" w:pos="17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700" w:hanging="195"/>
        <w:spacing w:after="0"/>
        <w:tabs>
          <w:tab w:leader="none" w:pos="17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Designated Funds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1880" w:hanging="375"/>
        <w:spacing w:after="0" w:line="243" w:lineRule="auto"/>
        <w:tabs>
          <w:tab w:leader="none" w:pos="18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Obligations to Retain Funds</w:t>
      </w:r>
      <w:r>
        <w:rPr>
          <w:rFonts w:ascii="Times New Roman" w:cs="Times New Roman" w:eastAsia="Times New Roman" w:hAnsi="Times New Roman"/>
          <w:sz w:val="20"/>
          <w:szCs w:val="20"/>
          <w:color w:val="auto"/>
        </w:rPr>
        <w:t>. The Company agrees to retain a sufficient amount of immediately available funds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Funds</w:t>
      </w:r>
      <w:r>
        <w:rPr>
          <w:rFonts w:ascii="Times New Roman" w:cs="Times New Roman" w:eastAsia="Times New Roman" w:hAnsi="Times New Roman"/>
          <w:sz w:val="20"/>
          <w:szCs w:val="20"/>
          <w:color w:val="auto"/>
        </w:rPr>
        <w:t>”) in an interest bearing account for the benefit of Investors to allow the Company to make payments to the Investors pursuant to this Agreement such that after giving effect to such payments, each Investor will have received, since June 17, 2025, cash equal to the product (such amount, the “</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of (i) 115%, multiplied by (ii) the Make-Whole Amount as set forth on the Investor’s signature page attached to this Agreement as of June 17, 2025, either from the Company or from selling any securities received pursuant to the Purchase Agreement or from selling any securities received upon exercise of any securities received pursuant to the Purchase Agreement, in each case, to any third-party, assuming all such Investors have exercised their Call Rights (as defined below) in full with respect to the maximum number of Private Placement Shares, Pre-Funded Warrant Shares and Pre-Funded Warrants then held by them, after giving effect to any Call Forfeitures (as defined below).</w:t>
      </w:r>
    </w:p>
    <w:p>
      <w:pPr>
        <w:spacing w:after="0" w:line="195" w:lineRule="exact"/>
        <w:rPr>
          <w:rFonts w:ascii="Times New Roman" w:cs="Times New Roman" w:eastAsia="Times New Roman" w:hAnsi="Times New Roman"/>
          <w:sz w:val="20"/>
          <w:szCs w:val="20"/>
          <w:color w:val="auto"/>
        </w:rPr>
      </w:pPr>
    </w:p>
    <w:p>
      <w:pPr>
        <w:jc w:val="both"/>
        <w:ind w:left="1500" w:firstLine="5"/>
        <w:spacing w:after="0" w:line="256" w:lineRule="auto"/>
        <w:tabs>
          <w:tab w:leader="none" w:pos="17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Call Right</w:t>
      </w:r>
      <w:r>
        <w:rPr>
          <w:rFonts w:ascii="Times New Roman" w:cs="Times New Roman" w:eastAsia="Times New Roman" w:hAnsi="Times New Roman"/>
          <w:sz w:val="20"/>
          <w:szCs w:val="20"/>
          <w:color w:val="auto"/>
        </w:rPr>
        <w:t>. Each Investor shall have the right to call (the “</w:t>
      </w:r>
      <w:r>
        <w:rPr>
          <w:rFonts w:ascii="Times New Roman" w:cs="Times New Roman" w:eastAsia="Times New Roman" w:hAnsi="Times New Roman"/>
          <w:sz w:val="20"/>
          <w:szCs w:val="20"/>
          <w:u w:val="single" w:color="auto"/>
          <w:color w:val="auto"/>
        </w:rPr>
        <w:t>Call Right</w:t>
      </w:r>
      <w:r>
        <w:rPr>
          <w:rFonts w:ascii="Times New Roman" w:cs="Times New Roman" w:eastAsia="Times New Roman" w:hAnsi="Times New Roman"/>
          <w:sz w:val="20"/>
          <w:szCs w:val="20"/>
          <w:color w:val="auto"/>
        </w:rPr>
        <w:t>”), in full or in part, its portion of the Designated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by returning to the Company any number of Private Placement Shares, Pre-Funded Warrant Shares and/or Pre-Funded Warrants then held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both"/>
        <w:ind w:left="743"/>
        <w:spacing w:after="0" w:line="254" w:lineRule="auto"/>
        <w:rPr>
          <w:sz w:val="20"/>
          <w:szCs w:val="20"/>
          <w:color w:val="auto"/>
        </w:rPr>
      </w:pPr>
      <w:r>
        <w:rPr>
          <w:rFonts w:ascii="Times New Roman" w:cs="Times New Roman" w:eastAsia="Times New Roman" w:hAnsi="Times New Roman"/>
          <w:sz w:val="20"/>
          <w:szCs w:val="20"/>
          <w:color w:val="auto"/>
        </w:rPr>
        <w:t>it, and within five (5) Business Days of receipt of such returned securities, the Company shall pay to the Investor cash at a value of $0.66 per Private Placement Share, $0.66 per Pre-Funded Warrant Share and/or $0.659 per Pre-Funded Warrant, as applicable, so returned.</w:t>
      </w:r>
    </w:p>
    <w:p>
      <w:pPr>
        <w:spacing w:after="0" w:line="184" w:lineRule="exact"/>
        <w:rPr>
          <w:sz w:val="20"/>
          <w:szCs w:val="20"/>
          <w:color w:val="auto"/>
        </w:rPr>
      </w:pPr>
    </w:p>
    <w:p>
      <w:pPr>
        <w:jc w:val="both"/>
        <w:ind w:left="743" w:firstLine="5"/>
        <w:spacing w:after="0" w:line="243" w:lineRule="auto"/>
        <w:tabs>
          <w:tab w:leader="none" w:pos="102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Return Request</w:t>
      </w:r>
      <w:r>
        <w:rPr>
          <w:rFonts w:ascii="Times New Roman" w:cs="Times New Roman" w:eastAsia="Times New Roman" w:hAnsi="Times New Roman"/>
          <w:sz w:val="20"/>
          <w:szCs w:val="20"/>
          <w:color w:val="auto"/>
        </w:rPr>
        <w:t>. Subject to the Investor’s right pursuant to Section 5(b) above, within five (5) Business Days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written request (each, a “</w:t>
      </w:r>
      <w:r>
        <w:rPr>
          <w:rFonts w:ascii="Times New Roman" w:cs="Times New Roman" w:eastAsia="Times New Roman" w:hAnsi="Times New Roman"/>
          <w:sz w:val="20"/>
          <w:szCs w:val="20"/>
          <w:u w:val="single" w:color="auto"/>
          <w:color w:val="auto"/>
        </w:rPr>
        <w:t>Return Request</w:t>
      </w:r>
      <w:r>
        <w:rPr>
          <w:rFonts w:ascii="Times New Roman" w:cs="Times New Roman" w:eastAsia="Times New Roman" w:hAnsi="Times New Roman"/>
          <w:sz w:val="20"/>
          <w:szCs w:val="20"/>
          <w:color w:val="auto"/>
        </w:rPr>
        <w:t>”), each Investor agrees to return any number of Private Placement Shares, Pre-Funded Warrant Shares and/or Pre-Funded Warrants subject to such Return Request (if the securities specified therein are then held by the Investor), and within five (5) Business Days of receipt by the Company of such returned securities, the Company shall pay to such Investor out of any remaining Designated Funds cash at a value of $0.66 per Private Placement Share, $0.66 per Pre-Funded Warrant Share and/or $0.659 per Pre-Funded Warrant, as applicable, so returned to the Company. Notwithstanding anything herein to the contrary, if an Investor notifies the Company in writing within two (2) Business Days of its receipt of a Return Request that such Investor does not wish to return the securities subject to such Return Request, then the Investor shall thereafter forfeit its right to call the number of securities specified in such Return Request pursuant to Section 5(b) above (each, a “</w:t>
      </w:r>
      <w:r>
        <w:rPr>
          <w:rFonts w:ascii="Times New Roman" w:cs="Times New Roman" w:eastAsia="Times New Roman" w:hAnsi="Times New Roman"/>
          <w:sz w:val="20"/>
          <w:szCs w:val="20"/>
          <w:u w:val="single" w:color="auto"/>
          <w:color w:val="auto"/>
        </w:rPr>
        <w:t>Call Forfeiture</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left="383" w:hanging="383"/>
        <w:spacing w:after="0"/>
        <w:tabs>
          <w:tab w:leader="none" w:pos="38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 in Subsequent Financings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123" w:hanging="375"/>
        <w:spacing w:after="0" w:line="242" w:lineRule="auto"/>
        <w:tabs>
          <w:tab w:leader="none" w:pos="112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July 11, 2026, the Investor shall have the right to purchase up to its Pro Rata Portion (as defined below) of the Participation Maximum (as defined below) of the aggregate amount offered by the Company in any Subsequent Financing (as defined below) other than pursuant to the Lincoln Park ELOC Agreement (as defined below) (such Subsequent Financing, a “</w:t>
      </w:r>
      <w:r>
        <w:rPr>
          <w:rFonts w:ascii="Times New Roman" w:cs="Times New Roman" w:eastAsia="Times New Roman" w:hAnsi="Times New Roman"/>
          <w:sz w:val="20"/>
          <w:szCs w:val="20"/>
          <w:u w:val="single" w:color="auto"/>
          <w:color w:val="auto"/>
        </w:rPr>
        <w:t>Qualified Subsequent Financing</w:t>
      </w:r>
      <w:r>
        <w:rPr>
          <w:rFonts w:ascii="Times New Roman" w:cs="Times New Roman" w:eastAsia="Times New Roman" w:hAnsi="Times New Roman"/>
          <w:sz w:val="20"/>
          <w:szCs w:val="20"/>
          <w:color w:val="auto"/>
        </w:rPr>
        <w:t>”) on the same terms, conditions and price offered to the other purchasers in the Qualified Subsequent Financing. To exercise such right, the Investor must respond, within forty-eight (48) hours upon receipt of a notice from the Company that a potential Qualified Subsequent Financing may be available to the Investor, that it intends to participate in such financing pursuant to this Section 3. If the Investor so responds, the Company shall promptly deliver the details of such proposed Qualified Subsequent Financing to the Investor, and the Investor shall then decide whether or not to participate in such financing upon the terms offered.</w:t>
      </w:r>
    </w:p>
    <w:p>
      <w:pPr>
        <w:spacing w:after="0" w:line="205" w:lineRule="exact"/>
        <w:rPr>
          <w:rFonts w:ascii="Times New Roman" w:cs="Times New Roman" w:eastAsia="Times New Roman" w:hAnsi="Times New Roman"/>
          <w:sz w:val="20"/>
          <w:szCs w:val="20"/>
          <w:color w:val="auto"/>
        </w:rPr>
      </w:pPr>
    </w:p>
    <w:p>
      <w:pPr>
        <w:ind w:left="1123" w:hanging="375"/>
        <w:spacing w:after="0" w:line="269" w:lineRule="auto"/>
        <w:tabs>
          <w:tab w:leader="none" w:pos="112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Subsequent Financing</w:t>
      </w:r>
      <w:r>
        <w:rPr>
          <w:rFonts w:ascii="Times New Roman" w:cs="Times New Roman" w:eastAsia="Times New Roman" w:hAnsi="Times New Roman"/>
          <w:sz w:val="20"/>
          <w:szCs w:val="20"/>
          <w:color w:val="auto"/>
        </w:rPr>
        <w:t>” means any capital-raising transaction by the Company on or subsequent to July 1, 2025, whether through an asset sale, sale of equity or debt securities or otherwise.</w:t>
      </w:r>
    </w:p>
    <w:p>
      <w:pPr>
        <w:spacing w:after="0" w:line="172" w:lineRule="exact"/>
        <w:rPr>
          <w:rFonts w:ascii="Times New Roman" w:cs="Times New Roman" w:eastAsia="Times New Roman" w:hAnsi="Times New Roman"/>
          <w:sz w:val="20"/>
          <w:szCs w:val="20"/>
          <w:color w:val="auto"/>
        </w:rPr>
      </w:pPr>
    </w:p>
    <w:p>
      <w:pPr>
        <w:ind w:left="1123" w:hanging="375"/>
        <w:spacing w:after="0" w:line="269" w:lineRule="auto"/>
        <w:tabs>
          <w:tab w:leader="none" w:pos="112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Lincoln Park ELOC Agreement</w:t>
      </w:r>
      <w:r>
        <w:rPr>
          <w:rFonts w:ascii="Times New Roman" w:cs="Times New Roman" w:eastAsia="Times New Roman" w:hAnsi="Times New Roman"/>
          <w:sz w:val="20"/>
          <w:szCs w:val="20"/>
          <w:color w:val="auto"/>
        </w:rPr>
        <w:t>” means that certain Purchase Agreement, dated June 17, 2025, between the Company and Lincoln Park Capital Fund, LLC.</w:t>
      </w:r>
    </w:p>
    <w:p>
      <w:pPr>
        <w:spacing w:after="0" w:line="172" w:lineRule="exact"/>
        <w:rPr>
          <w:rFonts w:ascii="Times New Roman" w:cs="Times New Roman" w:eastAsia="Times New Roman" w:hAnsi="Times New Roman"/>
          <w:sz w:val="20"/>
          <w:szCs w:val="20"/>
          <w:color w:val="auto"/>
        </w:rPr>
      </w:pPr>
    </w:p>
    <w:p>
      <w:pPr>
        <w:jc w:val="both"/>
        <w:ind w:left="1123" w:hanging="375"/>
        <w:spacing w:after="0" w:line="249" w:lineRule="auto"/>
        <w:tabs>
          <w:tab w:leader="none" w:pos="112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Participation Maximum</w:t>
      </w:r>
      <w:r>
        <w:rPr>
          <w:rFonts w:ascii="Times New Roman" w:cs="Times New Roman" w:eastAsia="Times New Roman" w:hAnsi="Times New Roman"/>
          <w:sz w:val="20"/>
          <w:szCs w:val="20"/>
          <w:color w:val="auto"/>
        </w:rPr>
        <w:t>” means (i) 35%, with respect to any Qualified Subsequent Financing intended as a “public offering” under the rules of Nasdaq, and (ii) 50%, with respect to all other Qualified Subsequent Financings, in each case unless the rules of Nasdaq would otherwise prohibit the right granted pursuant to this Section 3 in connection with any right of repayment granted to the Investor under the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1007110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both"/>
        <w:ind w:left="1220" w:hanging="375"/>
        <w:spacing w:after="0" w:line="246" w:lineRule="auto"/>
        <w:tabs>
          <w:tab w:leader="none" w:pos="12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Pro Rata Portion</w:t>
      </w:r>
      <w:r>
        <w:rPr>
          <w:rFonts w:ascii="Times New Roman" w:cs="Times New Roman" w:eastAsia="Times New Roman" w:hAnsi="Times New Roman"/>
          <w:sz w:val="20"/>
          <w:szCs w:val="20"/>
          <w:color w:val="auto"/>
        </w:rPr>
        <w:t>” means the ratio obtained by dividing (x) the Investor’s Maximum Amount, minus the aggregate amount of cash received towards such Maximum Amount pursuant to the Side Letter, by (y) the aggregate amount of the Maximum Amounts of all Investors (including the Investor) who executed Support Letters, minus the aggregate amount of cash received towards such Maximum Amounts pursuant to the Side Letter, in each case calculated as of June 17, 2025.</w:t>
      </w:r>
    </w:p>
    <w:p>
      <w:pPr>
        <w:spacing w:after="0" w:line="198" w:lineRule="exact"/>
        <w:rPr>
          <w:rFonts w:ascii="Times New Roman" w:cs="Times New Roman" w:eastAsia="Times New Roman" w:hAnsi="Times New Roman"/>
          <w:sz w:val="20"/>
          <w:szCs w:val="20"/>
          <w:color w:val="auto"/>
        </w:rPr>
      </w:pPr>
    </w:p>
    <w:p>
      <w:pPr>
        <w:jc w:val="both"/>
        <w:ind w:left="480" w:hanging="473"/>
        <w:spacing w:after="0" w:line="249"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w:t>
      </w:r>
      <w:r>
        <w:rPr>
          <w:rFonts w:ascii="Times New Roman" w:cs="Times New Roman" w:eastAsia="Times New Roman" w:hAnsi="Times New Roman"/>
          <w:sz w:val="20"/>
          <w:szCs w:val="20"/>
          <w:color w:val="auto"/>
        </w:rPr>
        <w:t>. Upon the date hereof, each reference in the Letter Agreement to “this Agreement”, “hereunder”, “hereof” or words of like import referring to such agreement shall mean and be a reference to the Letter Agreement as modified and amended by this Amendment. Except as expressly modified or waived herein, the terms of the Letter Agreement shall remain in full force and effect.</w:t>
      </w:r>
    </w:p>
    <w:p>
      <w:pPr>
        <w:spacing w:after="0" w:line="189" w:lineRule="exact"/>
        <w:rPr>
          <w:rFonts w:ascii="Times New Roman" w:cs="Times New Roman" w:eastAsia="Times New Roman" w:hAnsi="Times New Roman"/>
          <w:sz w:val="20"/>
          <w:szCs w:val="20"/>
          <w:color w:val="auto"/>
        </w:rPr>
      </w:pPr>
    </w:p>
    <w:p>
      <w:pPr>
        <w:ind w:left="480" w:right="20" w:hanging="473"/>
        <w:spacing w:after="0" w:line="273"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The provisions of Section 12(d) of the Letter Agreement are incorporated herein by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left="480" w:hanging="473"/>
        <w:spacing w:after="0" w:line="254"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Amendment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7" w:lineRule="exact"/>
        <w:rPr>
          <w:rFonts w:ascii="Times New Roman" w:cs="Times New Roman" w:eastAsia="Times New Roman" w:hAnsi="Times New Roman"/>
          <w:sz w:val="20"/>
          <w:szCs w:val="20"/>
          <w:color w:val="auto"/>
        </w:rPr>
      </w:pPr>
    </w:p>
    <w:p>
      <w:pPr>
        <w:jc w:val="both"/>
        <w:ind w:left="480" w:hanging="473"/>
        <w:spacing w:after="0" w:line="245"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892810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w:t>
      </w:r>
    </w:p>
    <w:p>
      <w:pPr>
        <w:spacing w:after="0" w:line="229"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______________________________________________</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Name:</w:t>
      </w:r>
    </w:p>
    <w:p>
      <w:pPr>
        <w:ind w:left="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Securities held by the Investor as of the date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4993005" cy="3130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4993005" cy="313055"/>
                    </a:xfrm>
                    <a:prstGeom prst="rect">
                      <a:avLst/>
                    </a:prstGeom>
                    <a:noFill/>
                  </pic:spPr>
                </pic:pic>
              </a:graphicData>
            </a:graphic>
          </wp:anchor>
        </w:drawing>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3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Private Placement Shares</w:t>
            </w:r>
          </w:p>
        </w:tc>
        <w:tc>
          <w:tcPr>
            <w:tcW w:w="4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33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Pre-Funded Warrant Shares</w:t>
            </w:r>
          </w:p>
        </w:tc>
        <w:tc>
          <w:tcPr>
            <w:tcW w:w="454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3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Pre-Funded Warrants</w:t>
            </w:r>
          </w:p>
        </w:tc>
        <w:tc>
          <w:tcPr>
            <w:tcW w:w="454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3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454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etter</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PLUS THERAPEUTICS, INC.</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__________________________________________</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10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Andrew Sims</w:t>
            </w: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0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688"/>
        </w:trPr>
        <w:tc>
          <w:tcPr>
            <w:tcW w:w="660" w:type="dxa"/>
            <w:vAlign w:val="bottom"/>
          </w:tcPr>
          <w:p>
            <w:pPr>
              <w:spacing w:after="0"/>
              <w:rPr>
                <w:sz w:val="24"/>
                <w:szCs w:val="24"/>
                <w:color w:val="auto"/>
              </w:rPr>
            </w:pPr>
          </w:p>
        </w:tc>
        <w:tc>
          <w:tcPr>
            <w:tcW w:w="10580" w:type="dxa"/>
            <w:vAlign w:val="bottom"/>
          </w:tcPr>
          <w:p>
            <w:pPr>
              <w:ind w:left="2860"/>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etter</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tc>
      </w:tr>
      <w:tr>
        <w:trPr>
          <w:trHeight w:val="1405"/>
        </w:trPr>
        <w:tc>
          <w:tcPr>
            <w:tcW w:w="66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5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jc w:val="both"/>
        <w:ind w:left="1020" w:right="80" w:hanging="479"/>
        <w:spacing w:after="0" w:line="266"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020" w:hanging="479"/>
        <w:spacing w:after="0" w:line="282"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9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 H. Hedrick,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September 30, 2025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95" w:lineRule="exact"/>
        <w:rPr>
          <w:sz w:val="20"/>
          <w:szCs w:val="20"/>
          <w:color w:val="auto"/>
        </w:rPr>
      </w:pPr>
    </w:p>
    <w:p>
      <w:pPr>
        <w:ind w:left="520" w:right="440" w:hanging="512"/>
        <w:spacing w:after="0" w:line="282" w:lineRule="auto"/>
        <w:tabs>
          <w:tab w:leader="none" w:pos="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report of Plus Therapeutics, Inc. that this certification accompanies fully complies with the requirements of Section 13(a) of the Securities Exchange Act of 1934.</w:t>
      </w:r>
    </w:p>
    <w:p>
      <w:pPr>
        <w:spacing w:after="0" w:line="80"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189" w:lineRule="exact"/>
        <w:rPr>
          <w:sz w:val="20"/>
          <w:szCs w:val="20"/>
          <w:color w:val="auto"/>
        </w:rPr>
      </w:pPr>
    </w:p>
    <w:p>
      <w:pPr>
        <w:ind w:left="6660"/>
        <w:spacing w:after="0"/>
        <w:tabs>
          <w:tab w:leader="none" w:pos="7100" w:val="left"/>
        </w:tabs>
        <w:rPr>
          <w:sz w:val="20"/>
          <w:szCs w:val="20"/>
          <w:color w:val="auto"/>
        </w:rPr>
      </w:pPr>
      <w:r>
        <w:rPr>
          <w:rFonts w:ascii="Times New Roman" w:cs="Times New Roman" w:eastAsia="Times New Roman" w:hAnsi="Times New Roman"/>
          <w:sz w:val="18"/>
          <w:szCs w:val="18"/>
          <w:color w:val="auto"/>
        </w:rPr>
        <w:t>By:</w:t>
        <w:tab/>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spacing w:after="0"/>
        <w:tabs>
          <w:tab w:leader="none" w:pos="7100" w:val="left"/>
        </w:tabs>
        <w:rPr>
          <w:sz w:val="20"/>
          <w:szCs w:val="20"/>
          <w:color w:val="auto"/>
        </w:rPr>
      </w:pPr>
      <w:r>
        <w:rPr>
          <w:rFonts w:ascii="Times New Roman" w:cs="Times New Roman" w:eastAsia="Times New Roman" w:hAnsi="Times New Roman"/>
          <w:sz w:val="18"/>
          <w:szCs w:val="18"/>
          <w:color w:val="auto"/>
        </w:rPr>
        <w:t>Dated: October 30, 2025</w:t>
      </w:r>
      <w:r>
        <w:rPr>
          <w:sz w:val="20"/>
          <w:szCs w:val="20"/>
          <w:color w:val="auto"/>
        </w:rPr>
        <w:tab/>
      </w:r>
      <w:r>
        <w:rPr>
          <w:rFonts w:ascii="Times New Roman" w:cs="Times New Roman" w:eastAsia="Times New Roman" w:hAnsi="Times New Roman"/>
          <w:sz w:val="17"/>
          <w:szCs w:val="17"/>
          <w:color w:val="auto"/>
        </w:rPr>
        <w:t>Marc H. Hedrick</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660"/>
        <w:spacing w:after="0"/>
        <w:tabs>
          <w:tab w:leader="none" w:pos="7100" w:val="left"/>
        </w:tabs>
        <w:rPr>
          <w:sz w:val="20"/>
          <w:szCs w:val="20"/>
          <w:color w:val="auto"/>
        </w:rPr>
      </w:pPr>
      <w:r>
        <w:rPr>
          <w:rFonts w:ascii="Times New Roman" w:cs="Times New Roman" w:eastAsia="Times New Roman" w:hAnsi="Times New Roman"/>
          <w:sz w:val="18"/>
          <w:szCs w:val="18"/>
          <w:color w:val="auto"/>
        </w:rPr>
        <w:t>By:</w:t>
        <w:tab/>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spacing w:after="0"/>
        <w:tabs>
          <w:tab w:leader="none" w:pos="7100" w:val="left"/>
        </w:tabs>
        <w:rPr>
          <w:sz w:val="20"/>
          <w:szCs w:val="20"/>
          <w:color w:val="auto"/>
        </w:rPr>
      </w:pPr>
      <w:r>
        <w:rPr>
          <w:rFonts w:ascii="Times New Roman" w:cs="Times New Roman" w:eastAsia="Times New Roman" w:hAnsi="Times New Roman"/>
          <w:sz w:val="18"/>
          <w:szCs w:val="18"/>
          <w:color w:val="auto"/>
        </w:rPr>
        <w:t>Dated: October 30, 2025</w:t>
      </w:r>
      <w:r>
        <w:rPr>
          <w:sz w:val="20"/>
          <w:szCs w:val="20"/>
          <w:color w:val="auto"/>
        </w:rPr>
        <w:tab/>
      </w:r>
      <w:r>
        <w:rPr>
          <w:rFonts w:ascii="Times New Roman" w:cs="Times New Roman" w:eastAsia="Times New Roman" w:hAnsi="Times New Roman"/>
          <w:sz w:val="17"/>
          <w:szCs w:val="17"/>
          <w:color w:val="auto"/>
        </w:rPr>
        <w:t>Andrew Sims</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&amp; VP of Finance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7"/>
    </w:lvl>
  </w:abstractNum>
  <w:abstractNum w:abstractNumId="7">
    <w:nsid w:val="333AB105"/>
    <w:multiLevelType w:val="hybridMultilevel"/>
    <w:lvl w:ilvl="0">
      <w:lvlJc w:val="left"/>
      <w:lvlText w:val="%1."/>
      <w:numFmt w:val="decimal"/>
      <w:start w:val="8"/>
    </w:lvl>
  </w:abstractNum>
  <w:abstractNum w:abstractNumId="8">
    <w:nsid w:val="721DA317"/>
    <w:multiLevelType w:val="hybridMultilevel"/>
    <w:lvl w:ilvl="0">
      <w:lvlJc w:val="left"/>
      <w:lvlText w:val="%1."/>
      <w:numFmt w:val="decimal"/>
      <w:start w:val="9"/>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1"/>
    </w:lvl>
  </w:abstractNum>
  <w:abstractNum w:abstractNumId="11">
    <w:nsid w:val="6763845E"/>
    <w:multiLevelType w:val="hybridMultilevel"/>
    <w:lvl w:ilvl="0">
      <w:lvlJc w:val="left"/>
      <w:lvlText w:val="%1."/>
      <w:numFmt w:val="decimal"/>
      <w:start w:val="12"/>
    </w:lvl>
  </w:abstractNum>
  <w:abstractNum w:abstractNumId="12">
    <w:nsid w:val="75A2A8D4"/>
    <w:multiLevelType w:val="hybridMultilevel"/>
    <w:lvl w:ilvl="0">
      <w:lvlJc w:val="left"/>
      <w:lvlText w:val="%1."/>
      <w:numFmt w:val="decimal"/>
      <w:start w:val="13"/>
    </w:lvl>
  </w:abstractNum>
  <w:abstractNum w:abstractNumId="13">
    <w:nsid w:val="8EDBDAB"/>
    <w:multiLevelType w:val="hybridMultilevel"/>
    <w:lvl w:ilvl="0">
      <w:lvlJc w:val="left"/>
      <w:lvlText w:val="(%1)"/>
      <w:numFmt w:val="lowerRoman"/>
      <w:start w:val="2"/>
    </w:lvl>
  </w:abstractNum>
  <w:abstractNum w:abstractNumId="14">
    <w:nsid w:val="79838CB2"/>
    <w:multiLevelType w:val="hybridMultilevel"/>
    <w:lvl w:ilvl="0">
      <w:lvlJc w:val="left"/>
      <w:lvlText w:val="%1."/>
      <w:numFmt w:val="decimal"/>
      <w:start w:val="14"/>
    </w:lvl>
  </w:abstractNum>
  <w:abstractNum w:abstractNumId="15">
    <w:nsid w:val="4353D0CD"/>
    <w:multiLevelType w:val="hybridMultilevel"/>
    <w:lvl w:ilvl="0">
      <w:lvlJc w:val="left"/>
      <w:lvlText w:val="%1."/>
      <w:numFmt w:val="decimal"/>
      <w:start w:val="15"/>
    </w:lvl>
  </w:abstractNum>
  <w:abstractNum w:abstractNumId="16">
    <w:nsid w:val="B03E0C6"/>
    <w:multiLevelType w:val="hybridMultilevel"/>
    <w:lvl w:ilvl="0">
      <w:lvlJc w:val="left"/>
      <w:lvlText w:val="%1."/>
      <w:numFmt w:val="decimal"/>
      <w:start w:val="16"/>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decimal"/>
      <w:start w:val="1"/>
    </w:lvl>
    <w:lvl w:ilvl="1">
      <w:lvlJc w:val="left"/>
      <w:lvlText w:val="%2."/>
      <w:numFmt w:val="decimal"/>
      <w:start w:val="4"/>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1"/>
    </w:lvl>
    <w:lvl w:ilvl="1">
      <w:lvlJc w:val="left"/>
      <w:lvlText w:val="(%2)"/>
      <w:numFmt w:val="lowerLetter"/>
      <w:start w:val="3"/>
    </w:lvl>
  </w:abstractNum>
  <w:abstractNum w:abstractNumId="29">
    <w:nsid w:val="22221A70"/>
    <w:multiLevelType w:val="hybridMultilevel"/>
    <w:lvl w:ilvl="0">
      <w:lvlJc w:val="left"/>
      <w:lvlText w:val="(%1)"/>
      <w:numFmt w:val="decimal"/>
      <w:start w:val="3"/>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5"/>
    </w:lvl>
  </w:abstractNum>
  <w:abstractNum w:abstractNumId="31">
    <w:nsid w:val="3006C83E"/>
    <w:multiLevelType w:val="hybridMultilevel"/>
    <w:lvl w:ilvl="0">
      <w:lvlJc w:val="left"/>
      <w:lvlText w:val="(%1)"/>
      <w:numFmt w:val="decimal"/>
      <w:start w:val="4"/>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295" Type="http://schemas.openxmlformats.org/officeDocument/2006/relationships/hyperlink" Target="https://www.sec.gov/Archives/edgar/data/0001095981/000114036116057505/ex3_1.htm" TargetMode="External"/><Relationship Id="rId296" Type="http://schemas.openxmlformats.org/officeDocument/2006/relationships/hyperlink" Target="https://www.sec.gov/Archives/edgar/data/0001095981/000109598116000063/ex3_1.htm" TargetMode="External"/><Relationship Id="rId297" Type="http://schemas.openxmlformats.org/officeDocument/2006/relationships/hyperlink" Target="https://www.sec.gov/Archives/edgar/data/0001095981/000156459018014245/cytx-ex31_6.htm" TargetMode="External"/><Relationship Id="rId298" Type="http://schemas.openxmlformats.org/officeDocument/2006/relationships/hyperlink" Target="https://www.sec.gov/Archives/edgar/data/1095981/000156459019026454/cytx-ex31_6.htm" TargetMode="External"/><Relationship Id="rId299" Type="http://schemas.openxmlformats.org/officeDocument/2006/relationships/hyperlink" Target="https://www.sec.gov/Archives/edgar/data/0001095981/000156459019028996/pstv-ex31_18.htm" TargetMode="External"/><Relationship Id="rId300" Type="http://schemas.openxmlformats.org/officeDocument/2006/relationships/hyperlink" Target="https://www.sec.gov/Archives/edgar/data/0001095981/000119312523127227/d475493dex31.htm" TargetMode="External"/><Relationship Id="rId301" Type="http://schemas.openxmlformats.org/officeDocument/2006/relationships/hyperlink" Target="https://www.sec.gov/Archives/edgar/data/1095981/000095017025062742/pstv-ex3_1.htm" TargetMode="External"/><Relationship Id="rId302" Type="http://schemas.openxmlformats.org/officeDocument/2006/relationships/hyperlink" Target="https://www.sec.gov/Archives/edgar/data/0001095981/000119312521277718/d164672dex31.htm" TargetMode="External"/><Relationship Id="rId303" Type="http://schemas.openxmlformats.org/officeDocument/2006/relationships/hyperlink" Target="https://www.sec.gov/Archives/edgar/data/1095981/000156459017024297/cytx-ex31_6.htm" TargetMode="External"/><Relationship Id="rId304" Type="http://schemas.openxmlformats.org/officeDocument/2006/relationships/hyperlink" Target="https://www.sec.gov/Archives/edgar/data/1095981/000156459018017443/cytx-ex31_7.htm" TargetMode="External"/><Relationship Id="rId305" Type="http://schemas.openxmlformats.org/officeDocument/2006/relationships/hyperlink" Target="https://www.sec.gov/Archives/edgar/data/1095981/000156459020014165/pstv-ex41_202.htm" TargetMode="External"/><Relationship Id="rId306" Type="http://schemas.openxmlformats.org/officeDocument/2006/relationships/hyperlink" Target="https://www.sec.gov/Archives/edgar/data/1095981/000156459018005136/cytx-ex433_277.htm" TargetMode="External"/><Relationship Id="rId307" Type="http://schemas.openxmlformats.org/officeDocument/2006/relationships/hyperlink" Target="https://www.sec.gov/ix?doc=/Archives/edgar/data/0001095981/000119312524135399/d827838d8k.htm" TargetMode="External"/><Relationship Id="rId308" Type="http://schemas.openxmlformats.org/officeDocument/2006/relationships/hyperlink" Target="https://www.sec.gov/ix?doc=/Archives/edgar/data/0001095981/000095017024097091/pstv-20240630.htm" TargetMode="External"/><Relationship Id="rId309" Type="http://schemas.openxmlformats.org/officeDocument/2006/relationships/hyperlink" Target="https://www.sec.gov/Archives/edgar/data/1095981/000119312525028151/d916701dex41.htm" TargetMode="External"/><Relationship Id="rId310" Type="http://schemas.openxmlformats.org/officeDocument/2006/relationships/hyperlink" Target="https://www.sec.gov/Archives/edgar/data/1095981/000119312525028151/d916701dex42.htm" TargetMode="External"/><Relationship Id="rId311" Type="http://schemas.openxmlformats.org/officeDocument/2006/relationships/hyperlink" Target="https://www.sec.gov/Archives/edgar/data/1095981/000119312525045305/d875007dex41.htm" TargetMode="External"/><Relationship Id="rId312" Type="http://schemas.openxmlformats.org/officeDocument/2006/relationships/hyperlink" Target="https://www.sec.gov/Archives/edgar/data/1095981/000119312525142093/d942989dex41.htm" TargetMode="External"/><Relationship Id="rId315" Type="http://schemas.openxmlformats.org/officeDocument/2006/relationships/hyperlink" Target="https://www.sec.gov/Archives/edgar/data/1095981/000119312525178940/d942543dex10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2025-10-30T18:28:04Z</dcterms:created>
  <dcterms:modified xsi:type="dcterms:W3CDTF">2025-10-30T18:28:04Z</dcterms:modified>
</cp:coreProperties>
</file>