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fiscal year ended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7" w:lineRule="exact"/>
        <w:rPr>
          <w:sz w:val="24"/>
          <w:szCs w:val="24"/>
          <w:color w:val="auto"/>
        </w:rPr>
      </w:pPr>
    </w:p>
    <w:p>
      <w:pPr>
        <w:ind w:left="422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PLUS THERAPEUTICS,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3800" w:type="dxa"/>
            <w:vAlign w:val="bottom"/>
            <w:gridSpan w:val="2"/>
          </w:tcPr>
          <w:p>
            <w:pPr>
              <w:jc w:val="center"/>
              <w:ind w:left="177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60" w:type="dxa"/>
            <w:vAlign w:val="bottom"/>
          </w:tcPr>
          <w:p>
            <w:pPr>
              <w:spacing w:after="0"/>
              <w:rPr>
                <w:sz w:val="13"/>
                <w:szCs w:val="13"/>
                <w:color w:val="auto"/>
              </w:rPr>
            </w:pPr>
          </w:p>
        </w:tc>
        <w:tc>
          <w:tcPr>
            <w:tcW w:w="3680" w:type="dxa"/>
            <w:vAlign w:val="bottom"/>
            <w:gridSpan w:val="2"/>
          </w:tcPr>
          <w:p>
            <w:pPr>
              <w:jc w:val="right"/>
              <w:ind w:right="2394"/>
              <w:spacing w:after="0"/>
              <w:rPr>
                <w:sz w:val="20"/>
                <w:szCs w:val="20"/>
                <w:color w:val="auto"/>
              </w:rPr>
            </w:pPr>
            <w:r>
              <w:rPr>
                <w:rFonts w:ascii="Times New Roman" w:cs="Times New Roman" w:eastAsia="Times New Roman" w:hAnsi="Times New Roman"/>
                <w:sz w:val="14"/>
                <w:szCs w:val="14"/>
                <w:b w:val="1"/>
                <w:bCs w:val="1"/>
                <w:color w:val="auto"/>
              </w:rPr>
              <w:t>33-0827593</w:t>
            </w:r>
          </w:p>
        </w:tc>
      </w:tr>
      <w:tr>
        <w:trPr>
          <w:trHeight w:val="148"/>
        </w:trPr>
        <w:tc>
          <w:tcPr>
            <w:tcW w:w="3800" w:type="dxa"/>
            <w:vAlign w:val="bottom"/>
            <w:gridSpan w:val="2"/>
          </w:tcPr>
          <w:p>
            <w:pPr>
              <w:jc w:val="center"/>
              <w:ind w:left="1752"/>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60" w:type="dxa"/>
            <w:vAlign w:val="bottom"/>
          </w:tcPr>
          <w:p>
            <w:pPr>
              <w:jc w:val="center"/>
              <w:ind w:right="219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800" w:type="dxa"/>
            <w:vAlign w:val="bottom"/>
            <w:gridSpan w:val="2"/>
          </w:tcPr>
          <w:p>
            <w:pPr>
              <w:jc w:val="center"/>
              <w:ind w:left="1752"/>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60" w:type="dxa"/>
            <w:vAlign w:val="bottom"/>
          </w:tcPr>
          <w:p>
            <w:pPr>
              <w:jc w:val="center"/>
              <w:ind w:right="219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00"/>
        </w:trPr>
        <w:tc>
          <w:tcPr>
            <w:tcW w:w="7560" w:type="dxa"/>
            <w:vAlign w:val="bottom"/>
            <w:gridSpan w:val="3"/>
          </w:tcPr>
          <w:p>
            <w:pPr>
              <w:jc w:val="center"/>
              <w:ind w:right="1891"/>
              <w:spacing w:after="0"/>
              <w:rPr>
                <w:sz w:val="20"/>
                <w:szCs w:val="20"/>
                <w:color w:val="auto"/>
              </w:rPr>
            </w:pPr>
            <w:r>
              <w:rPr>
                <w:rFonts w:ascii="Times New Roman" w:cs="Times New Roman" w:eastAsia="Times New Roman" w:hAnsi="Times New Roman"/>
                <w:sz w:val="14"/>
                <w:szCs w:val="14"/>
                <w:b w:val="1"/>
                <w:bCs w:val="1"/>
                <w:color w:val="auto"/>
              </w:rPr>
              <w:t>6420 LEVIT GREEN BOULEVARD, SUITE 310, HOUSTON, TX</w:t>
            </w:r>
          </w:p>
        </w:tc>
        <w:tc>
          <w:tcPr>
            <w:tcW w:w="3680" w:type="dxa"/>
            <w:vAlign w:val="bottom"/>
            <w:gridSpan w:val="2"/>
          </w:tcPr>
          <w:p>
            <w:pPr>
              <w:jc w:val="right"/>
              <w:ind w:right="2554"/>
              <w:spacing w:after="0"/>
              <w:rPr>
                <w:sz w:val="20"/>
                <w:szCs w:val="20"/>
                <w:color w:val="auto"/>
              </w:rPr>
            </w:pPr>
            <w:r>
              <w:rPr>
                <w:rFonts w:ascii="Times New Roman" w:cs="Times New Roman" w:eastAsia="Times New Roman" w:hAnsi="Times New Roman"/>
                <w:sz w:val="14"/>
                <w:szCs w:val="14"/>
                <w:b w:val="1"/>
                <w:bCs w:val="1"/>
                <w:color w:val="auto"/>
              </w:rPr>
              <w:t>77021</w:t>
            </w:r>
          </w:p>
        </w:tc>
      </w:tr>
      <w:tr>
        <w:trPr>
          <w:trHeight w:val="178"/>
        </w:trPr>
        <w:tc>
          <w:tcPr>
            <w:tcW w:w="7560" w:type="dxa"/>
            <w:vAlign w:val="bottom"/>
            <w:gridSpan w:val="3"/>
          </w:tcPr>
          <w:p>
            <w:pPr>
              <w:jc w:val="center"/>
              <w:ind w:right="185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0" w:type="dxa"/>
            <w:vAlign w:val="bottom"/>
          </w:tcPr>
          <w:p>
            <w:pPr>
              <w:spacing w:after="0"/>
              <w:rPr>
                <w:sz w:val="15"/>
                <w:szCs w:val="15"/>
                <w:color w:val="auto"/>
              </w:rPr>
            </w:pPr>
          </w:p>
        </w:tc>
        <w:tc>
          <w:tcPr>
            <w:tcW w:w="3360" w:type="dxa"/>
            <w:vAlign w:val="bottom"/>
          </w:tcPr>
          <w:p>
            <w:pPr>
              <w:jc w:val="center"/>
              <w:ind w:right="219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20"/>
        </w:trPr>
        <w:tc>
          <w:tcPr>
            <w:tcW w:w="3380" w:type="dxa"/>
            <w:vAlign w:val="bottom"/>
          </w:tcPr>
          <w:p>
            <w:pPr>
              <w:spacing w:after="0"/>
              <w:rPr>
                <w:sz w:val="19"/>
                <w:szCs w:val="19"/>
                <w:color w:val="auto"/>
              </w:rPr>
            </w:pPr>
          </w:p>
        </w:tc>
        <w:tc>
          <w:tcPr>
            <w:tcW w:w="7860" w:type="dxa"/>
            <w:vAlign w:val="bottom"/>
            <w:gridSpan w:val="4"/>
          </w:tcPr>
          <w:p>
            <w:pPr>
              <w:jc w:val="center"/>
              <w:ind w:right="331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(737) 255-7194</w:t>
            </w:r>
          </w:p>
        </w:tc>
      </w:tr>
      <w:tr>
        <w:trPr>
          <w:trHeight w:val="230"/>
        </w:trPr>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01"/>
        </w:trPr>
        <w:tc>
          <w:tcPr>
            <w:tcW w:w="3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r>
      <w:tr>
        <w:trPr>
          <w:trHeight w:val="122"/>
        </w:trPr>
        <w:tc>
          <w:tcPr>
            <w:tcW w:w="3380" w:type="dxa"/>
            <w:vAlign w:val="bottom"/>
            <w:tcBorders>
              <w:left w:val="single" w:sz="8" w:color="auto"/>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Title of each class</w:t>
            </w:r>
          </w:p>
        </w:tc>
        <w:tc>
          <w:tcPr>
            <w:tcW w:w="4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jc w:val="center"/>
              <w:ind w:right="51"/>
              <w:spacing w:after="0" w:line="102" w:lineRule="exact"/>
              <w:rPr>
                <w:sz w:val="20"/>
                <w:szCs w:val="20"/>
                <w:color w:val="auto"/>
              </w:rPr>
            </w:pPr>
            <w:r>
              <w:rPr>
                <w:rFonts w:ascii="Times New Roman" w:cs="Times New Roman" w:eastAsia="Times New Roman" w:hAnsi="Times New Roman"/>
                <w:sz w:val="11"/>
                <w:szCs w:val="11"/>
                <w:b w:val="1"/>
                <w:bCs w:val="1"/>
                <w:color w:val="auto"/>
              </w:rPr>
              <w:t>Trading Symbol(s)</w:t>
            </w:r>
          </w:p>
        </w:tc>
        <w:tc>
          <w:tcPr>
            <w:tcW w:w="320" w:type="dxa"/>
            <w:vAlign w:val="bottom"/>
            <w:tcBorders>
              <w:bottom w:val="single" w:sz="8" w:color="auto"/>
              <w:right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25"/>
        </w:trPr>
        <w:tc>
          <w:tcPr>
            <w:tcW w:w="3380" w:type="dxa"/>
            <w:vAlign w:val="bottom"/>
            <w:tcBorders>
              <w:left w:val="single" w:sz="8" w:color="auto"/>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2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jc w:val="center"/>
              <w:ind w:right="51"/>
              <w:spacing w:after="0" w:line="125" w:lineRule="exact"/>
              <w:rPr>
                <w:sz w:val="20"/>
                <w:szCs w:val="20"/>
                <w:color w:val="auto"/>
              </w:rPr>
            </w:pPr>
            <w:r>
              <w:rPr>
                <w:rFonts w:ascii="Times New Roman" w:cs="Times New Roman" w:eastAsia="Times New Roman" w:hAnsi="Times New Roman"/>
                <w:sz w:val="14"/>
                <w:szCs w:val="14"/>
                <w:color w:val="auto"/>
              </w:rPr>
              <w:t>PSTV</w:t>
            </w:r>
          </w:p>
        </w:tc>
        <w:tc>
          <w:tcPr>
            <w:tcW w:w="320" w:type="dxa"/>
            <w:vAlign w:val="bottom"/>
            <w:tcBorders>
              <w:bottom w:val="single" w:sz="8" w:color="auto"/>
              <w:right w:val="single" w:sz="8" w:color="auto"/>
            </w:tcBorders>
          </w:tcPr>
          <w:p>
            <w:pPr>
              <w:spacing w:after="0"/>
              <w:rPr>
                <w:sz w:val="10"/>
                <w:szCs w:val="10"/>
                <w:color w:val="auto"/>
              </w:rPr>
            </w:pPr>
          </w:p>
        </w:tc>
        <w:tc>
          <w:tcPr>
            <w:tcW w:w="33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Nasdaq Capital Market</w:t>
            </w:r>
          </w:p>
        </w:tc>
      </w:tr>
      <w:tr>
        <w:trPr>
          <w:trHeight w:val="227"/>
        </w:trPr>
        <w:tc>
          <w:tcPr>
            <w:tcW w:w="3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76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320" w:type="dxa"/>
            <w:vAlign w:val="bottom"/>
          </w:tcPr>
          <w:p>
            <w:pPr>
              <w:spacing w:after="0"/>
              <w:rPr>
                <w:sz w:val="19"/>
                <w:szCs w:val="19"/>
                <w:color w:val="auto"/>
              </w:rPr>
            </w:pPr>
          </w:p>
        </w:tc>
        <w:tc>
          <w:tcPr>
            <w:tcW w:w="3360" w:type="dxa"/>
            <w:vAlign w:val="bottom"/>
          </w:tcPr>
          <w:p>
            <w:pPr>
              <w:spacing w:after="0"/>
              <w:rPr>
                <w:sz w:val="19"/>
                <w:szCs w:val="19"/>
                <w:color w:val="auto"/>
              </w:rPr>
            </w:pPr>
          </w:p>
        </w:tc>
      </w:tr>
      <w:tr>
        <w:trPr>
          <w:trHeight w:val="199"/>
        </w:trPr>
        <w:tc>
          <w:tcPr>
            <w:tcW w:w="3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76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rPr>
              <w:t>None.</w:t>
            </w:r>
          </w:p>
        </w:tc>
        <w:tc>
          <w:tcPr>
            <w:tcW w:w="3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42"/>
        </w:trPr>
        <w:tc>
          <w:tcPr>
            <w:tcW w:w="7560" w:type="dxa"/>
            <w:vAlign w:val="bottom"/>
            <w:gridSpan w:val="3"/>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68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61" w:lineRule="exact"/>
        <w:tabs>
          <w:tab w:leader="none" w:pos="8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58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ind w:left="2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436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6"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0"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aggregate market value of the common stock of the registrant held by non-affiliates of the registrant on June 30, 2025, the last business day of the registrant’s most recently completed second fiscal quarter, was $31.9 million based on the closing sales price of the registrant’s common stock on June 30, 2025 as reported on the Nasdaq Capital Market, of $0.35 per share.</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10, 2026, there were 171,550,698 shares of the registrant’s common stock issued and outstanding.</w:t>
      </w:r>
    </w:p>
    <w:p>
      <w:pPr>
        <w:spacing w:after="0" w:line="6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8" w:lineRule="exact"/>
        <w:rPr>
          <w:sz w:val="24"/>
          <w:szCs w:val="24"/>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which will be filed with the United States Securities and Exchange Commission within 120 days of December 31,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 FOR THE 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20" w:type="dxa"/>
            <w:vAlign w:val="bottom"/>
            <w:gridSpan w:val="7"/>
            <w:vMerge w:val="restart"/>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20" w:type="dxa"/>
            <w:vAlign w:val="bottom"/>
            <w:gridSpan w:val="7"/>
            <w:vMerge w:val="continue"/>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680" w:type="dxa"/>
            <w:vAlign w:val="bottom"/>
            <w:gridSpan w:val="17"/>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8420" w:type="dxa"/>
            <w:vAlign w:val="bottom"/>
            <w:gridSpan w:val="1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IC.</w:t>
            </w:r>
          </w:p>
        </w:tc>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9"/>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8320" w:type="dxa"/>
            <w:vAlign w:val="bottom"/>
            <w:gridSpan w:val="1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8500" w:type="dxa"/>
            <w:vAlign w:val="bottom"/>
            <w:gridSpan w:val="1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Borders>
              <w:top w:val="single" w:sz="8" w:color="0000EE"/>
            </w:tcBorders>
            <w:gridSpan w:val="2"/>
          </w:tcPr>
          <w:p>
            <w:pPr>
              <w:spacing w:after="0"/>
              <w:rPr>
                <w:sz w:val="17"/>
                <w:szCs w:val="17"/>
                <w:color w:val="auto"/>
              </w:rPr>
            </w:pPr>
          </w:p>
        </w:tc>
        <w:tc>
          <w:tcPr>
            <w:tcW w:w="2860" w:type="dxa"/>
            <w:vAlign w:val="bottom"/>
            <w:gridSpan w:val="4"/>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4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560" w:type="dxa"/>
            <w:vAlign w:val="bottom"/>
            <w:gridSpan w:val="11"/>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20" w:type="dxa"/>
            <w:vAlign w:val="bottom"/>
            <w:gridSpan w:val="7"/>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752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3"/>
        </w:trPr>
        <w:tc>
          <w:tcPr>
            <w:tcW w:w="114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280" w:type="dxa"/>
            <w:vAlign w:val="bottom"/>
            <w:tcBorders>
              <w:top w:val="single" w:sz="8" w:color="0000EE"/>
              <w:bottom w:val="single" w:sz="8" w:color="9A9A9A"/>
            </w:tcBorders>
          </w:tcPr>
          <w:p>
            <w:pPr>
              <w:spacing w:after="0"/>
              <w:rPr>
                <w:sz w:val="24"/>
                <w:szCs w:val="24"/>
                <w:color w:val="auto"/>
              </w:rPr>
            </w:pPr>
          </w:p>
        </w:tc>
        <w:tc>
          <w:tcPr>
            <w:tcW w:w="78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64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800" w:type="dxa"/>
            <w:vAlign w:val="bottom"/>
            <w:tcBorders>
              <w:top w:val="single" w:sz="8" w:color="0000EE"/>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7440" w:type="dxa"/>
            <w:vAlign w:val="bottom"/>
            <w:gridSpan w:val="5"/>
          </w:tcPr>
          <w:p>
            <w:pPr>
              <w:spacing w:after="0"/>
              <w:rPr>
                <w:sz w:val="17"/>
                <w:szCs w:val="17"/>
                <w:color w:val="auto"/>
              </w:rPr>
            </w:pPr>
          </w:p>
        </w:tc>
        <w:tc>
          <w:tcPr>
            <w:tcW w:w="2480" w:type="dxa"/>
            <w:vAlign w:val="bottom"/>
          </w:tcPr>
          <w:p>
            <w:pPr>
              <w:spacing w:after="0"/>
              <w:rPr>
                <w:sz w:val="17"/>
                <w:szCs w:val="17"/>
                <w:color w:val="auto"/>
              </w:rPr>
            </w:pPr>
          </w:p>
        </w:tc>
      </w:tr>
      <w:tr>
        <w:trPr>
          <w:trHeight w:val="41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16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453"/>
        </w:trPr>
        <w:tc>
          <w:tcPr>
            <w:tcW w:w="11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72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480" w:type="dxa"/>
            <w:vAlign w:val="bottom"/>
          </w:tcPr>
          <w:p>
            <w:pPr>
              <w:spacing w:after="0"/>
              <w:rPr>
                <w:sz w:val="24"/>
                <w:szCs w:val="24"/>
                <w:color w:val="auto"/>
              </w:rPr>
            </w:pPr>
          </w:p>
        </w:tc>
      </w:tr>
      <w:tr>
        <w:trPr>
          <w:trHeight w:val="392"/>
        </w:trPr>
        <w:tc>
          <w:tcPr>
            <w:tcW w:w="1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4720" w:type="dxa"/>
            <w:vAlign w:val="bottom"/>
            <w:gridSpan w:val="2"/>
          </w:tcPr>
          <w:p>
            <w:pPr>
              <w:spacing w:after="0"/>
              <w:rPr>
                <w:sz w:val="24"/>
                <w:szCs w:val="24"/>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7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2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432"/>
        </w:trPr>
        <w:tc>
          <w:tcPr>
            <w:tcW w:w="1140" w:type="dxa"/>
            <w:vAlign w:val="bottom"/>
            <w:tcBorders>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360" w:type="dxa"/>
            <w:vAlign w:val="bottom"/>
            <w:tcBorders>
              <w:top w:val="single" w:sz="8" w:color="0000EE"/>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report contains certain statements that may be deemed “forward-looking statements” within the meaning of U.S. securities laws, including statements regarding clinical trials, expected operations and upcoming developments. All statements, other than statements of historical fact, that address activities, events or developments that we intend, expect, project, believe or anticipate and similar expressions or future conditional verbs such as will, should, would, could or may occur in the future are forward-looking statements.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These statements include, without limitation, statements about our anticipated expenditures, including research and development, and general and administrative expenses; our intent or ability to regain and maintain compliance with Nasdaq listing standards; our strategic collaborations and license agreements, intellectual property, U.S. Food and Drug Administration and European Medicines Agency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our ability to satisfy our obligations under the terms of our capital raising transactions including registering shares issuable in such transactions; portions of the “Liquidity and Capital Resources” section of this Annual Report on Form 10-K (“Form 10-K”) including our potential need for additional financing and the availability thereof; our ability to integrate into our business and operations, develop, fully utilize and monetize acquired assets; our ability to continue as a going concern; our ability to repay or refinance some or all of our outstanding indebtedness and our ability to raise capital in the future; our ability to transfer the drug and medical device product manufacturing to a contract drug and medical device manufacturing organization; the potential enhancement of our cash position through development, marketing, and licensing arrangements; our ability to timely and efficiently launch our CNSide® Cerebrospinal Fluid Tumor Cell Enumeration test (the “CNSide Test”), and expand the CNSide platform for Immunocytochemistry (“ICC”), Fluorescence In Situ Hybridization (“FISH”) and Next Generation Sequencing (“NGS”); receipt of grant revenue; and a material security breach or cyber security attack affecting our operations and property. The forward-looking statements included in this report could differ materially from those expressed or implied by these forward-looking statements because of risks, uncertainties and other factors that include, but are not limited to, the risks described under Risk Factors” included below.</w:t>
      </w:r>
    </w:p>
    <w:p>
      <w:pPr>
        <w:spacing w:after="0" w:line="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We encourage you to read the risks described under “Risk Factors” and elsewhere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any forward-looking statements to reflect events, trends or circumstances after the date they are made unless we have an obligation under U.S. federal securities laws to do so. Such forward-looking statements are not guarantees of future performance.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References to “Plus Therapeutics,” the “Company,” “we,” “us” and “our” refer to Plus Therapeutics, Inc. References to “Notes” refer to the Notes to Financial Statements included herein (refer to Item 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8"/>
          <w:szCs w:val="18"/>
          <w:color w:val="auto"/>
        </w:rPr>
        <w:t>Plus Therapeutics is a U.S. healthcare company developing and commercializing precision diagnostics and targeted radiopharmaceuticals for central nervous system (“CNS”) cancers. CNSide Diagnostics, LLC (“CNSide Diagnostics”) is our wholly owned subsidiary that develops and commercializes proprietary laboratory-developed tests, such as CNSide®, designed to identify tumor cells that have metastasized to the central nervous system in patients with carcinomas and melanomas. In radiopharmaceuticals, our lead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9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6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75"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spacing w:after="0" w:line="72"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 Medicaid Services (“CMS”) which deems the lab compliant with Clinical Laboratory Improvement Amendments (“CLIA”) regulations. Furthermore, CNSide Diagnostics has signed national agreements to provide the CNSide Test with UnitedHealthcare Insurance Company and Humana, Inc. effective September 15 and October 29, 2025, respectively. These agreements expand access to more than 67 million covered lives across the United States.</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headquarters is located in Houston, Texas, in proximity to world-class cancer institutions and researchers.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76" w:lineRule="exact"/>
        <w:rPr>
          <w:sz w:val="20"/>
          <w:szCs w:val="20"/>
          <w:color w:val="auto"/>
        </w:rPr>
      </w:pPr>
    </w:p>
    <w:p>
      <w:pPr>
        <w:jc w:val="both"/>
        <w:ind w:firstLine="300"/>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98" w:lineRule="exact"/>
        <w:rPr>
          <w:sz w:val="20"/>
          <w:szCs w:val="20"/>
          <w:color w:val="auto"/>
        </w:rPr>
      </w:pPr>
    </w:p>
    <w:p>
      <w:pPr>
        <w:jc w:val="both"/>
        <w:ind w:firstLine="300"/>
        <w:spacing w:after="0" w:line="243" w:lineRule="auto"/>
        <w:rPr>
          <w:sz w:val="20"/>
          <w:szCs w:val="20"/>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Advantages of Rhenium (</w:t>
      </w:r>
      <w:r>
        <w:rPr>
          <w:rFonts w:ascii="Times New Roman" w:cs="Times New Roman" w:eastAsia="Times New Roman" w:hAnsi="Times New Roman"/>
          <w:sz w:val="24"/>
          <w:szCs w:val="24"/>
          <w:i w:val="1"/>
          <w:iCs w:val="1"/>
          <w:color w:val="auto"/>
          <w:vertAlign w:val="superscript"/>
        </w:rPr>
        <w:t>186</w:t>
      </w:r>
      <w:r>
        <w:rPr>
          <w:rFonts w:ascii="Times New Roman" w:cs="Times New Roman" w:eastAsia="Times New Roman" w:hAnsi="Times New Roman"/>
          <w:sz w:val="18"/>
          <w:szCs w:val="18"/>
          <w:i w:val="1"/>
          <w:iCs w:val="1"/>
          <w:color w:val="auto"/>
        </w:rPr>
        <w:t>Re) obisbemeda as a treatment for Recurrent GBM</w:t>
      </w:r>
    </w:p>
    <w:p>
      <w:pPr>
        <w:spacing w:after="0" w:line="5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0" w:lineRule="exact"/>
        <w:rPr>
          <w:sz w:val="20"/>
          <w:szCs w:val="20"/>
          <w:color w:val="auto"/>
        </w:rPr>
      </w:pPr>
    </w:p>
    <w:p>
      <w:pPr>
        <w:jc w:val="both"/>
        <w:ind w:firstLine="300"/>
        <w:spacing w:after="0" w:line="229"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compared to standard external beam radiotherapy or external beam radiation therapy (“EBRT”) include:</w:t>
      </w:r>
    </w:p>
    <w:p>
      <w:pPr>
        <w:spacing w:after="0" w:line="25" w:lineRule="exact"/>
        <w:rPr>
          <w:sz w:val="20"/>
          <w:szCs w:val="20"/>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EBRT, which, unlike EBRT and proton beam devices, spares normal tissue and the brain from radiation exposure.</w:t>
      </w:r>
    </w:p>
    <w:p>
      <w:pPr>
        <w:spacing w:after="0" w:line="98"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to effectively treat a bulk tumor and microscopic disease that has already invaded healthy tissue.</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9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11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w:t>
      </w:r>
    </w:p>
    <w:p>
      <w:pPr>
        <w:spacing w:after="0" w:line="84"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maximum EBRT limits are typically reached before long-term efficacy is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head-to-head trial with chemo, immune, EBRT or systemic radiopharmaceutical products have been conducted, patient tolerability and safety considerations have been reported as expected.</w:t>
      </w:r>
    </w:p>
    <w:p>
      <w:pPr>
        <w:spacing w:after="0" w:line="92" w:lineRule="exact"/>
        <w:rPr>
          <w:sz w:val="20"/>
          <w:szCs w:val="20"/>
          <w:color w:val="auto"/>
        </w:rPr>
      </w:pPr>
    </w:p>
    <w:p>
      <w:pPr>
        <w:jc w:val="both"/>
        <w:ind w:firstLine="300"/>
        <w:spacing w:after="0" w:line="227" w:lineRule="auto"/>
        <w:rPr>
          <w:sz w:val="20"/>
          <w:szCs w:val="20"/>
          <w:color w:val="auto"/>
        </w:rPr>
      </w:pPr>
      <w:r>
        <w:rPr>
          <w:rFonts w:ascii="Times New Roman" w:cs="Times New Roman" w:eastAsia="Times New Roman" w:hAnsi="Times New Roman"/>
          <w:sz w:val="18"/>
          <w:szCs w:val="18"/>
          <w:color w:val="auto"/>
        </w:rPr>
        <w:t>In 2020, the FDA granted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orphan drug designation for the treatment of GBM and Fast Track designation for the treatment of recurrent GBM.</w:t>
      </w:r>
    </w:p>
    <w:p>
      <w:pPr>
        <w:spacing w:after="0" w:line="97" w:lineRule="exact"/>
        <w:rPr>
          <w:sz w:val="20"/>
          <w:szCs w:val="20"/>
          <w:color w:val="auto"/>
        </w:rPr>
      </w:pPr>
    </w:p>
    <w:p>
      <w:pPr>
        <w:jc w:val="both"/>
        <w:ind w:firstLine="300"/>
        <w:spacing w:after="0" w:line="224"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Phase 1/2 multicenter, sequential cohort, open-label, volume and dose escalation study (“ReSPECT-GBM”) of the safety, tolerability, and distribution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given by CED catheters to patients with recurrent or progressive malignant glioma after standard surgical, radiation, and/or chemotherapy treatment. The trial is funded through Phase 2 in large part by a National Institute of Health/National Cancer Institute grant.</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completed Phase 1 of our ReSPECT-GBM Trial and are targeting full enrollment into Phase 2 by the end of 2026.</w:t>
      </w:r>
    </w:p>
    <w:p>
      <w:pPr>
        <w:spacing w:after="0" w:line="3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ReSPECT-LM Clinical Trials for LM</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68" w:lineRule="exact"/>
        <w:rPr>
          <w:sz w:val="20"/>
          <w:szCs w:val="20"/>
          <w:color w:val="auto"/>
        </w:rPr>
      </w:pPr>
    </w:p>
    <w:p>
      <w:pPr>
        <w:jc w:val="both"/>
        <w:ind w:firstLine="300"/>
        <w:spacing w:after="0" w:line="23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by preclinical studies in which tolerance to doses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98" w:lineRule="exact"/>
        <w:rPr>
          <w:sz w:val="20"/>
          <w:szCs w:val="20"/>
          <w:color w:val="auto"/>
        </w:rPr>
      </w:pPr>
    </w:p>
    <w:p>
      <w:pPr>
        <w:jc w:val="both"/>
        <w:ind w:firstLine="300"/>
        <w:spacing w:after="0" w:line="234"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November 2021, we initiated the trial and began screening patients for the ReSPECT-LM Phase 1 clinical trial in the fourth quarter of 2021.</w:t>
      </w:r>
    </w:p>
    <w:p>
      <w:pPr>
        <w:spacing w:after="0" w:line="90" w:lineRule="exact"/>
        <w:rPr>
          <w:sz w:val="20"/>
          <w:szCs w:val="20"/>
          <w:color w:val="auto"/>
        </w:rPr>
      </w:pPr>
    </w:p>
    <w:p>
      <w:pPr>
        <w:jc w:val="both"/>
        <w:ind w:firstLine="300"/>
        <w:spacing w:after="0" w:line="243" w:lineRule="auto"/>
        <w:rPr>
          <w:sz w:val="20"/>
          <w:szCs w:val="20"/>
          <w:color w:val="auto"/>
        </w:rPr>
      </w:pPr>
      <w:r>
        <w:rPr>
          <w:rFonts w:ascii="Times New Roman" w:cs="Times New Roman" w:eastAsia="Times New Roman" w:hAnsi="Times New Roman"/>
          <w:sz w:val="18"/>
          <w:szCs w:val="18"/>
          <w:color w:val="auto"/>
        </w:rPr>
        <w:t>ReSPECT-LM is a multi-center, sequential cohort, open-label, dose escalation study evaluating the safety, tolerability, and efficacy of a single-dose application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spacing w:after="0" w:line="90" w:lineRule="exact"/>
        <w:rPr>
          <w:sz w:val="20"/>
          <w:szCs w:val="20"/>
          <w:color w:val="auto"/>
        </w:rPr>
      </w:pPr>
    </w:p>
    <w:p>
      <w:pPr>
        <w:jc w:val="both"/>
        <w:ind w:firstLine="300"/>
        <w:spacing w:after="0" w:line="23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 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As of December 31, 2025, we had received approximately $15.9 million in milestone payments under the CPRIT Contract.</w:t>
      </w:r>
    </w:p>
    <w:p>
      <w:pPr>
        <w:spacing w:after="0" w:line="100" w:lineRule="exact"/>
        <w:rPr>
          <w:sz w:val="20"/>
          <w:szCs w:val="20"/>
          <w:color w:val="auto"/>
        </w:rPr>
      </w:pPr>
    </w:p>
    <w:p>
      <w:pPr>
        <w:jc w:val="both"/>
        <w:ind w:firstLine="300"/>
        <w:spacing w:after="0" w:line="218" w:lineRule="auto"/>
        <w:rPr>
          <w:sz w:val="20"/>
          <w:szCs w:val="20"/>
          <w:color w:val="auto"/>
        </w:rPr>
      </w:pPr>
      <w:r>
        <w:rPr>
          <w:rFonts w:ascii="Times New Roman" w:cs="Times New Roman" w:eastAsia="Times New Roman" w:hAnsi="Times New Roman"/>
          <w:sz w:val="18"/>
          <w:szCs w:val="18"/>
          <w:color w:val="auto"/>
        </w:rPr>
        <w:t>Interim results showed that a single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resulted in a consistent decreased cerebrospinal fluid (“CSF”) circulating tumor cell (“CTC”) count/ml and was tolerated by all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breast cancer with LM.</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the CNSide Test.</w:t>
      </w:r>
    </w:p>
    <w:p>
      <w:pPr>
        <w:spacing w:after="0" w:line="117"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March 2025,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patients with lung cancer.</w:t>
      </w:r>
    </w:p>
    <w:p>
      <w:pPr>
        <w:spacing w:after="0" w:line="55"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231F20"/>
        </w:rPr>
        <w:t>In November 2025, we had our end of phase 1 meeting with the FDA. During this meeting, FDA conveyed that while accelerated approval may be appropriate for this indication, there are insufficient data to support the use of CTCs as an intermediate clinical endpoint, and there was discussion that additional steps would be necessary to validate CTCs as a surrogate endpoint to potentially support other future applications. The FDA recommended that the study evaluate an endpoint with established clinical benefit, such as overall survival, while encouraging further study of reported outcomes and neurologic function as endpoints that could potentially support a marketing application. We agreed with FDA that CTCs could be considered for use as a secondary endpoint. We discussed with the FDA a randomized controlled trial design approach and that the study may include an itrathecal chemotherapeutic as a comparator, as well as approaches to standardize the comparator and any additional interventions available under the trial protocol. The FDA conveyed it may be reasonable to incorporate multiple histologies (i.e., multiple underlying disease etiologies) in a single trial. We plan to consider the Agency’s feedback and propose an updated protocol for our next study for FDA’s feedback.</w:t>
      </w:r>
    </w:p>
    <w:p>
      <w:pPr>
        <w:spacing w:after="0" w:line="87" w:lineRule="exact"/>
        <w:rPr>
          <w:sz w:val="20"/>
          <w:szCs w:val="20"/>
          <w:color w:val="auto"/>
        </w:rPr>
      </w:pPr>
    </w:p>
    <w:p>
      <w:pPr>
        <w:jc w:val="both"/>
        <w:ind w:firstLine="300"/>
        <w:spacing w:after="0"/>
        <w:rPr>
          <w:sz w:val="20"/>
          <w:szCs w:val="20"/>
          <w:color w:val="auto"/>
        </w:rPr>
      </w:pPr>
      <w:r>
        <w:rPr>
          <w:rFonts w:ascii="Times New Roman" w:cs="Times New Roman" w:eastAsia="Times New Roman" w:hAnsi="Times New Roman"/>
          <w:sz w:val="18"/>
          <w:szCs w:val="18"/>
          <w:color w:val="auto"/>
        </w:rPr>
        <w:t>In December 2025, we reported completion of the ReSPECT-LM single dose trial showed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well-tolerated up to a maximum tolerated dose of 66mCi, with a recommended phase 2 dose of 44.1 mCi, and absorbed doses delivered of &gt;300 Gy observed. We also reported the ReSPECT-LM open label, multidose Phase 1/2 trial initiation to identify maximum tolerated dose across varying dosing intervals and to characterize efficacy of multiple doses at optimal dose selected by assessing response using the CNSide Test. Enrollment in Cohort 1 has begun with delivery of 13.2 mCi at 3 intervals with one patient receiving all doses without dose limiting toxicity.</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ReSPECT LM Multi-dose Phase 1/2 Study is currently enrolling patients for the Phase 2 portion of the Study.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119" w:lineRule="exact"/>
        <w:rPr>
          <w:sz w:val="20"/>
          <w:szCs w:val="20"/>
          <w:color w:val="auto"/>
        </w:rPr>
      </w:pPr>
    </w:p>
    <w:p>
      <w:pPr>
        <w:jc w:val="both"/>
        <w:ind w:firstLine="347"/>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72" w:lineRule="exact"/>
        <w:rPr>
          <w:sz w:val="20"/>
          <w:szCs w:val="20"/>
          <w:color w:val="auto"/>
        </w:rPr>
      </w:pPr>
    </w:p>
    <w:p>
      <w:pPr>
        <w:jc w:val="both"/>
        <w:ind w:firstLine="348"/>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pre-IND meeting briefing package in which the FDA stated that we are not required to perform any additional preclinical or toxicology studies. A new IND submission was made in 2023.</w:t>
      </w:r>
    </w:p>
    <w:p>
      <w:pPr>
        <w:spacing w:after="0" w:line="68"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8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enrolling our first patient for our Phase 1 ReSPECT-PBC clinical trial in 2026.</w:t>
      </w:r>
    </w:p>
    <w:p>
      <w:pPr>
        <w:spacing w:after="0" w:line="79" w:lineRule="exact"/>
        <w:rPr>
          <w:sz w:val="20"/>
          <w:szCs w:val="20"/>
          <w:color w:val="auto"/>
        </w:rPr>
      </w:pPr>
    </w:p>
    <w:p>
      <w:pPr>
        <w:jc w:val="both"/>
        <w:ind w:firstLine="300"/>
        <w:spacing w:after="0" w:line="224" w:lineRule="auto"/>
        <w:rPr>
          <w:sz w:val="20"/>
          <w:szCs w:val="20"/>
          <w:color w:val="auto"/>
        </w:rPr>
      </w:pPr>
      <w:r>
        <w:rPr>
          <w:rFonts w:ascii="Times New Roman" w:cs="Times New Roman" w:eastAsia="Times New Roman" w:hAnsi="Times New Roman"/>
          <w:sz w:val="18"/>
          <w:szCs w:val="18"/>
          <w:color w:val="auto"/>
        </w:rPr>
        <w:t>On June 25, 2025, we announced that the FDA cleared our IND application (No. 168178)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pediatric patients with supratentorial recurrent, refractory, or progressive high-grade glioma (“HGG”) and ependymoma. The Phase 1/2a trial is a two-part, single-arm, prospective study aimed at determining the maximum tolerated dose (“MTD”), safety, and tolerability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in pediatric patients aged 6 to 21 years (with consideration for patients up to 25 years on a case-by-case basis).</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Key elements of the trial design include:</w:t>
      </w:r>
    </w:p>
    <w:p>
      <w:pPr>
        <w:spacing w:after="0" w:line="117" w:lineRule="exact"/>
        <w:rPr>
          <w:sz w:val="20"/>
          <w:szCs w:val="20"/>
          <w:color w:val="auto"/>
        </w:rPr>
      </w:pPr>
    </w:p>
    <w:p>
      <w:pPr>
        <w:ind w:left="1020" w:right="3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1a/b (dose escalation): This phase will enroll an estimated 24 patients using a modified 3+3 dose escalation scheme to establish the MTD and recommended Phase 2 dose (“RP2D”). Safety assessment and alignment with the FDA will occur at defined intervals.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This phase will enroll approximately 32 patients (12 with ependymoma and 20 with HGG) at the RP2D to assess efficacy.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beginning enrollment in our ReSPECT-PBC clinical trial, with our first patient enrolled,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119" w:lineRule="exact"/>
        <w:rPr>
          <w:sz w:val="20"/>
          <w:szCs w:val="20"/>
          <w:color w:val="auto"/>
        </w:rPr>
      </w:pPr>
    </w:p>
    <w:p>
      <w:pPr>
        <w:jc w:val="both"/>
        <w:ind w:firstLine="300"/>
        <w:spacing w:after="0" w:line="242"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8" w:lineRule="exact"/>
        <w:rPr>
          <w:sz w:val="20"/>
          <w:szCs w:val="20"/>
          <w:color w:val="auto"/>
        </w:rPr>
      </w:pPr>
    </w:p>
    <w:p>
      <w:pPr>
        <w:jc w:val="both"/>
        <w:ind w:firstLine="300"/>
        <w:spacing w:after="0" w:line="230"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FDA IND submission. Our intended initial clinical target is liver cancer which is the sixth most common and third deadliest cancer worldwide. It is a rare disease with increasing U.S. annual incidence (42,000) and deaths (30,000).</w:t>
      </w:r>
    </w:p>
    <w:p>
      <w:pPr>
        <w:spacing w:after="0" w:line="61" w:lineRule="exact"/>
        <w:rPr>
          <w:sz w:val="20"/>
          <w:szCs w:val="20"/>
          <w:color w:val="auto"/>
        </w:rPr>
      </w:pPr>
    </w:p>
    <w:p>
      <w:pPr>
        <w:jc w:val="both"/>
        <w:ind w:firstLine="300"/>
        <w:spacing w:after="0" w:line="227" w:lineRule="auto"/>
        <w:rPr>
          <w:sz w:val="20"/>
          <w:szCs w:val="20"/>
          <w:color w:val="auto"/>
        </w:rPr>
      </w:pPr>
      <w:r>
        <w:rPr>
          <w:rFonts w:ascii="Times New Roman" w:cs="Times New Roman" w:eastAsia="Times New Roman" w:hAnsi="Times New Roman"/>
          <w:sz w:val="18"/>
          <w:szCs w:val="18"/>
          <w:color w:val="auto"/>
        </w:rPr>
        <w:t xml:space="preserve">Subsequently, 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be regulated as a medical device under the Federal Food, Drug, and Cometic Act (“FDCA”).</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CNSide CSF Assay Platform</w:t>
      </w:r>
    </w:p>
    <w:p>
      <w:pPr>
        <w:spacing w:after="0" w:line="11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CNSide CSF Assay Platform consists of four LDTs used for detection, quantification, and characterization of tumor cells in patients with LM. The CNSide Platform facilitates tumor cell detection/enumeration and biomarker identification using cellular assays (tumor cell enumeration (“TCE”), immunocytochemistry (“ICC”), and fluorescence in situ hybridization (“FISH”)) and molecular assays (next-generation sequencing (“NGS”)). The CNSide Test is currently being used in the ReSPECT-LM trial as an exploratory endpoint.</w:t>
      </w:r>
    </w:p>
    <w:p>
      <w:pPr>
        <w:spacing w:after="0" w:line="72"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Since acquiring the CNSide Platform in 2024, we have established infrastructure to support a scalable and centralized testing laboratory in Houston, TX that will service the U.S. market. We have been executing on our commercial market access strategy, which includes prioritized state licensure, proprietary reimbursement codes, commercial and government payor coverage, and value-based pricing to optimize revenue. We re-introduced the CNSide Platform first in Texas in August of 2025, signed a national agreement to provide the CNSide Test with UnitedHealthcare Insurance Company and Humana, Inc., and obtained state licensure for 49 of 50 US states by January 2026, with the remaining license for the state of New York on track for 2027. In parallel, we expect to launch a portfolio of additional CSF tumor characterization tests that expand our CNSide testing platform later in 2026.</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When the CNSide CSF Assay Platform was previously commercially available, market acceptance and adoption were widespread, with several national and regional commercial payor agreements in place and the test in regular use at major cancer centers across the U.S. We are now in contact with the legacy payors and healthcare providers to support our commercial scale up in 2026. Finally, we have hired experienced leadership with expertise in the development and commercialization of clinical diagnostic technologies on a large scale.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 December 31, 2021, we entered into a Patent and Technology License Agreement (the “UTHSCSA License Agreement”) with UTHSCSA, pursuant to which UTHSCSA granted us an irrevocable, perpetual, exclusive, fully paid-up license, with the right to sublicense and to make, develop, commercialize and otherwise exploit certain patents, know-how and technology related to the development of BAM containing nanoliposomes loaded with imaging and/or therapeutic payloads. Therapeutic payloads may include radiotherapeutics, chemotherapeutics, or thermotherapeutics.</w:t>
      </w:r>
    </w:p>
    <w:p>
      <w:pPr>
        <w:spacing w:after="0" w:line="72"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BAM technology is delivered directly into the intra-arterial vascular system via commonly utilized and standard interventional vascular catheters and techniques that allow precise placement into the arterial blood vessels feeding tumors. Once injected, the BAM technology provides a potential dual therapeutic delivery—blocking blood flow to the tumors by alginate microsphere tumor capillary embolization with simultaneous delivery of very high doses of cytotoxic compounds including radiation, such as nanoliposome encapsulated bi-functionally chelated Re-188, for an extended time. Weeks later, the delivered BAM are physiologically metabolized allowing excretion from the body. Rhenium-188 is an attractive and ideal therapeutic isotope for this application because of its 16.9 hour half-life, 2.12MEV β-decay and ~3.8mm tissue path-length, and simultaneous 155Kev γ-decay that allow simultaneous SPECT/CT imaging with commonly available imaging equipment to easily and non-invasively monitor product administration, delivery and dosimetry absorbed dose evaluation.</w:t>
      </w:r>
    </w:p>
    <w:p>
      <w:pPr>
        <w:spacing w:after="0" w:line="90" w:lineRule="exact"/>
        <w:rPr>
          <w:sz w:val="20"/>
          <w:szCs w:val="20"/>
          <w:color w:val="auto"/>
        </w:rPr>
      </w:pPr>
    </w:p>
    <w:p>
      <w:pPr>
        <w:jc w:val="both"/>
        <w:ind w:firstLine="300"/>
        <w:spacing w:after="0" w:line="224" w:lineRule="auto"/>
        <w:rPr>
          <w:sz w:val="20"/>
          <w:szCs w:val="20"/>
          <w:color w:val="auto"/>
        </w:rPr>
      </w:pPr>
      <w:r>
        <w:rPr>
          <w:rFonts w:ascii="Times New Roman" w:cs="Times New Roman" w:eastAsia="Times New Roman" w:hAnsi="Times New Roman"/>
          <w:sz w:val="18"/>
          <w:szCs w:val="18"/>
          <w:color w:val="auto"/>
        </w:rPr>
        <w:t xml:space="preserve">We currently anticipate that we will initially focus on developing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as a next-generation radioembolization therapy for liver cancer, in which BAM blocks the hepatic artery segments that supply blood to the malignant tumor while also providing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 radiotherapy directly to the tumor and surrounding tissue. According to the American Cancer Society, liver cancer is a rare disease with an increasing annual incidence and five-year overall survival of only 20%.</w:t>
      </w:r>
    </w:p>
    <w:p>
      <w:pPr>
        <w:spacing w:after="0" w:line="9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financial terms of the UTHSCSA License Agreement are primarily success-based with milestone and royalty payments contingent on achieving key clinical, regulatory and sales milestones.</w:t>
      </w:r>
    </w:p>
    <w:p>
      <w:pPr>
        <w:spacing w:after="0" w:line="54" w:lineRule="exact"/>
        <w:rPr>
          <w:sz w:val="20"/>
          <w:szCs w:val="20"/>
          <w:color w:val="auto"/>
        </w:rPr>
      </w:pPr>
    </w:p>
    <w:p>
      <w:pPr>
        <w:jc w:val="both"/>
        <w:ind w:firstLine="300"/>
        <w:spacing w:after="0" w:line="236" w:lineRule="auto"/>
        <w:rPr>
          <w:sz w:val="20"/>
          <w:szCs w:val="20"/>
          <w:color w:val="auto"/>
        </w:rPr>
      </w:pPr>
      <w:r>
        <w:rPr>
          <w:rFonts w:ascii="Times New Roman" w:cs="Times New Roman" w:eastAsia="Times New Roman" w:hAnsi="Times New Roman"/>
          <w:sz w:val="18"/>
          <w:szCs w:val="18"/>
          <w:color w:val="auto"/>
        </w:rPr>
        <w:t xml:space="preserve">The initial inventions and work behind the licensed patents and technologies were developed and led by William Phillips MD, Professor of Nuclear Medicine, and his team at UTHSCSA.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technology incorporates Rhenium-188,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Re, a unique isotope for radiotherapeutic embolization owing to its emission of a high energy (2.12Mev) electron (beta particle, 16.9-hour half-life with a 3.8mm decay path length).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Re also emits 155kev gamma energy that permits high quality, real-time imaging of the BAM construct delivery localization and confirmation. BAMs are not permanent and are anticipated to degrade over time, allowing restoration of blood flow, decreasing radiation resistance, and allowing for safer physiological clearance of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Re through the kidneys, which may minimize bone marrow toxicity.</w:t>
      </w:r>
    </w:p>
    <w:p>
      <w:pPr>
        <w:spacing w:after="0" w:line="20"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transaction terms include an upfront payment in cash. We are also required to pay development and sales milestone payments, if achieved, and a tiered single-digit royalty on U.S. and European sales. In addition, we may be obligated to pay an annual maintenance fee beginning in 2024.</w:t>
      </w:r>
    </w:p>
    <w:p>
      <w:pPr>
        <w:spacing w:after="0" w:line="54" w:lineRule="exact"/>
        <w:rPr>
          <w:sz w:val="20"/>
          <w:szCs w:val="20"/>
          <w:color w:val="auto"/>
        </w:rPr>
      </w:pPr>
    </w:p>
    <w:p>
      <w:pPr>
        <w:jc w:val="both"/>
        <w:ind w:firstLine="300"/>
        <w:spacing w:after="0" w:line="313" w:lineRule="auto"/>
        <w:rPr>
          <w:sz w:val="20"/>
          <w:szCs w:val="20"/>
          <w:color w:val="auto"/>
        </w:rPr>
      </w:pPr>
      <w:r>
        <w:rPr>
          <w:rFonts w:ascii="Times New Roman" w:cs="Times New Roman" w:eastAsia="Times New Roman" w:hAnsi="Times New Roman"/>
          <w:sz w:val="18"/>
          <w:szCs w:val="18"/>
          <w:color w:val="auto"/>
        </w:rPr>
        <w:t>On March 29, 2020, we entered into a Patent and Know-How License Agreement (the “NanoTx License Agreement”) with NanoTx, pursuant to which NanoTx granted us an irrevocable, perpetual, exclusive, fully paid-up license, with the right to sublicense and to make,</w:t>
      </w:r>
    </w:p>
    <w:p>
      <w:pPr>
        <w:sectPr>
          <w:pgSz w:w="11900" w:h="16838" w:orient="portrait"/>
          <w:cols w:equalWidth="0" w:num="1">
            <w:col w:w="11240"/>
          </w:cols>
          <w:pgMar w:left="320" w:top="513" w:right="339" w:bottom="1440" w:gutter="0" w:footer="0" w:header="0"/>
        </w:sectPr>
      </w:pP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commercialize and otherwise exploit certain patents, know-how and technology related to the development of radiolabeled nanoliposomes.</w:t>
      </w:r>
    </w:p>
    <w:p>
      <w:pPr>
        <w:spacing w:after="0" w:line="117"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our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 from CPRIT.</w:t>
      </w:r>
    </w:p>
    <w:p>
      <w:pPr>
        <w:spacing w:after="0" w:line="72"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licensed NanoTx portfolio benefits from proprietary nanoliposome-encapsulated technology to encapsulate radionuclides allowing direct local delivery for several cancer targets.</w:t>
      </w:r>
    </w:p>
    <w:p>
      <w:pPr>
        <w:spacing w:after="0" w:line="54" w:lineRule="exact"/>
        <w:rPr>
          <w:sz w:val="20"/>
          <w:szCs w:val="20"/>
          <w:color w:val="auto"/>
        </w:rPr>
      </w:pPr>
    </w:p>
    <w:p>
      <w:pPr>
        <w:jc w:val="both"/>
        <w:ind w:firstLine="300"/>
        <w:spacing w:after="0" w:line="242" w:lineRule="auto"/>
        <w:rPr>
          <w:sz w:val="20"/>
          <w:szCs w:val="20"/>
          <w:color w:val="auto"/>
        </w:rPr>
      </w:pPr>
      <w:r>
        <w:rPr>
          <w:rFonts w:ascii="Times New Roman" w:cs="Times New Roman" w:eastAsia="Times New Roman" w:hAnsi="Times New Roman"/>
          <w:sz w:val="18"/>
          <w:szCs w:val="18"/>
          <w:color w:val="auto"/>
        </w:rPr>
        <w:t>The licensed radiolabeled nanoliposome platform was developed by a multi-institutional consortium based in Texas at the Mays Cancer Center / UTHSCSA MD Anderson Cancer Center led by Dr. Andrew Brenner, MD, PhD, who is the Kolitz Chair in Neuro-Oncology Research and Co-Leader of the Experimental and Developmental Therapeutics Program. The technology was previously owned by NanoTx and funded by both the NIH/NCI and CPRIT. There is an active $3 million award from NIH/NCI that is expected to financially support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8"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8"/>
          <w:szCs w:val="18"/>
          <w:color w:val="auto"/>
        </w:rPr>
        <w:t>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we have entered into master services agreements with third parties, including Piramal Pharma Solutions, Inc., ABX Advanced Biochemical Compounds GmbH, Telix IsoTherapeutics Group, LLC, Radiomedix, Inc., Alamo Nuclear Pharmacy Services, Inc., and Nuke Med, Inc. (aka SpectronRx) in connection with the development, manufacture, and supply of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drug product. Upon completion of the research and development phase of a drug candidate, certain parts of the manufacturing processes for such candidate may be transferred to contract manufacturers to support clinical trials and commercial release. Upon approval of our drug candidates, we expect our manufacturing capabilities to include validated manufacturing processes for the drug product as well as a quality assurance product release process with the ability to ultimately scale-up the process to meet increasing market demands. We believe our strategic investments in our analytical, development and manufacturing capabilities, including personnel with expertise from drug discovery through drug development, will allow us to advance our product candidates more quickly. Expertise gained in manufacturing our drug products may be applied to other formulations in the future, further leveraging our capabilities.</w:t>
      </w:r>
    </w:p>
    <w:p>
      <w:pPr>
        <w:spacing w:after="0" w:line="96"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With respect to CNSide, dedicated manufacturing operations for the CNSide platform have been established, including production of proprietary microfluidic chips and associated reagents. Automation of key production steps, together with defined process and quality controls, has improved efficiency and strengthened manufacturing reliability. These advancements have transitioned CNSide manufacturing from development-stage workflows into a scalable production platform.</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design and planned build-out of the Levit Green facility are advancing, with the objective of increasing production capacity and further standardizing operations. In parallel, ERP infrastructure is being implemented to enhance inventory visibility and production planning in support of anticipated manufacturing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Our business is conducted in intensely competitive and highly regulated markets. The life science industry is characterized by rapidly advancing technologies, intense competition and a strong emphasis on proprietary therapeutics. We face competition from a number of sources, some of which may target the same indications as our products, product candidates and laboratory tests, including small and large, domestic and multinational, medical device, biotechnology and pharmaceutical companies, academic institutions, government agencies, private and public research institutions and clinical laboratories. Competitors may have greater experience in, and resources to devote to, developing drugs and clinical laboratory tests, conducting clinical trials, obtaining regulatory clearances or approvals, manufacturing and commercialization.</w:t>
      </w:r>
    </w:p>
    <w:p>
      <w:pPr>
        <w:spacing w:after="0" w:line="79"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We expect that product candidates in our pipeline, if approved, would compete on the basis of, among other things, product efficacy and safety; time to market; price, coverage, and reimbursement by third-party payers; extent of adverse side effects; and convenience of treatment procedures.</w:t>
      </w:r>
    </w:p>
    <w:p>
      <w:pPr>
        <w:spacing w:after="0" w:line="61" w:lineRule="exact"/>
        <w:rPr>
          <w:sz w:val="20"/>
          <w:szCs w:val="20"/>
          <w:color w:val="auto"/>
        </w:rPr>
      </w:pPr>
    </w:p>
    <w:p>
      <w:pPr>
        <w:jc w:val="both"/>
        <w:ind w:firstLine="300"/>
        <w:spacing w:after="0" w:line="227" w:lineRule="auto"/>
        <w:rPr>
          <w:sz w:val="20"/>
          <w:szCs w:val="20"/>
          <w:color w:val="auto"/>
        </w:rPr>
      </w:pPr>
      <w:r>
        <w:rPr>
          <w:rFonts w:ascii="Times New Roman" w:cs="Times New Roman" w:eastAsia="Times New Roman" w:hAnsi="Times New Roman"/>
          <w:sz w:val="18"/>
          <w:szCs w:val="18"/>
          <w:color w:val="auto"/>
        </w:rPr>
        <w:t>Competition for our product candidate, particularly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may come from a single or combination therapy in the future.</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Currently, there are many other entities pursuing drug development programs for the indications we are currently pursuing with our product candidates.</w:t>
      </w:r>
    </w:p>
    <w:p>
      <w:pPr>
        <w:spacing w:after="0" w:line="117"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Significant competitors that have reported drug development programs or clinical laboratory tests at various clinical stages for the various indications listed include, but are not limited to:</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Recurrent Glioblastoma</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EnGeneIC, Berg, Istari, AstraZeneca, Novartis, PharmAbcine, Kairos, Midatech, Oncovir, Infuseon, Astellas, NanoPharmaceuticals, Erasca, OX2, Crimson BioPharm, TMUNITY, Pfizer, Arcus, Photolitec, Samus, DNAtrix, ImmVira, BerGenBio, Boston Scientific, BeiGene, GSK, Bristol Myers Squibb, Eli Lilly, Sumitomo, QED, Chimerix, Accenda, Oblato, VBI, INIGHTEC, Sonalasense, VBL, Medicenna, Mimiva, Gilead, CNS Pharmaceuticals, VAXIMM, Incyte, Celularity, Medicinova, Karyopharm, Nerviano Medical Sciences, Merck, Telix, Neonc, Nuvation Bio, Aadi, ERC, Kazia, Xoft, Basilea, Vigo, Biohaven, Bayer, Kintara, CarThera, Everfront Biotech, and others have reported drug development programs at various clinical stages for recurrent GBM.</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Leptomeningeal Metastases</w:t>
      </w:r>
    </w:p>
    <w:p>
      <w:pPr>
        <w:spacing w:after="0" w:line="11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Kazia, AstraZeneca, Pfizer, Daiichi-Sankyo, Genentech, Janssen, NRG Oncology, Angiochem, and others have reported drug development programs at various clinical stages for LM.</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Pediatric Brain Cancer</w:t>
      </w:r>
    </w:p>
    <w:p>
      <w:pPr>
        <w:spacing w:after="0" w:line="11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AstraZeneca, Bristol Myers Squibb, Chimerix, Celgene, Eli Lilly, Nektar Therapeutics, Istari Oncology, Novartis, NovoCure, Takeda, Y-mAbs, Cellectar, and others have reported drug development programs at various clinical stages for PBC.</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Liver Cancer</w:t>
      </w:r>
    </w:p>
    <w:p>
      <w:pPr>
        <w:spacing w:after="0" w:line="11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Boston Scientific, SIR-TEX, ABK Biomedical, and others have reported radioembolization therapy product development programs for liver cancer.</w:t>
      </w:r>
    </w:p>
    <w:p>
      <w:pPr>
        <w:spacing w:after="0" w:line="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CNSide Test</w:t>
      </w:r>
    </w:p>
    <w:p>
      <w:pPr>
        <w:spacing w:after="0" w:line="11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Menarini, Belay Diagnostics, BillionToOne, FYR Diagnostics, Cerevention, Genomic Testing Cooperative, Predicine, Neogenomics, Quest, and LabCorp are current or potential future competitors of our CNSide Test.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protect our proprietary technology, and to operate without infringing on the proprietary rights of third parties. We rely on a combination of patent, trade secret, copyright and trademark laws, as well as confidentiality agreements, licensing agreements and other agreements, to establish and protect our proprietary rights. Our success also depends, in part, on our ability to avoid infringing patents issued to others.</w:t>
      </w:r>
    </w:p>
    <w:p>
      <w:pPr>
        <w:spacing w:after="0" w:line="79" w:lineRule="exact"/>
        <w:rPr>
          <w:sz w:val="20"/>
          <w:szCs w:val="20"/>
          <w:color w:val="auto"/>
        </w:rPr>
      </w:pPr>
    </w:p>
    <w:p>
      <w:pPr>
        <w:jc w:val="both"/>
        <w:ind w:firstLine="300"/>
        <w:spacing w:after="0" w:line="218" w:lineRule="auto"/>
        <w:rPr>
          <w:sz w:val="20"/>
          <w:szCs w:val="20"/>
          <w:color w:val="auto"/>
        </w:rPr>
      </w:pPr>
      <w:r>
        <w:rPr>
          <w:rFonts w:ascii="Times New Roman" w:cs="Times New Roman" w:eastAsia="Times New Roman" w:hAnsi="Times New Roman"/>
          <w:sz w:val="18"/>
          <w:szCs w:val="18"/>
          <w:color w:val="auto"/>
        </w:rPr>
        <w:t>We license the proprietary formulation and proprietary methods of manufacture of the nanoliposome-encapsulated radionucleotides.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and their method of manufacture are covered by a U.S. patent that will expire in December 2026. Patent term extension, codified in 35 U.S.C. §156, provides a means of recapturing time lost during the regulatory approval process. Based upon this regulation, we will apply for patent term extension for this patent for the time lost to development and regulatory review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This has the potential to extend patent coverage for this product for up to another five years.</w:t>
      </w:r>
    </w:p>
    <w:p>
      <w:pPr>
        <w:spacing w:after="0" w:line="100" w:lineRule="exact"/>
        <w:rPr>
          <w:sz w:val="20"/>
          <w:szCs w:val="20"/>
          <w:color w:val="auto"/>
        </w:rPr>
      </w:pPr>
    </w:p>
    <w:p>
      <w:pPr>
        <w:jc w:val="both"/>
        <w:ind w:firstLine="300"/>
        <w:spacing w:after="0"/>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also covered by a licensed patent family directed to a method of producing liposome-containing alginate microspheres. Any patent granted from applications claiming priority to it is expected to expire in May 2040, not including any patent term adjustment or patent term extension and assuming payment of all appropriate maintenance, renewal, annuity or other governmental fees. The patent family includes issued patents in Japan, Singapore, Canada, and Mexico, in addition to pending applications in the United States, Canada, Israel, India, Mexico, Saudi Arabia, Thailand, South Africa, Vietnam, Philippines, China, Europe, Brazil, Singapore, Indonesia, Malaysia, Hong Kong, Australia, and New Zealand.</w:t>
      </w:r>
    </w:p>
    <w:p>
      <w:pPr>
        <w:spacing w:after="0" w:line="98" w:lineRule="exact"/>
        <w:rPr>
          <w:sz w:val="20"/>
          <w:szCs w:val="20"/>
          <w:color w:val="auto"/>
        </w:rPr>
      </w:pPr>
    </w:p>
    <w:p>
      <w:pPr>
        <w:jc w:val="both"/>
        <w:ind w:firstLine="371"/>
        <w:spacing w:after="0" w:line="237" w:lineRule="auto"/>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also covered by a licensed patent family directed to a method for post-manufacture loading of a liposome-containing hydrogel microsphere. Patent granted from applications in this family are expected to expire in March 2042, not including any patent term adjustment or patent term extension and assuming payment of all appropriate maintenance, renewal, annuity or other governmental fees. The patent family includes applications pending in the United States, Australia, Canada, Brazil, South Korea, China, Europe, Mexico, and Israel.</w:t>
      </w:r>
    </w:p>
    <w:p>
      <w:pPr>
        <w:spacing w:after="0" w:line="100" w:lineRule="exact"/>
        <w:rPr>
          <w:sz w:val="20"/>
          <w:szCs w:val="20"/>
          <w:color w:val="auto"/>
        </w:rPr>
      </w:pPr>
    </w:p>
    <w:p>
      <w:pPr>
        <w:jc w:val="both"/>
        <w:ind w:firstLine="300"/>
        <w:spacing w:after="0"/>
        <w:rPr>
          <w:sz w:val="20"/>
          <w:szCs w:val="20"/>
          <w:color w:val="auto"/>
        </w:rPr>
      </w:pPr>
      <w:r>
        <w:rPr>
          <w:rFonts w:ascii="Times New Roman" w:cs="Times New Roman" w:eastAsia="Times New Roman" w:hAnsi="Times New Roman"/>
          <w:sz w:val="18"/>
          <w:szCs w:val="18"/>
          <w:color w:val="auto"/>
        </w:rPr>
        <w:t xml:space="preserve">We co-own a patent family directed to methods of treating a disease, including, but not limited to cancer, comprising administering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Re nanoliposomes via CED. Any patents issued from applications in this family are expected to expire in November 2041, not including any patent term adjustment or patent term extension and assuming payment of all appropriate maintenance, renewal, annuity or other governmental fees. The patent family includes applications pending in the U.S., Australia, Brazil, Canada, China, Europe, Indonesia, Israel, Japan, South Korea, Malaysia, Hong Kong, and Mexico.</w:t>
      </w:r>
    </w:p>
    <w:p>
      <w:pPr>
        <w:spacing w:after="0" w:line="98"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8"/>
          <w:szCs w:val="18"/>
          <w:color w:val="auto"/>
        </w:rPr>
        <w:t xml:space="preserve">We co-own a patent family directed to methods of treating leptomeningeal metastases comprising administering 186Re and/or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Re nanoliposomes via an intraventricular reservoir. Any patent granted from applications in this family are expected to expire in January 2043, not including any patent term adjustment or patent term extension and assuming payment of all appropriate maintenance, renewal, annuity or other governmental fees. The patent family includes applications pending in the U.S., Australia, Brazil, Canada, China, Europe, Indonesia, Israel, Japan, South Korea, Malaysia, and Mexico.</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own a patent family directed to a method of manufacturing a polymeric matrix encapsulating microsomes. Any patent granted from applications in this family is expected to expire in December 2043, not including any patent term adjustment or patent term extension and assuming payment of all appropriate maintenance, renewal, annuity or other governmental fees. Applications are pending in the PCT and U.S. The 30-month deadline to file national stage applications claiming priority to the PCT application is June 2025.</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We have broad patent protection related to the CNSide Platform, including our ownership of the following patents, patent families and applications:</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directed to a microflow device for separating or isolating cells from a bodily fluid or other liquid sample. There are patents in the U.S., China, Europe (validated in France, Germany, Italy, Spain, and the United Kingdom), Hong Kong, China, and Japan. There is an application pending in the U.S. The patents will expire in 2026 assuming payment of all appropriate maintenance, renewal, annuity or other governmental fees.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directed to a microflow device for separating or isolating cells from a bodily fluid or other liquid sample. There are patents in the U.S., Canada, China, and Hong Kong. The patents will expire in 2026 and 2027 assuming payment of all appropriate maintenance, renewal, annuity or other governmental fees.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directed to a device and methods for isolating target biomolecules or cells from samples. There are patents in the U.S., Australia, Europe (validated in the United Kingdom, France, Spain, Germany, Switzerland, and Italy), China, Japan, Canada, and Hong Kong. There is an application pending in the U.S. The patents will expire in 2030 and 2031 assuming payment of all appropriate maintenance, renewal, annuity or other governmental fees.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patent family directed to reagents containing binding moieties conjugated to dextran moieties, methods of making such reagents, and use of such reagents in a variety of molecular and cellular assays. There are patents in the U.S., Japan, China, Canada, Europe (validated in France, Germany, Italy, Switzerland, and the United Kingdom), and Hong Kong. The patents will expire in 2031 assuming payment of all appropriate maintenance, renewal, annuity or other governmental fees.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patent directed to a microflow apparatus. This patent will expire in May 2030 assuming payment of all appropriate maintenance, renewal, annuity or other governmental fees.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patent directed to a method of inhibiting cellular aggregation in a biologically active sample. This patent will expire in September 2031 assuming payment of all appropriate maintenance, renewal, annuity or other governmental fees.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European patent applications directed to a formulation to inactivate pathogens. Any patent issuing from these applications is expected to expire in 2041, not including any patent term adjustment or patent term extension and assuming payment of all appropriate maintenance, renewal, annuity or other governmental fees.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jc w:val="both"/>
        <w:ind w:firstLine="300"/>
        <w:spacing w:after="0" w:line="260"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(“EU”), extensively regulate, among other things, the research, development, testing, manufacture, quality control, approval, packaging, storage, recordkeeping, labeling, advertising, promotion, distribution, marketing, post-approval monitoring and reporting, and import and export of pharmaceutical and medical device products. The processes for obtaining regulatory clearances, authorizations, or approvals in the United States and in foreign countries and jurisdictions, along with compliance with applicable statutes and regulations and other regulatory authorities, require the expenditure of substantial time and financial resources. Nanoparticle oncology drug candidates must receive regulatory approvals from the European Commission and the FDA and from other government authorities prior to sale of the product candidates in their respective jurisdictions.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 Process</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In the United States, pharmaceutical and medical device products are subject to extensive regulation by the FDA. Manufacturers of pharmaceutical and medical device products may also be subject to state and local regulation. The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and medical device products. Failure to comply with applicable U.S. requirements may subject a company to a variety of administrative or judicial sanctions, such as the imposition by the FDA or an institutional review board (“IRB”) of a clinical hold, FDA refusal to approve pending new drug applications (“NDAs”) or supplements, withdrawal of approval, untitled or warning letters, product recalls, import alerts, product seizures, total or partial suspension of production or distribution, injunctions, fines, civil penalties, and criminal investigation, penalties, or prosecution.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Product Approval</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firstLine="300"/>
        <w:spacing w:after="0" w:line="282" w:lineRule="auto"/>
        <w:rPr>
          <w:sz w:val="20"/>
          <w:szCs w:val="20"/>
          <w:color w:val="auto"/>
        </w:rPr>
      </w:pPr>
      <w:r>
        <w:rPr>
          <w:rFonts w:ascii="Times New Roman" w:cs="Times New Roman" w:eastAsia="Times New Roman" w:hAnsi="Times New Roman"/>
          <w:sz w:val="18"/>
          <w:szCs w:val="18"/>
          <w:color w:val="auto"/>
        </w:rPr>
        <w:t>Product development for a new pharmaceutical product or certain changes to an approved pharmaceutical product in the United States typically involves:</w:t>
      </w:r>
    </w:p>
    <w:p>
      <w:pPr>
        <w:spacing w:after="0" w:line="54" w:lineRule="exact"/>
        <w:rPr>
          <w:sz w:val="20"/>
          <w:szCs w:val="20"/>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studies, formulation studies, and animal studies, some in compliance with the FDA’s Good Laboratory Practices (“GLP”) regulations, and the Animal Welfare Act administered and enforced by the United States Department of Agriculture;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to support human clinical testing, which must become effective before clinical testing may commence;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before each trial may be initiated at each clinical site;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under protocols submitted to the FDA and reviewed and approved by each IRB, conducted in accordance with federal regulations and current Good Clinical Practices (“GCP”) to establish the safety and effectiveness of the drug for each indication for which FDA approval is sought;</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an NDA to the FDA that includes evidence that the drug is safe for use under the conditions in the proposed labeling and substantial evidence of effectiveness from results of clinical trials, as well as the results of preclinical testing, detailed information about the chemistry, manufacturing and controls, and proposed labeling and packaging for the product;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and clinical trial sites that generated the data in support of the NDA;</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inspections of the manufacturing facilities at which the product candidate is produced to assess compliance with cGMP and to assure that the facilities, methods and controls are 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agreement on post-marketing requirements or commitments, if applicable.</w:t>
      </w:r>
    </w:p>
    <w:p>
      <w:pPr>
        <w:spacing w:after="0" w:line="117"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Satisfaction of FDA pre-market approval requirements typically takes many years and the actual time required may vary substantially based upon the type, complexity, and novelty of the product or disease.</w:t>
      </w:r>
    </w:p>
    <w:p>
      <w:pPr>
        <w:spacing w:after="0" w:line="5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formulation, and toxicity, as well as animal studies to assess the characteristics and potential safety and efficacy of the product candidate. The conduct of some preclinical tests must comply with federal regulations and requirements, including as applicable, GLP and the Animal Welfare Act. The results of preclinical testing are submitted to the FDA as part of an IND along with other information, including information about product chemistry, manufacturing and controls, and a proposed clinical trial protocol. Additional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w:t>
      </w:r>
    </w:p>
    <w:p>
      <w:pPr>
        <w:spacing w:after="0" w:line="8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product to healthy volunteers or patients under the supervision of a qualified investigator. Clinical trials must be conducted: (i) in compliance with federal regulations; (ii) 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study participants and subsequent protocol amendments must be submitted to the FDA as part of the IND. Foreign studies conducted under an IND generally must meet the same requirements that apply to studies being conducted in the United States. The informed written consent of each study patient must be obtained before the patient may begin participation in the clinical trial.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participant informed consent, complying with the study protocol and investigational plan, adequately monitoring the clinical trial, and timely reporting of adverse events.</w:t>
      </w:r>
    </w:p>
    <w:p>
      <w:pPr>
        <w:spacing w:after="0" w:line="8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Clinical trials to support drug products for marketing approval are typically conducted in three sequential phases, but the phases may overlap. Phase 1 involves the initial introduction of the drug product into healthy human subjects or patients. In Phase 1 trials, the product is tested to assess safety,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product. In most cases, the FDA requires two adequate and well-controlled Phase 3 clinical trials to demonstrate the efficacy of the drug product. Under certain circumstances,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confirmatory evidence. Additionally, post-approval or Phase 4</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studies and trials, may be conducted after initial marketing approval. These studies are often used to gain additional information about use of the product for its approved indication, and may at times be required by the FDA.</w:t>
      </w:r>
    </w:p>
    <w:p>
      <w:pPr>
        <w:spacing w:after="0" w:line="5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participants. In most cases, in addition to sponsor oversight, clinical trials are also overseen by an independent data safety monitoring board (“DSMB”), which is a separate, independent group of qualified experts organized by the trial sponsor to evaluate at designated points in time whether or not a trial may move forward and/or should be modified. These decisions are based on unblinded access to data from the ongoing trial and generally involve determinations regarding the benefit-risk ratio for study patients and the scientific integrity and validity of the clinical trial.</w:t>
      </w:r>
    </w:p>
    <w:p>
      <w:pPr>
        <w:spacing w:after="0" w:line="8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In addition, the manufacturer of an investigational drug in a Phase 2 or Phase 3 clinical trial for a serious disease or condition, or of an investigational drug that has received Fast Track designation or Breakthrough Therapy designation, is required to make available, such as by posting on its website, its policy on evaluating and responding to requests for expanded access to such investigational drug.</w:t>
      </w:r>
    </w:p>
    <w:p>
      <w:pPr>
        <w:spacing w:after="0" w:line="68"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After completion of the required clinical testing, an application is prepared and submitted to the FDA to request marketing approval for the product candidate in specific indications. FDA approval of the drug product is required before marketing of the product may begin in the United States. The drug product must include all relevant results of preclinical, clinical, and other testing and a compilation of data relating to the product candidate’s pharmacology, chemistry, manufacture, and controls, including negative or ambiguous results as well as positive findings. To support marketing approval, the data submitted must be sufficient in quality and quantity to establish the safety and effectiveness of the product candidate to the satisfaction of the FDA. The cost of preparing and submitting a drug product application is substantial. Under the Prescription Drug User Fee Act (“PDUFA”), the submission of most drug product applications is subject to a substantial application user fee, and the applicant under an approved drug product is also subject to an annual program fee for each prescription product, subject to certain limited deferrals, waivers and reductions that may be available. These fees are typically increased annually. The FDA has 60 days from its receipt of an NDA to determine whether the application will be filed based on the agency’s threshold determination that it is sufficiently complete to permit substantive review. The FDA may refuse to file any NDA that it deems incomplete or not properly reviewable at the time of submission, in which case the NDA will have to be updated and resubmitted. Once the submission is filed, the FDA begins an in-depth review. The FDA has agreed to certain performance goals in the review of NDAs. The FDA’s PDUFA review goal is to review 90% of priority applications within six months of filing and 90% of standard applications within 10 months of filing. Priority review may be granted to an application for a product candidate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if the FDA determines that a major amendment has been submitted.</w:t>
      </w:r>
    </w:p>
    <w:p>
      <w:pPr>
        <w:spacing w:after="0" w:line="87"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FDA may also refer applications for drug candidates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considers such recommendations carefully when making decisions. Before approving an NDA, the FDA will typically inspect one or more clinical sites to assure compliance with GCP. Additionally, the FDA will inspect the facility or the facilities at which the drug product is manufactured. The FDA will not approve the product unless compliance with cGMP is satisfactory and the NDA contains data that provides substantial evidence that the drug candidate is safe and effective in the intended indication.</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may issue an approval letter. The FDA has committed to reviewing such resubmissions in two or six months depending on the type of information included. Notwithstanding the submission of any requested additional information, the FDA ultimately may decide that the application does not satisfy the regulatory criteria for approval and deny approval of a resubmitted NDA.</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An approval letter authorizes commercial marketing of the drug candidate with specific prescribing information for specific indications. As a condition of approval, the FDA may require a risk evaluation and mitigation strategy (“REMS,”) to help ensure that the benefits of the drug candidate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FDA may require post-approval studies or trials and heightened surveillance to characterize or monitor the product’s safety or efficacy.</w:t>
      </w:r>
    </w:p>
    <w:p>
      <w:pPr>
        <w:spacing w:after="0" w:line="7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Once granted, product approvals may be withdrawn if compliance with regulatory standards is not maintained or problems are identified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Changes to some of the conditions established in an approved application, including changes in indications, labeling, or manufacturing processes or facilities, require submission and FDA approval of a</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an NDA.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Programs</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the United States, a product may be granted Fast Track designation if it is intended for the treatment of a serious or life-threatening condition and nonclinical or clinical data demonstrate the potential to address unmet medical needs for such condition. With Fast Track designation, the sponsor may be eligible for more frequent opportunities to obtain the FDA’s feedback, and the FDA may initiate review of sections of an NDA before the application is complete. This rolling review is available if the applicant provides, and the FDA approves, a schedule for the remaining information. Even if a product receives Fast Track designation, the designation can be rescinded and provides no assurance that a product will be reviewed or approved more expeditiously than would otherwise have been the case, or that the product will be approved at all.</w:t>
      </w:r>
    </w:p>
    <w:p>
      <w:pPr>
        <w:spacing w:after="0" w:line="7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FDA may designate a product candidate as a breakthrough therapy if it finds that the product candidate is intended, alone or in combination with one or more other product candidates or approved products, to treat a serious or life-threatening disease or condition, and preliminary clinical evidence indicates that the product candidate may demonstrate substantial improvement over existing therapies on one or more clinically significant endpoints. For product candidates designated as breakthrough therapies, more frequent interaction and communication between the FDA and the sponsor can help to identify the most efficient path for clinical development. Product candidates designated as breakthrough therapies by the FDA may also be eligible for six month priority review. The receipt of a breakthrough therapy designation for a product candidate may not result in a faster development process, review or approval compared to product candidates considered for approval under conventional FDA procedures and, in any event, does not assure ultimate approval by the FDA. In addition, the FDA may later decide that a product candidate that has been designated as a breakthrough therapy no longer meets the conditions for designation.</w:t>
      </w:r>
    </w:p>
    <w:p>
      <w:pPr>
        <w:spacing w:after="0" w:line="8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Accelerated approval under FDA regulations allows a product designed to treat a serious or life-threatening disease or condition that provides a meaningful therapeutic advantage over available therapies to be approved on the basis of either an intermediate clinical endpoint or a surrogate endpoint that is reasonably likely to predict clinical benefit. Approvals of this kind typically include requirements for confirmatory clinical trials to verify and describe the clinical benefit. These confirmatory trials must be completed with due diligence and the FDA is authorized to require that such post-approval studies be underway prior to approval or within a specific time period after the date accelerated approval is granted, and the agency has issued guidance as to what constitutes such a study being “underway.” The FDA is also required to specify conditions of any required post-approval confirmatory trial. Sponsors are required to submit progress reports for required post-approval studies and any conditions required by the FDA. The FDA may initiate enforcement action for the failure to conduct with due diligence a required post-approval trial, including a failure to meet any required conditions, which may include enrollment targets, the study protocol and study milestones, specified by the FDA, or to submit timely reports. All promotional materials for product candidates approved under accelerated approval regulations are subject to prior review by the FDA.</w:t>
      </w:r>
    </w:p>
    <w:p>
      <w:pPr>
        <w:spacing w:after="0" w:line="86"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The FDA may grant priority review to a product candidate, which sets the target date for FDA action on the application at six months from FDA filing, or eight months from NDA submission. Priority Review may be granted where a product is intended to treat a serious or life-threatening disease or condition and, if approved, would provide a significant improvement in safety or effectiveness of the treatment, prevention, or diagnosis of that condition. If criteria are not met for Priority Review, the standard FDA review period is ten months from FDA filing or 12 months from NDA submission. Priority Review designation does not change the scientific/medical standard for approval or the quality of evidence necessary to support approval.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 candidate products intended to treat a rare disease or condition, meaning one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 in the United States.</w:t>
      </w:r>
    </w:p>
    <w:p>
      <w:pPr>
        <w:spacing w:after="0" w:line="72"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After the FDA grants orphan drug designation, the generic identity of the drug product and its potential orphan use are disclosed publicly by the FDA. Orphan drug designation does not convey any advantage in, or shorten the duration of, the regulatory review and approval process. However, orphan drug designation does entitle a party to financial incentives, such as opportunities for grant funding towards clinical trial costs, tax credits for certain research and user fee waivers under certain circumstances. In addition, if a product receives the first FDA approval for the disease or condition for which it has orphan drug designation, the product is entitled to seven years of market exclusivity, which means the FDA may not approve any other application for the "same drug" for the same indication for a period of seven years, except in limited circumstances, such as a showing of clinical superiority over the product with orphan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drug for a different indication.</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Rare Pediatric Disease Priority Review Voucher Program</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the FDA may grant Rare Pediatric Disease designation for serious and life-threatening diseases that primarily affect children aged 18 years or younger and fewer than 200,000 individuals in the United States. The FDA may award a priority review voucher to the sponsor of an approved marketing application for a product that treats or prevents a Rare Pediatric Disease. The voucher entitles the sponsor to priority review of one subsequent marketing application.</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voucher may be awarded only for an application that:</w:t>
      </w:r>
    </w:p>
    <w:p>
      <w:pPr>
        <w:spacing w:after="0" w:line="117" w:lineRule="exact"/>
        <w:rPr>
          <w:sz w:val="20"/>
          <w:szCs w:val="20"/>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human drug application for the prevention or treatment of a Rare Pediatric Disease and does not contain an active ingredient (including any ester or salt of the active ingredient) that has been previously approved in any other application;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deems eligible for priority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original NDA or Biologics License Application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relies on clinical data derived from studies examining a pediatric population and dosages of the drug intended for that population;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seek approval for an adult indication in the original rare pediatric disease product application;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after September 30, 2016.</w:t>
      </w:r>
    </w:p>
    <w:p>
      <w:pPr>
        <w:spacing w:after="0" w:line="117"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Before NDA or BLA approval or licensure, the FDA may designate a product in development as a product for a rare pediatric disease, but such designation is not required to receive a voucher.</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To receive a rare pediatric disease priority review voucher, a sponsor must notify the FDA, upon submission of the NDA or BLA, of its intent to request a voucher. If the FDA determines that the NDA or BLA is a rare pediatric disease product application, and if the NDA or BLA is approved or licensed, the FDA will award the sponsor of the NDA or BLA a voucher upon approval of the NDA or BLA. The FDA may revoke a rare pediatric disease priority review voucher if the product for which it was awarded is not marketed in the U.S. within 1 year of the product’s approval.</w:t>
      </w:r>
    </w:p>
    <w:p>
      <w:pPr>
        <w:spacing w:after="0" w:line="72"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voucher, which is transferable to another sponsor, may be submitted with a subsequent application and entitles the holder to priority review of that subsequent application. The sponsor submitting the priority review voucher must notify the FDA of its intent to submit the voucher with the application at least 90 days prior to submission of the application and must pay a priority review user fee in addition to any other required user fee. The FDA must take action on an application under priority review within six months of receipt of the application.</w:t>
      </w:r>
    </w:p>
    <w:p>
      <w:pPr>
        <w:spacing w:after="0" w:line="72"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Currently, the rare pediatric disease priority review voucher program will sunset after September 30, 2029. FDA may not award any priority review vouchers under this program after September 30, 2029.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Clinical Trial Information</w:t>
      </w:r>
    </w:p>
    <w:p>
      <w:pPr>
        <w:spacing w:after="0" w:line="12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Sponsors of clinical trials of the FDA-regulated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Pediatric Information</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Under the Pediatric Research Equity Act (“PREA”), certain NDAs must include an assessment, based on clinical data, of the safety and effectiveness of the product candidate in relevant pediatric populations. The FDA may waive or defer the requirement for a pediatric assessment, either at a company’s request or by its own initiative, including waivers for certain products not likely to be used in a substantial number of pediatric patients. Products with orphan drug designation are exempt from these requirements for orphan-designated indications with no formal waiver process required. However, any original NDA submitted on or after August 18, 2020 for a new active ingredient must contain reports on molecularly targeted pediatric cancer investigations, unless the requirement is waived or deferred, if the drug that is the subject of the application is intended for the treatment of an adult cancer and is directed at a molecular target that the FDA has determined is substantially relevant to the growth or progression of a pediatric cancer. This requirement applies even if the adult cancer indication does not occur in the pediatric population, and even if the drug is for an adult indication for which orphan designation has been granted.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After approval, owners of relevant drug patents may apply for up to a five-year patent extension as compensation for patent term lost during product development and the FDA regulatory review process. The allowable patent term extension is calculated as one half of the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drug’s testing phase—the time between the effective date of an IND and NDA submission—and all of the review phase—the time between NDA submission and approval, up to a maximum of five years. The time can be shortened if the FDA determines that the applicant did not pursue approval with due diligence. The total patent term after the extension may not exceed 14 years. Only one patent applicable to an approved product is eligible for the extension and the application for the extension must be submitted prior to the expiration of the patent. The United States Patent and Trademark Office (“USPTO”), in consultation with the FDA, reviews and approves the application for any patent term extension or restoration.</w:t>
      </w:r>
    </w:p>
    <w:p>
      <w:pPr>
        <w:spacing w:after="0" w:line="75"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Exclusivity</w:t>
      </w:r>
    </w:p>
    <w:p>
      <w:pPr>
        <w:spacing w:after="0" w:line="121"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certain regulatory exclusivities and patent rights can provide an approved drug product with protection from certain competitors’ products for a period of time and within a certain scope. In the United States, the Drug Price Competition and Patent Term Restoration Act of 1984 (“the Hatch-Waxman Act”) amended the FDCA to establish two abbreviated approval pathways for pharmaceutical products that are in some way follow-on versions of already approved products. In exchange, the Hatch-Waxman Act also provides certain periods of exclusivity for a branded drug product that would serve as a reference listing drug (“RLD”) for a generic drug applicant filing an abbreviated new drug application (“ANDA”) under section 505(j) of the FDCA or as a listed drug for an applicant filing an NDA under section 505(b)(2) of the FDCA. If such a product is a new chemical entity (“NCE”), meaning that the active moiety has never before been approved in any drug product, there is a period of five years from the product’s approval during which the FDA may not receive or file any ANDA or 505(b)(2) application for a drug with the same active moiety. However, there are circumstances under which the follow-on application can be submitted at four years, and there are provisions that operate to preclude approval of the application for an additional period of time. NCE exclusivity does not block approval of a “full” NDA (generally, an NDA in which the data are the sponsor’s or for which the sponsor has obtained a right of reference). A drug product that is not an NCE may qualify for a three-year period of exclusivity if its NDA contains new clinical data (other than bioavailability studies), derived from studies conducted by or for the sponsor, that were necessary for approval. In this instance, the three-year exclusivity period does not preclude receipt, filing or review of an ANDA or 505(b)(2) application; rather, the FDA is precluded from granting final approval to the ANDA or 505(b)(2) application during the three-year exclusivity period. This three-year exclusivity applies only to the conditions of approval that required submission of the clinical data.</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Regulation</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Once approved, drug products are subject to continuing extensive regulation by the FDA. If ongoing regulatory requirements are not met, or if safety problems occur after a product reaches market, the FDA may take actions to change the conditions under which the product is marketed, such as requiring labeling modifications, restricting distribution, or even withdrawing approval. In addition to FDA regulation, our business is also subject to extensive federal, state, local and foreign regulation.</w:t>
      </w:r>
    </w:p>
    <w:p>
      <w:pPr>
        <w:spacing w:after="0" w:line="70"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products or their components, including contract manufacturers,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comply with applicable cGMP requirements, which include requirements regarding organization and training of personnel,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w:t>
      </w:r>
    </w:p>
    <w:p>
      <w:pPr>
        <w:spacing w:after="0" w:line="8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Once a product is approved, the advertising, promotion and marketing of the product will be subject to regulation, including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 to promotion to healthcare practitioners, direct-to-consumer advertising, communications regarding unapproved uses,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Failure to comply with applicable requirements in this area may subject a company to adverse publicity, investigations and enforcement action by the FDA, the Department of Justice, the Office of the Inspector General of the Department of Health and Human Services, and/or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77" w:lineRule="exact"/>
        <w:rPr>
          <w:sz w:val="20"/>
          <w:szCs w:val="20"/>
          <w:color w:val="auto"/>
        </w:rPr>
      </w:pPr>
    </w:p>
    <w:p>
      <w:pPr>
        <w:jc w:val="both"/>
        <w:ind w:firstLine="300"/>
        <w:spacing w:after="0" w:line="284" w:lineRule="auto"/>
        <w:rPr>
          <w:sz w:val="20"/>
          <w:szCs w:val="20"/>
          <w:color w:val="auto"/>
        </w:rPr>
      </w:pPr>
      <w:r>
        <w:rPr>
          <w:rFonts w:ascii="Times New Roman" w:cs="Times New Roman" w:eastAsia="Times New Roman" w:hAnsi="Times New Roman"/>
          <w:sz w:val="18"/>
          <w:szCs w:val="18"/>
          <w:i w:val="1"/>
          <w:iCs w:val="1"/>
          <w:color w:val="auto"/>
        </w:rPr>
        <w:t>Other Requirements</w:t>
      </w:r>
      <w:r>
        <w:rPr>
          <w:rFonts w:ascii="Times New Roman" w:cs="Times New Roman" w:eastAsia="Times New Roman" w:hAnsi="Times New Roman"/>
          <w:sz w:val="18"/>
          <w:szCs w:val="18"/>
          <w:color w:val="auto"/>
        </w:rPr>
        <w:t>. Companies that manufacture or distribute drug products pursuant to approved NDAs must meet numerous other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including adverse event reporting, submission of periodic reports, and record-keeping obligations.</w:t>
      </w:r>
    </w:p>
    <w:p>
      <w:pPr>
        <w:spacing w:after="0" w:line="1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Medical Device Premarketing Authorization</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Under the FDCA, unless a device is exempt or marketed under an FDA enforcement discretion, premarketing, clearance, authorization, or approval is required to commercially distribute a new medical device in the U.S. market. A new medical device could either be a device that has not previously received marketing authorization, clearance or approval in the US, or a previously authorized, cleared, or approved device that has been changed in such a way that would require a new marketing submission. Changes that could require a new marketing application submission for an existing device may relate to, but are not limited to, the intended use of the device, the indications for use, manufacturing, and technological characteristics or functionalities. The type of marketing authorization, clearance, or approval is generally linked to the classification of the device.</w:t>
      </w:r>
    </w:p>
    <w:p>
      <w:pPr>
        <w:spacing w:after="0" w:line="7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FDA classifies medical devices into three classes based on risk. Regulatory control increases from Class I (lowest risk) to Class III (highest risk). As the risk of the device increases, so does FDA’s requirements for premarket review. Generally, all Class III and some Class II medical devices will require clinical testing to adequately demonstrate the safety and effectiveness of the device prior to FDA approval or clearance of the device for commercialization. The extent to which FDA is involved in the development of clinical trial protocols depends, in part, on whether the study is a significant risk (“SR”) study or a nonsignificant risk (“NSR”) study. Before testing begins, all clinical studies must obtain IRB approval and for SR medical devices an Investigational Device Exemption (“IDE”) must be obtained from the FDA. This exemption allows for clinical testing while ensuring participant safety and adherence to ethical standards. Though the regulatory requirements for an NSR study are less burdensome than those for a SR study, all clinical trials can be time consuming and costly and may not result in our desired outcomes.</w:t>
      </w:r>
    </w:p>
    <w:p>
      <w:pPr>
        <w:spacing w:after="0" w:line="84"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Class I devices are those for which safety and effectiveness can be reasonably assured by adherence to a set of regulations referred to as general controls, which require compliance with the applicable portions of FDA’s Quality Management System Regulation (“QMSR”), facility registration and device listing, reporting of deaths, serious adverse events and certain malfunctions, which is referred to as medical device reporting, reporting of recalls (corrections and removals), and truthful and non-misleading labeling and promotional materials. Most Class I devices are exempt from the premarket notification requirements (i.e., 510(k)-exempt).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Laboratory Developed Devices</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Government authorities in the United States and in other countries also regulate clinical laboratories and clinical lab tests, including LDTs. In order to perform clinical lab tests, report results and bill payers for these tests, clinical labs must obtain and maintain certification under the federal Clinical Laboratories Improvement Amendments (“CLIA”) regulations and they also may be subject to licensure and regulation under certain state laws. On May 6, 2024, the FDA issued a final rule amending the definition of an in vitro diagnostic (“IVD”) device to include tests manufactured by a clinical laboratory. This rule would have required LDTs to comply with the same general regulatory requirements as other medical devices. Two lawsuits challenging FDA’s authority to regulate LDTs—one by the American Clinical Laboratory Association and the other by the Association for Molecular Pathology—were filed in federal district courts in Texas in 2024 and were subsequently consolidated.. On March 31, 2025, the court issued an order vacating the final rule, thereby overturning the rulemaking’s associated requirements. The district court ruled that FDA lacks jurisdiction to regulate LDTs because they do not meet the definition of a medical device under the FDC Act. The government did not appeal.</w:t>
      </w:r>
    </w:p>
    <w:p>
      <w:pPr>
        <w:spacing w:after="0" w:line="80"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been previously introduced. For example, the VALID Act, introduced in 2021, in 2023 and again in 2025, would have established a new risk-based regulatory framework for in vitro clinical tests (“IVCTs”), a category which would have included IVDs, LDTs, collection devices and instruments used with such tests. It is unclear whether the court decision will renew interest in a legislative path for LDT regulation.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Process</w:t>
      </w:r>
    </w:p>
    <w:p>
      <w:pPr>
        <w:spacing w:after="0" w:line="12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Class II devices are those that are subject to general controls, as well as special controls, which can include performance standards, specialized labeling and post-market surveillance. Most Class II devices are subject to the premarket notification requirements or the 510(k) process. To obtain 510(k) clearance, a premarket notification, or 510(k), must be submitted to the FDA that demonstrates that the proposed medical device is substantially equivalent to a previously cleared medical device or a device commercially distributed prior to May 28, 1976, for which the FDA has not yet called for the submission of a PMA.</w:t>
      </w:r>
    </w:p>
    <w:p>
      <w:pPr>
        <w:spacing w:after="0" w:line="7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previously cleared device is known as a predicate device. A proposed device is substantially equivalent to a predicate device if, with respect to the predicate device, it has the same intended use and has either (i) the same technological characteristics or (ii) different technological characteristics that do not raise different questions of safety and effectiveness.</w:t>
      </w:r>
    </w:p>
    <w:p>
      <w:pPr>
        <w:spacing w:after="0" w:line="68"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If the FDA determines that a device is “not substantially equivalent” to a previously cleared device, for example, due to a finding of a lack of a predicate device, or that the proposed device has a new intended use or different technological characteristics that raise different questions of safety or effectiveness from the proposed predicate device, the device is automatically designated as a Class III device. The device sponsor must then fulfill more rigorous PMA requirements, or can request a risk-based classification determination for the device in accordance with the de novo process. As a result, FDA clearance requirements may extend the development process for a considerable length of time. If the FDA agrees that the proposed device is substantially equivalent to the predicate device proposed by the manufacturer, it will grant 510(k) clearance to commercially market the device.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1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For novel medical devices that are low to moderate risk and are not substantially equivalent to a predicate device, a manufacturer may request a risk-based classification determination for the device in accordance with de novo classification process. This procedure allows a de novo requester whose novel device is automatically classified into Class III to request down-classification of its medical device into Class I or Class II on the basis that the device presents low or moderate risk, rather than requiring the submission and approval of a PMA. A requestor may submit a de novo request for classification after receiving a “not substantially equivalent” determination in response to a 510(k) submission or, absent the prior submission of a 510(k), when the sponsor determines that there is no legally marketed device upon which to base a determination of substantial equivalence.</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FDA may reject the de novo request if it identifies a legally marketed predicate device that would be appropriate for a 510(k) or determines that the device is not low to moderate risk or that general controls would be inadequate, and special controls cannot be developed, to control the risks. In the event the FDA determines that the data and information submitted demonstrate that general controls or general and special controls are adequate to provide reasonable assurance of safety and effectiveness, the FDA will grant the de novo request and a classification regulation will be established for the device type. When the FDA grants a de novo request for classification, the device is granted marketing authorization and can further serve as a predicate device for a future 510(k) submissions of that device type.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Process</w:t>
      </w:r>
    </w:p>
    <w:p>
      <w:pPr>
        <w:spacing w:after="0" w:line="12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Class III devices include devices deemed by FDA to pose the greatest risk, such as life-supporting or life-sustaining devices, or implantable devices. With a few exceptions for certain types of devices classified into Class III that were in commercial distribution in the U.S. before May 28, 1976 and those placed into Class III by operation of law (i.e., novel devices not previously classified), Class III devices are subject to the pre-market approval (“PMA”) process which requires the manufacturer to independently demonstrate that a medical device is safe and effective for its intended use. This process is generally much more time-consuming and expensive than the 510(k) or de novo processes. The PMA process involves a complex and lengthy testing process that is subject to review by the FDA and may require several years to complete. The sponsor may need to first obtain an investigational device exemption (for significant risk devices), known as an IDE, in order to conduct extensive clinical testing of the device to obtain the necessary clinical data for submission to the FDA. Prior to obtaining approval, the manufacturer typically undergoes a bioresearch monitoring (“BIMO”) audit of the supporting clinical trial and a manufacturing audit, which may raise concerns that could lengthen the process and potentially raise unforeseen issues that undermine the approvability of the product. The FDA may also require review by an advisory panel, which can further lengthen the process.</w:t>
      </w:r>
    </w:p>
    <w:p>
      <w:pPr>
        <w:spacing w:after="0" w:line="86"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FDA will approve a PMA only if after evaluating the supporting technical data it finds that the PMA contains sufficient, valid scientific evidence to establish a reasonable assurance that the device is safe and effective for its intended use(s). This approval may be granted with post-approval requirements including inspection of manufacturing facilities, additional patient follow-up for an indefinite period of time, and/or a post-approval clinical study or studies.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 Devices</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a manufacturer’s device falls into a generic category of Class I or Class II devices that FDA has exempted by regulation, a premarket notification is not required before marketing the device in the U.S. (most Class I devices, and some Class II devices, are 510(k)-exempt.) Manufacturers of such devices are required to comply with FDA’s general controls, including FDA’s establishment registration and device listing requirements. Some 510(k)-exempt devices are also exempt from QMSR requirements, except for the QMSR’s requirements relating to records and complaint files.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Device Modifications post-clearance or approval</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Medical devices can be marketed only for the indications for which they are cleared, authorized or approved. After a device has received 510(k) clearance for a specific intended use, any change or modification that significantly affects its safety or effectiveness, such as a significant change in the design, materials, method of manufacture or intended use, may require a new 510(k) clearance or, depending on the modification, a de novo classification request or PMA approval. The determination as to whether or not a modification could significantly affect the device’s safety or effectiveness is initially left to the manufacturer using available FDA guidance; however, the FDA may review this determination to evaluate the regulatory status of the modified product at any time and may, if it disagrees with the manufacturer’s determination, require the manufacturer to cease marketing and possibly recall the modified device until a new 510(k) clearance, de novo authorization or PMA approval is obtained. The manufacturer may also be subject to enforcement action, including significant regulatory fines or penalties for marketing a modified device without the requisite pre-marketing authorization.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Requirements</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After a device is cleared or approved for commercial distribution, numerous federal and state regulatory requirements apply. These include device listing and establishment registration requirements, which help facilitate FDA inspections and other regulatory actions. Medical device establishments are subject to periodic inspection by the FDA for compliance with applicable FDA regulatory requirements, including the FDA's QMSR, which covers, among other things, the procedures and documentation of the risk management, design, testing, production, control, quality assurance, labeling, packaging, sterilization, storage and shipping of medical devices; the Medical Device Reporting regulation, which requires that manufacturers and initial importers report to the FDA if a device they manufactured or imported may have caused or contributed to a death or serious injury or malfunctioned in a way that would likely cause or contribute to a death or serious injury if the malfunction were to recur; and the Reports of Corrections and Removals regulation, which requires manufacturers and</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importers to report recalls and field corrective actions to the FDA if initiated to reduce a risk to health posed by the device or to remedy a violation of the FDCA.</w:t>
      </w:r>
    </w:p>
    <w:p>
      <w:pPr>
        <w:spacing w:after="0" w:line="54"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In addition, labeling and promotional activities are subject to scrutiny by the FDA and, in certain circumstances, by the Federal Trade Commission. Medical devices that are approved, authorized or cleared by the FDA may not be promoted for unapproved, unauthorized or uncleared uses, otherwise known as “off-label” promotion. The FDA and other agencies actively enforce the laws and regulations prohibiting the promotion of off-label uses, and a company that is found to have improperly promoted off-label uses may be subject to significant liability, including substantial monetary penalties and criminal prosecution.</w:t>
      </w:r>
    </w:p>
    <w:p>
      <w:pPr>
        <w:spacing w:after="0" w:line="75"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If the FDA believes that a company is not in compliance with applicable regulations, it may issue a non-public untitled letter or a public warning letter, institute proceedings to detain or seize products, issue a recall or market withdrawal order, impose operating restrictions including total or partial suspension of production or distribution, enjoin future violations, assess civil penalties against the company, its officers or its employees and may recommend criminal prosecution to the U.S. Department of Justice. Moreover, after clearance, authorization, or approval is given, if the product is shown to be hazardous or defective, the FDA has the power to withdraw the clearance, authorization, or approval, as the case may be, or require us to change the device, its manufacturing process or its labeling, to supply additional proof of the device’s safety and effectiveness or to recall, repair, replace the device or refund the cost of the medical device.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In the United States, activities of drug and device manufacturers are potentially subject to regulation by various federal, state and local authorities in addition to the FDA, including but not limited to, the Centers for Medicare and Medicaid Services (“CMS”), other divisions of the U.S. Department of Health and Human Services (e.g., the Office of Inspector General), the U.S. Department of Justice (“DOJ,”) and individual U.S. Attorney offices within the DOJ, and state and local governments. For example, sales, marketing and scientific/educational grant programs must comply with the anti-fraud and abuse provisions of the Social Security Act, the false claims laws, the privacy provisions of the Health Insurance Portability and Accountability Act and its implementing regulations (“HIPAA”), and similar state laws, each as amended. Clinical laboratory testing also must comply with the federal CLIA regulations and certain state licensure and other regulations, including restrictions related to billing for such tests.</w:t>
      </w:r>
    </w:p>
    <w:p>
      <w:pPr>
        <w:spacing w:after="0" w:line="8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purchasing or recommending a product or services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7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6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federal civil False Claims Act prohibits, among other things, any person or entity from knowingly presenting, or causing to be presented, claims for payment of government funds, including Medicare or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Clinical laboratories may face enforcement under the federal civil False Claims Act related to the claims submitted for payment of government funds, including Medicare or Medicaid. Actions under the False Claims Act may be brought by the federal government or as a qui tam action by a private individual in the name of the government.</w:t>
      </w:r>
    </w:p>
    <w:p>
      <w:pPr>
        <w:spacing w:after="0" w:line="8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HIPAA created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covering up by trick, scheme or device, a material fact or making any materially false, fictitious or fraudulent statement in connection with the delivery of or payment for healthcare benefits, items or services.</w:t>
      </w:r>
    </w:p>
    <w:p>
      <w:pPr>
        <w:spacing w:after="0" w:line="54"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Also, many states have similar fraud and abuse statutes or regulations that apply to items and services reimbursed under Medicaid and other state programs, or, in several states, apply regardless of the payor. We may be subject to data privacy and security regulations by both the federal government and the states in which we conduct our business. HIPAA imposes requirements relating to the privacy, security and transmission of protected health information. In addition, state laws govern the privacy and security of personal information and health information in specified circumstances, many of which differ from each other in significant ways and may not have the same effect, thus complicating compliance efforts.</w:t>
      </w:r>
    </w:p>
    <w:p>
      <w:pPr>
        <w:spacing w:after="0" w:line="75"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Additionally, the federal Physician Payments Sunshine Act within the Affordable Care Act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certain advanced practice professionals and teaching hospitals, or to entities or individuals at the request of, or designated on behalf of, the physicians, advanced practice professionals, and teaching hospitals and to report annually certain ownership and investment interests held by physicians and their immediate family members. The reported data are posted in searchable form on a public website on an annual basis. Failure to submit required information may result in civil monetary penalties.</w:t>
      </w:r>
    </w:p>
    <w:p>
      <w:pPr>
        <w:spacing w:after="0" w:line="8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device, and biological products in a state, including, in certain states, manufacturers and distributors who ship or sell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private managed care providers, health insurers and other organizations. The process for determining whether a third-party payor will provide coverage for a product or service may be separate from the process for setting the price of a product or service, or for establishing the reimbursement rate that such a payor will pay for the product or service.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ACA has substantially changed some aspects of healthcare financing and delivery by both governmental and private insurers. The ACA has affected existing government healthcare programs and resulted in the development of new programs.</w:t>
      </w:r>
    </w:p>
    <w:p>
      <w:pPr>
        <w:spacing w:after="0" w:line="54"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Among the ACA provisions of importance to the pharmaceutical and biotechnology industries, in addition to those otherwise described above, are the following:</w:t>
      </w:r>
    </w:p>
    <w:p>
      <w:pPr>
        <w:spacing w:after="0" w:line="54" w:lineRule="exact"/>
        <w:rPr>
          <w:sz w:val="20"/>
          <w:szCs w:val="20"/>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 which rebate amount is no longer subject to a cap effective January 1, 2024;</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340B drug discount program; and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54"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Tax Cuts and Jobs Act of 2017 eliminated certain requirements of the ACA, including the individual mandate. We cannot predict whether these challenges will continue or whether other proposals will be made or adopted, or what impact these efforts may have on us. It is possible that the ACA, as currently enacted or may be amended in the future, as well as other healthcare reform measures that may be adopted in the future, may result in additional reductions in Medicare and other healthcare funding,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We cannot be sure whether additional legislative changes will be enacted in the United States or outside of the United States, or whether regulatory changes, guidance or interpretations will be changed, or what the impact of such changes on the marketing approvals of our product candidates, if any, may be.</w:t>
      </w:r>
    </w:p>
    <w:p>
      <w:pPr>
        <w:spacing w:after="0" w:line="80"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Other legislative changes relating to reimbursement have been adopted in the U.S. since the ACA was enacted. For example,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until 2032, unless additional Congressional action is taken.</w:t>
      </w:r>
    </w:p>
    <w:p>
      <w:pPr>
        <w:spacing w:after="0" w:line="72"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Protecting Access to Medicare Act of 2014 (“PAMA”) changed the methodology for setting Medicare reimbursement rates for clinical laboratory tests. Rates for new clinical laboratory tests are initially set by CMS, but ultimately the reimbursement rates are based on the weighted median of rates paid for the test by private payers, which labs are required report to CMS at specific intervals. Further federal changes that affect the coverage and reimbursement of clinical lab tests may be implemented in the future.</w:t>
      </w:r>
    </w:p>
    <w:p>
      <w:pPr>
        <w:spacing w:after="0" w:line="72"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Further, the Inflation Reduction Act of 2022 (“IRA”), among other things, established a Medicare Part B and Part D inflation rebate scheme, under which, generally, manufacturers will owe rebates if the average sales price of certain Part B drugs or annual average manufacturer price of certain covered Part D drugs increases faster than the pace of inflation. The IRA also requires the U.S. Department of Health and Human Services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for negotiated maximum fair pricing in 2027. For 2028, CMS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further made several changes to the Medicare Part D benefit, including a limit on annual out-of-pocket costs, and replacement of the coverage gap discount program with a new manufacturer discount program beginning in 2025. The IRA permits the Secretary of HHS to implement many of these provisions through guidance, as opposed to regulation, for the initial years. Manufacturers that fail to comply with the IRA may be subject to various penalties, some significant, including civil monetary penalties.</w:t>
      </w:r>
    </w:p>
    <w:p>
      <w:pPr>
        <w:spacing w:after="0" w:line="8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Further, at the U.S. state level, legislatures are increasingly enacting laws and implementing regulations designed to control pharmaceutical and biological product pricing, including price or reimbursement constraints, discount requirements, marketing cost disclosure and price increase transparency reporting, and programs designed to encourage importation from other countries and bulk purchasing.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Price Reporting</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Federal law requires manufacturers report the average sales price for certain drugs payable under Medicare Part B. Manufacturers calculate average sales price based on a statutorily defined formula as well as regulations and interpretations of the statute by CMS. CMS may use these submissions to determine payment rates for drugs under Medicare Part B. Moreover,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Manufacturers that fail to pay refunds could be subject to civil monetary penalties of 125 percent of the refund amount.</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Statutory or regulatory changes or CMS guidance could affect the pricing calculations for our product candidates, once approved and commercialized, and could negatively impact our results of operations. We further expect continued scrutiny on government price reporting and pricing more generally from Congress, agencies, and other bodies.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As of December 31, 2025, we had 28 full-time employees. Of these full-time employees, 10 were engaged in research and development and 18 were engaged in management, finance and administration. From time to time, we also employ independent contractors to support our operations. Our employees are not represented by any collective bargaining agreements and we have never experienced an organized work stoppage.</w:t>
      </w:r>
    </w:p>
    <w:p>
      <w:pPr>
        <w:spacing w:after="0" w:line="6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believe that we must offer and maintain market competitive compensation and benefit programs for our employees in order to attract and retain qualified personnel. In addition to cash compensation, we provide equity compensation, a company-matched 401(k) Plan, healthcare and insurance benefits, health savings and flexible spending accounts, paid time off, family leave, and employee assistance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were initially formed as a California general partnership in July 1996 and incorporated in the State of Delaware in May 1997. We were formerly known as Cytori Therapeutics, Inc., before that as MacroPore Biosurgery, Inc. and before that as MacroPore, Inc. On July 20, 2019, we changed our name from Cytori Therapeutics, Inc. to Plus Therapeutics, Inc.</w:t>
      </w:r>
    </w:p>
    <w:p>
      <w:pPr>
        <w:spacing w:after="0" w:line="6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Our corporate offices are located at 6420 Levit Green Boulevard, Suite 210, Houston, TX 77021. Our telephone number is (737) 255-7194. We maintain a website at the following address: www.plustherapeutics.com. The information on the Company’s website is not incorporated by reference in this report. We make available on or through our website certain reports and amendments to those reports that we file with or furnish to the SEC in accordance with the Securities Exchange Act of 1934, as amended (the “Exchange Act”). These include our Annual Reports on Form 10-K, our Quarterly Reports on Form 10-Q (“Form 10-Q”), and our Current Reports on Form 8-K. We make this information available on our website free of charge as soon as reasonably practicable after we electronically file the information with, or furnish it to, the SEC. In addition, we routinely post on the “Press Releases” page of our website news releases, announcements and other statements about our business and results of operations, some of which may contain information that may be deemed material to investors. Therefore, we encourage investors to monitor the “Press Releases” page of our website and review the information we post on that page.</w:t>
      </w:r>
    </w:p>
    <w:p>
      <w:pPr>
        <w:spacing w:after="0" w:line="80"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the following address: http://www.sec.gov.</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may affect our business, financial condition, and results of operations. This summary does not address all of the risks that we face. Additional risks not currently known to us or that we currently deem to be immaterial also may materially adversely affect our business, financial condition or results of operations in future periods. Further discussion of the risks summarized in this risk factor summary, and other risks that we face, can be found below under the heading “Risk Factors” and should be carefully considered, together with other information in this Form 10-K and our other filings with the Securities and Exchange Commission (“SEC”).</w:t>
      </w:r>
    </w:p>
    <w:p>
      <w:pPr>
        <w:spacing w:after="0" w:line="185" w:lineRule="exact"/>
        <w:rPr>
          <w:sz w:val="20"/>
          <w:szCs w:val="20"/>
          <w:color w:val="auto"/>
        </w:rPr>
      </w:pPr>
    </w:p>
    <w:p>
      <w:pPr>
        <w:ind w:left="1020" w:right="60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inception, we expect to incur significant net losses in the foreseeable future and we may never become profitable and our operating results have been and will likely continue to be volatile.</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our ability to fund our operations raises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1020" w:right="30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delisted from Nasdaq for failure to comply with the Minimum Stockholders’ Equity Requirement, the Minimum Bid Requirement or other applicable continued listing requirements and standards of Nasdaq, which would seriously harm the liquidity of our stock and our ability to raise capital.</w:t>
      </w:r>
    </w:p>
    <w:p>
      <w:pPr>
        <w:spacing w:after="0" w:line="1" w:lineRule="exact"/>
        <w:rPr>
          <w:rFonts w:ascii="Times New Roman" w:cs="Times New Roman" w:eastAsia="Times New Roman" w:hAnsi="Times New Roman"/>
          <w:sz w:val="18"/>
          <w:szCs w:val="18"/>
          <w:color w:val="auto"/>
        </w:rPr>
      </w:pPr>
    </w:p>
    <w:p>
      <w:pPr>
        <w:ind w:left="10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w:t>
      </w:r>
    </w:p>
    <w:p>
      <w:pPr>
        <w:spacing w:after="0" w:line="1" w:lineRule="exact"/>
        <w:rPr>
          <w:rFonts w:ascii="Times New Roman" w:cs="Times New Roman" w:eastAsia="Times New Roman" w:hAnsi="Times New Roman"/>
          <w:sz w:val="18"/>
          <w:szCs w:val="18"/>
          <w:color w:val="auto"/>
        </w:rPr>
      </w:pPr>
    </w:p>
    <w:p>
      <w:pPr>
        <w:ind w:left="1020" w:right="2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our ability to produce accurate financial statements on a timely basis could be impaired.</w:t>
      </w:r>
    </w:p>
    <w:p>
      <w:pPr>
        <w:ind w:left="1020" w:right="20" w:hanging="503"/>
        <w:spacing w:after="0" w:line="228"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is in large part dependent upon our ability to successfully develop our nanomedicine platform and commercialize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and any failure to do so could significantly harm our business and prospects.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partner with other companies to commercialize our product candidates, our business could materially suffer.</w:t>
      </w:r>
    </w:p>
    <w:p>
      <w:pPr>
        <w:spacing w:after="0" w:line="7"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substantial part on our ability to obtain regulatory approvals for our RNL product candidates. However, we cannot be certain that we will receive regulatory approval for these product candidates or our other product candidates.</w:t>
      </w:r>
    </w:p>
    <w:p>
      <w:pPr>
        <w:ind w:left="1020" w:right="60" w:hanging="503"/>
        <w:spacing w:after="0" w:line="265" w:lineRule="auto"/>
        <w:tabs>
          <w:tab w:leader="none" w:pos="1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any party to a key collaboration, licensing, development, acquisition or similar arrangement fail to perform material obligations, or commit a breach, under such arrangement, or any arrangement is terminated for any reason, there could be an adverse effect on our business.</w:t>
      </w:r>
    </w:p>
    <w:p>
      <w:pPr>
        <w:ind w:left="1020" w:right="3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ind w:left="1020" w:right="3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ind w:left="1020" w:right="3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involves a lengthy and expensive process, with an uncertain outcome. We may incur additional costs or experience delays in completing, or ultimately be unable to complete, the development and commercialization of our product candidates.</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 may fail to support approval of our product candidates.</w:t>
      </w:r>
    </w:p>
    <w:p>
      <w:pPr>
        <w:spacing w:after="0" w:line="9"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we engage are not able to successfully perform, we may not be able to successfully complete clinical development, obtain regulatory approval or commercialize our product candidates and our business could be substantially harmed.</w:t>
      </w:r>
    </w:p>
    <w:p>
      <w:pPr>
        <w:ind w:left="1020" w:right="54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enrolling, or fail to enroll patients in our clinical trials, which could delay or prevent clinical trials of our drug candidates.</w:t>
      </w:r>
    </w:p>
    <w:p>
      <w:pPr>
        <w:ind w:left="1020" w:right="7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particular product candidate causes significant adverse events, then we may be unable to receive regulatory approval or market acceptance for such product candidate.</w:t>
      </w:r>
    </w:p>
    <w:p>
      <w:pPr>
        <w:ind w:left="1020" w:right="2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and technologies receive regulatory approval but do not achieve broad market acceptance, especially by physicians, the revenue that we generate will be limited.</w:t>
      </w: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potential applications of our product candidates are investigational, which subjects us to development and marketing risks.</w:t>
      </w:r>
    </w:p>
    <w:p>
      <w:pPr>
        <w:spacing w:after="0" w:line="9" w:lineRule="exact"/>
        <w:rPr>
          <w:rFonts w:ascii="Times New Roman" w:cs="Times New Roman" w:eastAsia="Times New Roman" w:hAnsi="Times New Roman"/>
          <w:sz w:val="18"/>
          <w:szCs w:val="18"/>
          <w:color w:val="auto"/>
        </w:rPr>
      </w:pPr>
    </w:p>
    <w:p>
      <w:pPr>
        <w:ind w:left="1020" w:right="180" w:hanging="503"/>
        <w:spacing w:after="0" w:line="250"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spacing w:after="0" w:line="1" w:lineRule="exact"/>
        <w:rPr>
          <w:rFonts w:ascii="Times New Roman" w:cs="Times New Roman" w:eastAsia="Times New Roman" w:hAnsi="Times New Roman"/>
          <w:sz w:val="18"/>
          <w:szCs w:val="18"/>
          <w:color w:val="auto"/>
        </w:rPr>
      </w:pPr>
    </w:p>
    <w:p>
      <w:pPr>
        <w:ind w:left="1020" w:right="1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020" w:right="80" w:hanging="503"/>
        <w:spacing w:after="0" w:line="276" w:lineRule="auto"/>
        <w:tabs>
          <w:tab w:leader="none" w:pos="10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regulatory processes that will be applicable to Laboratory Developed Tests (LDTs) are uncertain and may prevent us from obtaining required authorizations for the commercialization of our products and/or introduce additional costs associated with those products.</w:t>
      </w:r>
    </w:p>
    <w:p>
      <w:pPr>
        <w:ind w:left="1020" w:right="26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from third party payors may not be available for our product candidates, which could diminish our sales or adversely affect our ability to sell our products profitably.</w:t>
      </w:r>
    </w:p>
    <w:p>
      <w:pPr>
        <w:jc w:val="both"/>
        <w:ind w:left="1020" w:right="2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an interruption in supply from a material sole source supplier, our business may be harmed.</w:t>
      </w:r>
    </w:p>
    <w:p>
      <w:pPr>
        <w:spacing w:after="0" w:line="9" w:lineRule="exact"/>
        <w:rPr>
          <w:rFonts w:ascii="Times New Roman" w:cs="Times New Roman" w:eastAsia="Times New Roman" w:hAnsi="Times New Roman"/>
          <w:sz w:val="18"/>
          <w:szCs w:val="18"/>
          <w:color w:val="auto"/>
        </w:rPr>
      </w:pPr>
    </w:p>
    <w:p>
      <w:pPr>
        <w:ind w:left="1020" w:right="3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engage in strategic transactions that could impact our liquidity, increase our expenses, and present significant distractions to our management.</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quality controls and compliance with manufacturing standards.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hire and/or retain key personnel, we may not be able to sustain or grow our business.</w:t>
      </w:r>
    </w:p>
    <w:p>
      <w:pPr>
        <w:spacing w:after="0" w:line="9" w:lineRule="exact"/>
        <w:rPr>
          <w:rFonts w:ascii="Times New Roman" w:cs="Times New Roman" w:eastAsia="Times New Roman" w:hAnsi="Times New Roman"/>
          <w:sz w:val="18"/>
          <w:szCs w:val="18"/>
          <w:color w:val="auto"/>
        </w:rPr>
      </w:pPr>
    </w:p>
    <w:p>
      <w:pPr>
        <w:ind w:left="1020" w:right="68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product liability exposure, and if successful claims are brought against us, we may incur substantial liability if our insurance coverage for those claims is inadequate.</w:t>
      </w:r>
    </w:p>
    <w:p>
      <w:pPr>
        <w:ind w:left="10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adequately protect health information could result in severe harm to our reputation and subject us to significant liabilities, each of which could have a material adverse effect on our business.</w:t>
      </w:r>
    </w:p>
    <w:p>
      <w:pPr>
        <w:jc w:val="both"/>
        <w:ind w:left="1020" w:right="700" w:hanging="503"/>
        <w:spacing w:after="0" w:line="25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develop, fully utilize and monetize the CNSide diagnostic portfolio.</w:t>
      </w:r>
    </w:p>
    <w:p>
      <w:pPr>
        <w:spacing w:after="0" w:line="27"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laboratories are highly regulated and if we are unable to maintain compliance with these regulations, or if the regulations change in ways that make it more difficult or costly to comply, our financial condition and our business may be harmed.</w:t>
      </w:r>
    </w:p>
    <w:p>
      <w:pPr>
        <w:ind w:left="1020" w:right="2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diagnostic testing industry is subject to rapid change, which could make our current or future products obsolete.</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patent term extension for any product candidates we may develop, our business may be materially harmed.</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trade secrets.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that our employees have wrongfully used or disclosed alleged trade secrets of their former employers.</w:t>
      </w:r>
    </w:p>
    <w:p>
      <w:pPr>
        <w:spacing w:after="0" w:line="9" w:lineRule="exact"/>
        <w:rPr>
          <w:rFonts w:ascii="Times New Roman" w:cs="Times New Roman" w:eastAsia="Times New Roman" w:hAnsi="Times New Roman"/>
          <w:sz w:val="18"/>
          <w:szCs w:val="18"/>
          <w:color w:val="auto"/>
        </w:rPr>
      </w:pPr>
    </w:p>
    <w:p>
      <w:pPr>
        <w:ind w:left="1020" w:right="2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substantial costs as a result of litigation or other proceedings relating to patent and other intellectual property rights, and we may be unable to protect our rights to our product candidates and technology.</w:t>
      </w:r>
    </w:p>
    <w:p>
      <w:pPr>
        <w:ind w:left="1020" w:right="8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sued for infringing intellectual property rights of third parties, it will be costly and time consuming, and an unfavorable outcome in that litigation would have a material adverse effect on our business.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experience substantial dilution in the value of their investment if we issue additional shares of our capital stock.</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fluctuate significantly, which could result in substantial losses for stockholders.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or become the target of securities litigation, which is costly and time-consuming to defend.</w:t>
      </w:r>
    </w:p>
    <w:p>
      <w:pPr>
        <w:spacing w:after="0" w:line="9" w:lineRule="exact"/>
        <w:rPr>
          <w:rFonts w:ascii="Times New Roman" w:cs="Times New Roman" w:eastAsia="Times New Roman" w:hAnsi="Times New Roman"/>
          <w:sz w:val="18"/>
          <w:szCs w:val="18"/>
          <w:color w:val="auto"/>
        </w:rPr>
      </w:pPr>
    </w:p>
    <w:p>
      <w:pPr>
        <w:ind w:left="1020" w:right="1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debt and equity securities or securities convertible into equity securities, any of which may be senior to our common stock as to distributions and in liquidation, which could negatively affect the value of our common stock.</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documents contain anti-takeover provisions.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presently do not intend to pay cash dividends on our common stock.</w:t>
      </w:r>
    </w:p>
    <w:p>
      <w:pPr>
        <w:spacing w:after="0" w:line="9" w:lineRule="exact"/>
        <w:rPr>
          <w:rFonts w:ascii="Times New Roman" w:cs="Times New Roman" w:eastAsia="Times New Roman" w:hAnsi="Times New Roman"/>
          <w:sz w:val="18"/>
          <w:szCs w:val="18"/>
          <w:color w:val="auto"/>
        </w:rPr>
      </w:pPr>
    </w:p>
    <w:p>
      <w:pPr>
        <w:ind w:left="1020" w:right="4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ind w:left="1020" w:right="42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information technology security threats and more sophisticated and targeted computer crime could pose a risk to our systems, networks, and products.</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risk factors described below, as well as statements described elsewhere in this Form 10-K, including our audited Financial Statements and the related notes and “Management’s Discussion and Analysis of Financial Conditions and Results of Operations,” or in other SEC filings, describe risks that could materially and adversely affect our business, financial condition, and results of operations, which could also cause the trading price of our equity securities to decline. These risks are not the only risks that we face. Our business, financial condition and results of operations could also be affected by additional factors that are not presently known to us or that we currently consider to be immaterial to our operations.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Capital Requirements</w:t>
      </w:r>
    </w:p>
    <w:p>
      <w:pPr>
        <w:spacing w:after="0" w:line="36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since inception, we expect to incur significant net losses in the foreseeable future and we may never become profitable and our operating results have been and will likely continue to be volatile.</w:t>
      </w:r>
    </w:p>
    <w:p>
      <w:pPr>
        <w:spacing w:after="0" w:line="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have generated negative cash flows from operations and have incurred net operating losses each year since we started business. For the year ended December 31, 2025, we incurred net losses of $22.4 million and our net cash used in operating activities was $20.8 million. As of December 31, 2025, our accumulated deficit was $515.9 million. We expect to continue to incur net losses and negative cash flow from operating activities for at least the next twelve months. As our focus on development of nanomedicine and the development of therapeutic applications has increased, losses have resulted primarily from expenses associated with research and development and clinical trial-related activities, as well as general and administrative expenses. We expect to continue operating in a loss position and expect that recurring operating expenses will be at higher levels for the year ending December 31, 2026 as we perform clinical trials and other development activities for our nanomedicine product candidates.</w:t>
      </w:r>
    </w:p>
    <w:p>
      <w:pPr>
        <w:spacing w:after="0" w:line="8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Our ability to generate sufficient revenue from any of our products, product candidates or technologies to achieve profitability will depend on a number of factors including, but not limited to:</w:t>
      </w:r>
    </w:p>
    <w:p>
      <w:pPr>
        <w:spacing w:after="0" w:line="54" w:lineRule="exact"/>
        <w:rPr>
          <w:sz w:val="20"/>
          <w:szCs w:val="20"/>
          <w:color w:val="auto"/>
        </w:rPr>
      </w:pPr>
    </w:p>
    <w:p>
      <w:pPr>
        <w:ind w:left="1140" w:hanging="383"/>
        <w:spacing w:after="0" w:line="26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test and validate our product candidates or clinical tests in compliance with applicable laws and as required for submission to applicable regulatory bodies;</w:t>
      </w: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successfully complete clinical trials of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necessary regulatory approvals for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partners’ ability to negotiate and receive favorable reimbursement for our product candidates, including for our product candidates that have been granted or may be granted orphan drug status or otherwise command currently anticipated pricing levels;</w:t>
      </w:r>
    </w:p>
    <w:p>
      <w:pPr>
        <w:ind w:left="1140" w:right="20" w:hanging="383"/>
        <w:spacing w:after="0" w:line="250"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arrangements with third parties to help finance the development of, and market and distribute, our products and product candidates;</w:t>
      </w: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approved products are accepted in the marketplace;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at commercializing our CNSide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Portfolio.</w:t>
      </w:r>
    </w:p>
    <w:p>
      <w:pPr>
        <w:spacing w:after="0" w:line="57"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commercialization and product development efforts, we are unable to predict the extent of our future losses or when or if we will become profitable and it is possible we will never become profitable. If we do not generate significant sales from any of our product candidates that receive regulatory approval, there would be a material adverse effect on our business, results of operations, financial condition and prospects, which in turn could result in our inability to continue operations.</w:t>
      </w:r>
    </w:p>
    <w:p>
      <w:pPr>
        <w:spacing w:after="0" w:line="72"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Our prospects must be evaluated in light of the risks and difficulties frequently encountered by emerging companies and particularly by such companies in rapidly evolving and technologically advanced biotech, pharmaceutical and medical device fields. In addition, our budgeted expense levels are based in part on our expectations concerning future research and development activities. We may be unable to reduce our expenditures in a timely manner to compensate for any unexpected events. Accordingly, unexpected events could have an immediate and material impact on our business and financial condition. From time to time, we have tried to update our investors’ expectations as to our operating results. If we revise any timelines we may give with respect to our clinical trials, it could materially harm our reputation and the market’s perception of us and could cause our stock price to decline.</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Uncertainties relating to our ability to fund our operations raises substantial doubt about our ability to continue as a going concern.</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received net proceeds of approximately $13.3 million, in the public offering that closed on January 15, 2026, allowing the Company to maintain a cash runaway until approximately 2027. As of December 31, 2025, we had an accumulated deficit of approximately $515.9 million, working capital of approximately $2.9 million, and approximately $13.1 million of cash and cash equivalents, restricted cash, and short-term investments to fund our operations and capital requirements. Absent further actions, these matters raise substantial doubt about our ability to continue as a going concern.</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have a history of generating losses and negative cash flows from operations. Our financial statements have been prepared under the assumption that we will continue as a going concern for the next twelve months. Our ability to continue as a going concern is dependent upon our ability to obtain additional debt, equity or other financing. Furthermore, we also could be required to seek funds through</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arrangements with collaborative partners or otherwise that may require us to relinquish rights to some of our intellectual property or product candidates or otherwise agree to terms unfavorable to us.</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we are unsuccessful in our efforts to raise any such additional capital, we would be required to take actions that could materially and adversely affect our business, including significant reductions in our research, development and administrative operations (including reduction of our employee base), possible surrender or other disposition of our rights to some technologies or product opportunities, delaying of our clinical trials or curtailing or ceasing operations.</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be delisted from Nasdaq for failure to comply with the Minimum Stockholders’ Equity Requirement, the Minimum Bid Requirement or other applicable continued listing requirements and standards of Nasdaq, which would seriously harm the liquidity of our stock and our ability to raise capital.</w:t>
      </w:r>
    </w:p>
    <w:p>
      <w:pPr>
        <w:spacing w:after="0" w:line="67"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In order to maintain that listing, we must maintain compliance with Nasdaq’s continued listing requirements and standards. There can be no assurances that we will be able to comply with the applicable listing requirements and standards of Nasdaq.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Stockholders’ Equity Requirement</w:t>
      </w:r>
    </w:p>
    <w:p>
      <w:pPr>
        <w:spacing w:after="0" w:line="119"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In March 2024, we received notice from the Listing Qualifications staff of Nasdaq (the “Staff”), notifying us that we no longer maintained at least $2.5 million in stockholders’ equity, as required under Nasdaq Listing Rule 5550(b)(1) (the “Minimum Stockholders’ Equity Requirement”), and also did not meet any other alternative standard. On October 22, 2024, we held our first hearing before a Nasdaq panel, as a result of which we received additional time, or until March 4, 2025, to regain compliance.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second hearing was held on July 15, 2025. On July 22, 2025, the panel for our second hearing issued a decision granting our request for continued listing on Nasdaq, subject to us demonstrating compliance with (1) the Minimum Stockholders’ Equity Requirement by August 14, 2025; and (2) the Minimum Bid Requirement (as defined below) by September 8, 2025. On August 22, 2025, we received a letter (the “August 2025 Letter”) from Nasdaq confirming our compliance with Nasdaq Listing Rule 5550(b). Specifically, the August 2025 Letter confirmed that we were in compliance with both (1) Nasdaq Listing Rule 5550(b)(2), which requires a market value of listed securities of at least $35 million and (2) the alternative stockholders’ equity threshold under Nasdaq Listing Rule 5550(b)(1), which is the Minimum Stockholders’ Equity Requirement. The August 2025 Letter also provided that, solely with respect to the Minimum Stockholders’ Equity Requirement, we remain subject to a one-year panel monitoring period, through August 22, 2026. If, within that one-year monitoring period, the Staff determines that we no longer satisfy the Minimum Stockholders’ Equity Requirement (and we are not then in compliance with one of the alternative standards under Nasdaq Listing Rule 5550(b)), we will not be permitted to provide the Staff with a plan of compliance and the Staff is not permitted to grant additional time to regain compliance with the Minimum Stockholders’ Equity Requirement nor will we be afforded an applicable cure or compliance period. Instead, the Staff will issue a delist determination letter, and we will have an opportunity to request a new hearing before the Nasdaq Hearings Panel, which request would stay any further action by the Staff pending the ultimate outcome of the hearing.</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11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On May 16, 2025, we received notice from Nasdaq that, because the closing bid price for our common stock had fallen below $1.00 per share for 30 consecutive business days, we no longer complied with the minimum bid price requirement pursuant to Nasdaq Listing Rule 5550(a)(2) (the “Minimum Bid Requirement”). We were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5"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On November 13, 2025, we received a second letter from the Nasdaq Staff advising that we had been granted an additional 180 calendar days, or until May 11, 2026, to regain compliance with the Minimum Bid Requirement, in accordance with Nasdaq Listing Rule 5810(c)(3)(A).</w:t>
      </w:r>
    </w:p>
    <w:p>
      <w:pPr>
        <w:spacing w:after="0" w:line="54"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We intend to continue to actively monitor the closing bid price of our common stock and will evaluate available options to regain compliance with the Minimum Bid Requirement. Specifically, we have confirmed to Nasdaq that, if necessary, we will implement a reverse stock split of our outstanding common stock to attempt to regain compliance. If we do not regain compliance within the additional compliance period, Nasdaq will provide notice that our common stock will be subject to delisting. We would then be entitled to appeal that determination to a Nasdaq hearings panel. There can be no assurance that we will regain compliance with the Minimum Bid Requirement during the 180-day additional compliance period or maintain compliance with the other Nasdaq listing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Consequences of Delisting</w:t>
      </w:r>
    </w:p>
    <w:p>
      <w:pPr>
        <w:spacing w:after="0" w:line="11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able to meet Nasdaq’s listing requirements or comply with the requisite Nasdaq requirements to maintain our listing of common stock on Nasdaq. In the event that our common stock is delisted from Nasdaq, as a result of our failure to comply with the Minimum Stockholders’ Equity Requirement or the Minimum Bid Requirement or as a result of our failure to continue to comply with any other requirement for continued listing on Nasdaq, and we are not able to list our securities on Nasdaq or any other national securities exchange, we could face significant material adverse consequences, including:</w:t>
      </w:r>
    </w:p>
    <w:p>
      <w:pPr>
        <w:spacing w:after="0" w:line="75"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of the market price of our common stock;</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common stock;</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common stock;</w:t>
      </w:r>
    </w:p>
    <w:p>
      <w:pPr>
        <w:spacing w:after="0" w:line="117"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incurring of additional costs under state blue sky laws in connection with any sales of our securities.</w:t>
      </w:r>
    </w:p>
    <w:p>
      <w:pPr>
        <w:spacing w:after="0" w:line="333" w:lineRule="exact"/>
        <w:rPr>
          <w:sz w:val="20"/>
          <w:szCs w:val="20"/>
          <w:color w:val="auto"/>
        </w:rPr>
      </w:pPr>
    </w:p>
    <w:p>
      <w:pPr>
        <w:jc w:val="both"/>
        <w:ind w:right="20" w:firstLine="300"/>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require additional funding to develop our product candidates, conduct future operations, and repay our outstanding obligations. If we are unable to obtain the funds necessary to do so because our common stock is not listed on any national securities exchange, we may be required to delay, scale back or eliminate our product development activities, and we may be unable to continue our business operations.</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our common stock is delisted by Nasdaq, our common stock may be eligible to trade on an over-the-counter quotation system where an investor may find it more difficult to sell our stock or obtain accurate quotations as to the market value of our common stock. In the event our common stock is delisted from Nasdaq, we may not be able to list our common stock on another national securities exchange or obtain quotation on an over-the-counter quotation system.</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develop our product candidates and conduct our future operations and to repay our outstanding debt obligations. If we are unable to obtain the funds necessary to do so, we may be required to delay, scale back or eliminate our product development activities or may be unable to continue our business operations.</w:t>
      </w:r>
    </w:p>
    <w:p>
      <w:pPr>
        <w:spacing w:after="0" w:line="67"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have had, and we will continue to have, an ongoing need to raise additional cash from outside sources to continue funding our operations, including our continuing substantial research and development expenses and potential commercialization activities. We do not currently believe that our cash balance will be sufficient to fund the development and marketing efforts required to reach profitability without raising additional capital from accessible sources of financing in the near future. Our future capital requirements will depend on many factors, including:</w:t>
      </w:r>
    </w:p>
    <w:p>
      <w:pPr>
        <w:spacing w:after="0" w:line="72" w:lineRule="exact"/>
        <w:rPr>
          <w:sz w:val="20"/>
          <w:szCs w:val="20"/>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to fund our operations on terms acceptable to us, or at all;</w:t>
      </w:r>
    </w:p>
    <w:p>
      <w:pPr>
        <w:spacing w:after="0" w:line="27"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perceived capital needs with respect to our development programs, and any delays in, adverse events and excessive costs of such programs beyond what we currently anticipate;</w:t>
      </w:r>
    </w:p>
    <w:p>
      <w:pPr>
        <w:ind w:left="114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collaborative and other arrangements with third parties to assist in bringing our product candidates to market and the cost of such arrangements at the time;</w:t>
      </w: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operating at our Houston, Texas facility;</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including compliance with good manufacturing practices applicable to our product candidates;</w:t>
      </w:r>
    </w:p>
    <w:p>
      <w:pPr>
        <w:ind w:left="1140" w:hanging="383"/>
        <w:spacing w:after="0" w:line="25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establishment of sales and marketing capabilities for product candidates awaiting approval or products that have been approved;</w:t>
      </w: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w:t>
      </w:r>
    </w:p>
    <w:p>
      <w:pPr>
        <w:spacing w:after="0" w:line="315"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clinical development efforts.</w:t>
      </w:r>
    </w:p>
    <w:p>
      <w:pPr>
        <w:spacing w:after="0" w:line="5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have secured capital historically from grant revenue, collaboration proceeds, and debt and equity offerings. To obtain additional capital, we may pursue debt and/or equity offering programs, strategic corporate partnerships, state and federal development programs, licensing arrangements, and sales of assets or debt or equity securities. We cannot be certain that additional capital will be available on terms acceptable to us, or at all. If we are unsuccessful in our efforts to raise any such additional capital, we may be required to take actions that could materially and adversely harm our business, including a possible significant reduction in our research, development and administrative operations (including reduction of our employee base), the surrender of our rights to some technologies or product opportunities, delay of our clinical trials or regulatory and reimbursement efforts, or curtailment or cessation of operations.</w:t>
      </w:r>
    </w:p>
    <w:p>
      <w:pPr>
        <w:spacing w:after="0" w:line="8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Depending on the type and the terms of any financing we pursue, stockholders’ rights and the value of their investment in our common stock could be reduced. A financing could involve one or more types of securities including common stock, preferred stock, convertible debt or warrants to acquire common stock. These securities could be issued at or below the then prevailing market price for our common stock or with terms or conditions that provide new investors with rights that are superior to those held by our existing stockholders or that have a negative impact on the value of securities held by our existing stockholders. For example, the terms of our recent offerings resulted in substantial dilution to our existing stockholders. In addition, if we issue secured debt securities, the holders of the debt would have a</w:t>
      </w:r>
    </w:p>
    <w:p>
      <w:pPr>
        <w:sectPr>
          <w:pgSz w:w="11900" w:h="16838" w:orient="portrait"/>
          <w:cols w:equalWidth="0" w:num="1">
            <w:col w:w="11240"/>
          </w:cols>
          <w:pgMar w:left="320" w:top="513" w:right="339"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claim to our assets that would be prior to the rights of stockholders until the debt is paid. Interest on these debt securities would increase costs and negatively impact operating results. If the issuance of new securities results in diminished rights to holders of our common stock, the market price of our common stock could be negatively impacted.</w:t>
      </w:r>
    </w:p>
    <w:p>
      <w:pPr>
        <w:spacing w:after="0" w:line="6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will need to complete additional financing transactions in order to continue operations. These arrangements may also not be sufficient in the near-term. Given, among other things, the current status of the capital markets, our recent stock price performance and the terms of our recent capital financings, there can be no assurances that we will be able to secure additional financing, or if available, that it will be sufficient to meet our needs or be on favorable terms. Additionally, our cost of capital will depend upon numerous factors including, but not limited to, the strength of the financial markets, global market conditions, including inflationary pressures, interest rate fluctuations, our recovery and financial performance, the recovery and performance of our industry in general and the size, scope and timing of our financial needs. If we are unable to access current financings or secure future financings, including for any of the foregoing reasons, it will have a negative impact on our cash flows and our ability to meet our financial obligations. Failure to raise capital as and when needed, on favorable terms or at all, would have a significant negative impact on our financial condition and our ability to develop our product candidates.</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Our cash held in non-interest-bearing and interest-bearing accounts exceeds the Federal Deposit Insurance Corporation (“FDIC”) insurance limits. If such banking institutions were to fail, we could lose all or a portion of those amounts held in excess of such insurance limitations.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do not expect to make profits in the near future. Under Section 382 of the Internal Revenue Code of 1986, as amended, if a corporation undergoes an “ownership change” (generally defined as a greater than 50% change, by value, in its equity ownership over a three year period), the corporation’s ability to use its pre-change net operating loss carryforwards and other pre-change tax attributes to offset its post-change taxable income and taxes may be limited. We have undergone “ownership changes” as a result of shifts in stock ownership in the past, which significantly limited our ability to use net operating loss carryforwards and other pre-change tax attributes. Any additional ownership change within the definition of Section 382 would further limit our ability to use net operating loss carryforwards and other tax attributes. This change may require us to pay federal income taxes in future years despite generating a loss for federal income tax purposes in prior years.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each Form 10-K, as required by Section 404 of the Sarbanes-Oxley Act.</w:t>
      </w:r>
    </w:p>
    <w:p>
      <w:pPr>
        <w:spacing w:after="0" w:line="72"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may in the future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6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Furthermore, if we experience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is in large part dependent upon our ability to successfully develop our nanomedicine platform and commercialize rhenium (</w:t>
      </w:r>
      <w:r>
        <w:rPr>
          <w:rFonts w:ascii="Times New Roman" w:cs="Times New Roman" w:eastAsia="Times New Roman" w:hAnsi="Times New Roman"/>
          <w:sz w:val="24"/>
          <w:szCs w:val="24"/>
          <w:b w:val="1"/>
          <w:bCs w:val="1"/>
          <w:i w:val="1"/>
          <w:iCs w:val="1"/>
          <w:color w:val="auto"/>
          <w:vertAlign w:val="superscript"/>
        </w:rPr>
        <w:t>186</w:t>
      </w:r>
      <w:r>
        <w:rPr>
          <w:rFonts w:ascii="Times New Roman" w:cs="Times New Roman" w:eastAsia="Times New Roman" w:hAnsi="Times New Roman"/>
          <w:sz w:val="18"/>
          <w:szCs w:val="18"/>
          <w:b w:val="1"/>
          <w:bCs w:val="1"/>
          <w:i w:val="1"/>
          <w:iCs w:val="1"/>
          <w:color w:val="auto"/>
        </w:rPr>
        <w:t xml:space="preserve">Re) obisbemeda and </w:t>
      </w:r>
      <w:r>
        <w:rPr>
          <w:rFonts w:ascii="Times New Roman" w:cs="Times New Roman" w:eastAsia="Times New Roman" w:hAnsi="Times New Roman"/>
          <w:sz w:val="24"/>
          <w:szCs w:val="24"/>
          <w:b w:val="1"/>
          <w:bCs w:val="1"/>
          <w:i w:val="1"/>
          <w:iCs w:val="1"/>
          <w:color w:val="auto"/>
          <w:vertAlign w:val="superscript"/>
        </w:rPr>
        <w:t>188</w:t>
      </w:r>
      <w:r>
        <w:rPr>
          <w:rFonts w:ascii="Times New Roman" w:cs="Times New Roman" w:eastAsia="Times New Roman" w:hAnsi="Times New Roman"/>
          <w:sz w:val="18"/>
          <w:szCs w:val="18"/>
          <w:b w:val="1"/>
          <w:bCs w:val="1"/>
          <w:i w:val="1"/>
          <w:iCs w:val="1"/>
          <w:color w:val="auto"/>
        </w:rPr>
        <w:t>RNL-BAM and any failure to do so could significantly harm our business and prospects.</w:t>
      </w:r>
    </w:p>
    <w:p>
      <w:pPr>
        <w:spacing w:after="0" w:line="21" w:lineRule="exact"/>
        <w:rPr>
          <w:sz w:val="20"/>
          <w:szCs w:val="20"/>
          <w:color w:val="auto"/>
        </w:rPr>
      </w:pPr>
    </w:p>
    <w:p>
      <w:pPr>
        <w:jc w:val="both"/>
        <w:ind w:right="20" w:firstLine="300"/>
        <w:spacing w:after="0" w:line="227" w:lineRule="auto"/>
        <w:rPr>
          <w:sz w:val="20"/>
          <w:szCs w:val="20"/>
          <w:color w:val="auto"/>
        </w:rPr>
      </w:pPr>
      <w:r>
        <w:rPr>
          <w:rFonts w:ascii="Times New Roman" w:cs="Times New Roman" w:eastAsia="Times New Roman" w:hAnsi="Times New Roman"/>
          <w:sz w:val="18"/>
          <w:szCs w:val="18"/>
          <w:color w:val="auto"/>
        </w:rPr>
        <w:t>Our ability to successfully develop and commercialize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subject to a number of risks, including the following:</w:t>
      </w:r>
    </w:p>
    <w:p>
      <w:pPr>
        <w:spacing w:after="0" w:line="90" w:lineRule="exact"/>
        <w:rPr>
          <w:sz w:val="20"/>
          <w:szCs w:val="20"/>
          <w:color w:val="auto"/>
        </w:rPr>
      </w:pPr>
    </w:p>
    <w:p>
      <w:pPr>
        <w:ind w:left="1140" w:hanging="383"/>
        <w:spacing w:after="0" w:line="28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substantive drug development, manufacturing, and commercialization experience, and thus we may be required to hire and rely on significant numbers of scientific, quality, regulatory and other technical personnel with the experience and</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jc w:val="both"/>
        <w:ind w:left="1140"/>
        <w:spacing w:after="0" w:line="257" w:lineRule="auto"/>
        <w:rPr>
          <w:sz w:val="20"/>
          <w:szCs w:val="20"/>
          <w:color w:val="auto"/>
        </w:rPr>
      </w:pPr>
      <w:r>
        <w:rPr>
          <w:rFonts w:ascii="Times New Roman" w:cs="Times New Roman" w:eastAsia="Times New Roman" w:hAnsi="Times New Roman"/>
          <w:sz w:val="18"/>
          <w:szCs w:val="18"/>
          <w:color w:val="auto"/>
        </w:rPr>
        <w:t>expertise necessary to develop, manufacture, and commercialize our nanomedicine product candidates. We may be unable to identify, hire and retain personnel with the requisite experience to conduct the operations necessary to obtain regulatory clearance, authorization or approval and commercialize our RNL product candidates, in which case our business would be materially harmed;</w:t>
      </w:r>
    </w:p>
    <w:p>
      <w:pPr>
        <w:spacing w:after="0" w:line="1" w:lineRule="exact"/>
        <w:rPr>
          <w:sz w:val="20"/>
          <w:szCs w:val="20"/>
          <w:color w:val="auto"/>
        </w:rPr>
      </w:pPr>
    </w:p>
    <w:p>
      <w:pPr>
        <w:jc w:val="both"/>
        <w:ind w:left="1140" w:hanging="383"/>
        <w:spacing w:after="0" w:line="250"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find a commercialization partner to share or assume responsibility for marketing, sales, and distribution activities and related costs and expenses for our RNL product candidates. There can be no assurance that we would obtain sufficient capital to fund the development, manufacturing, and commercialization of our nanomedicine program ourselves, or if we do obtain such capital, that our development, manufacturing, and commercialization efforts would be successful; and</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incur unanticipated expenses in our business, are unable to timely obtain sufficient additional capital on terms acceptable to us (or at all) to fund this business, our ability to develop our RNL product candidates could be materially and adversely impacted.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i w:val="1"/>
          <w:iCs w:val="1"/>
          <w:color w:val="auto"/>
          <w:vertAlign w:val="superscript"/>
        </w:rPr>
        <w:t>188</w:t>
      </w:r>
      <w:r>
        <w:rPr>
          <w:rFonts w:ascii="Times New Roman" w:cs="Times New Roman" w:eastAsia="Times New Roman" w:hAnsi="Times New Roman"/>
          <w:sz w:val="18"/>
          <w:szCs w:val="18"/>
          <w:b w:val="1"/>
          <w:bCs w:val="1"/>
          <w:i w:val="1"/>
          <w:iCs w:val="1"/>
          <w:color w:val="auto"/>
        </w:rPr>
        <w:t>RNL-BAM will be regulated as a medical device, which may result in additional regulatory and other risks.</w:t>
      </w:r>
    </w:p>
    <w:p>
      <w:pPr>
        <w:spacing w:after="0" w:line="66" w:lineRule="exact"/>
        <w:rPr>
          <w:sz w:val="20"/>
          <w:szCs w:val="20"/>
          <w:color w:val="auto"/>
        </w:rPr>
      </w:pPr>
    </w:p>
    <w:p>
      <w:pPr>
        <w:jc w:val="both"/>
        <w:ind w:right="20" w:firstLine="300"/>
        <w:spacing w:after="0" w:line="227" w:lineRule="auto"/>
        <w:rPr>
          <w:sz w:val="20"/>
          <w:szCs w:val="20"/>
          <w:color w:val="auto"/>
        </w:rPr>
      </w:pP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was developed and tested preclinically as a drug product. 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moving forward, be regulated instead as a medical device.</w:t>
      </w:r>
    </w:p>
    <w:p>
      <w:pPr>
        <w:spacing w:after="0" w:line="90"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we must first receive either clearance under Section 510(k) of the FDCA, de novo authorization, or premarket approval (“PMA”), from the FDA, unless an exemption applies. In the process of obtaining either premarket clearance, authorization, or approval, following these routes respectively, the FDA must determine that a proposed device is either substantially equivalent to a legally marketed predicate device with similar intended uses and the same technological characteristics or technological characteristics that do not raise different questions of safety or effectiveness , that a device is either low or moderate risk and its benefits outweigh its risks, or that it is has a reasonable assurance of safety and effectiveness for its intended use, based, in part, on extensive data, which may include, but is not limited to, technical, preclinical, clinical, manufacturing and labeling data. The PMA process is typically required for devices that are deemed to pose the greatest risk, such as life sustaining, life supporting or implantable devices.</w:t>
      </w:r>
    </w:p>
    <w:p>
      <w:pPr>
        <w:spacing w:after="0" w:line="8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Modifications to products that are approved through a PMA generally require FDA approval of the modifications through a PMA supplemental application. The PMA approval, de novo authorization, and the 510(k) clearance processes can be expensive, lengthy and uncertain. The processes of obtaining a PMA and a de novo are particularly costly and uncertain and can take a year or even longer, from the time the application is submitted to the FDA. In addition, a PMA and a de novo generally require the performance of one or more clinical studies. Despite the time, effort and cost, a medical device may not be approved by the FDA. Any delay or failure to obtain necessary regulatory clearance, authorization or approvals could harm our business. Furthermore, even if we are granted regulatory clearance, authorization or approvals, they may include significant limitations on the cleared, authorized, approved and labeled indications for use for the device, which may limit the market for the device.</w:t>
      </w:r>
    </w:p>
    <w:p>
      <w:pPr>
        <w:spacing w:after="0" w:line="81"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8"/>
          <w:szCs w:val="18"/>
          <w:color w:val="auto"/>
        </w:rPr>
        <w:t xml:space="preserve">In addition, comparable foreign regulatory authorities to the FDA have approval policies and regulations related to the safety and performance requirements that apply to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either as medical devices or as drugs, depending on each jurisdiction’s regulatory requirements. Accordingly, to the extent that we intend to sell medical devices or drugs in Member States of the EU or other foreign jurisdictions, the regulatory approval pathway for our product candidates, including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may be uncertain, complex, expensive and lengthy, and approval may not be obtained.</w:t>
      </w:r>
    </w:p>
    <w:p>
      <w:pPr>
        <w:spacing w:after="0" w:line="16" w:lineRule="exact"/>
        <w:rPr>
          <w:sz w:val="20"/>
          <w:szCs w:val="20"/>
          <w:color w:val="auto"/>
        </w:rPr>
      </w:pPr>
    </w:p>
    <w:p>
      <w:pPr>
        <w:jc w:val="both"/>
        <w:ind w:firstLine="300"/>
        <w:spacing w:after="0" w:line="218" w:lineRule="auto"/>
        <w:rPr>
          <w:sz w:val="20"/>
          <w:szCs w:val="20"/>
          <w:color w:val="auto"/>
        </w:rPr>
      </w:pPr>
      <w:r>
        <w:rPr>
          <w:rFonts w:ascii="Times New Roman" w:cs="Times New Roman" w:eastAsia="Times New Roman" w:hAnsi="Times New Roman"/>
          <w:sz w:val="18"/>
          <w:szCs w:val="18"/>
          <w:color w:val="auto"/>
        </w:rPr>
        <w:t xml:space="preserve">Failure to successfully develop or supply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medical device component, delays in or failure of the studies conducted by us, our collaborators, or third-party providers, or failure of our management, our collaborators, or third-party providers to obtain or maintain regulatory clearance or approval of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as a medical device or drug, as applicable in each jurisdiction, could result in increased development costs, delays in or failure to obtain regulatory approval, and associated delays in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reaching the market. Further, failure to successfully develop or supply the device, or to gain or maintain its approval, could adversely affect our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recently acquired the CNSide Portfolio, and we may not be successful in our efforts to develop, fully utilize and monetize it.</w:t>
      </w:r>
    </w:p>
    <w:p>
      <w:pPr>
        <w:spacing w:after="0" w:line="22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Since acquiring the CNSide Platform in 2024, we have established infrastructure to support a scalable and centralized testing laboratory in Houston, TX that will service the U.S. market. We have been executing on our commercial market access strategy, which includes prioritized state licensure, proprietary reimbursement codes, commercial and government payor coverage, and value-based pricing to optimize revenue. We re-introduced the CNSide Platform first in Texas in August of 2025, signed national agreements to provide the CNSide Test with UnitedHealthcare Insurance Company and Humana, Inc., and obtained state licensure for 49 of 50 US states by January 2026, with the remaining license for the state of New York on track for 2027.</w:t>
      </w:r>
    </w:p>
    <w:p>
      <w:pPr>
        <w:spacing w:after="0" w:line="75"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On May 6, 2024, the FDA issued a final rule amending the definition of an in vitro diagnostic (“IVD”) device to include tests manufactured by a clinical laboratory. This rule would have required LDTs manufactured by a laboratory to comply with the same general regulatory requirements as other medical devices. Two lawsuits challenging FDA’s authority to regulate LDTs—one by the American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Laboratory Association and the other by the Association for Molecular Pathology— were filed in federal district courts in Texas in 2024 and were subsequently consolidated.</w:t>
      </w:r>
    </w:p>
    <w:p>
      <w:pPr>
        <w:spacing w:after="0" w:line="54" w:lineRule="exact"/>
        <w:rPr>
          <w:sz w:val="20"/>
          <w:szCs w:val="20"/>
          <w:color w:val="auto"/>
        </w:rPr>
      </w:pPr>
    </w:p>
    <w:p>
      <w:pPr>
        <w:jc w:val="both"/>
        <w:ind w:right="20" w:firstLine="300"/>
        <w:spacing w:after="0" w:line="266" w:lineRule="auto"/>
        <w:rPr>
          <w:sz w:val="20"/>
          <w:szCs w:val="20"/>
          <w:color w:val="auto"/>
        </w:rPr>
      </w:pPr>
      <w:r>
        <w:rPr>
          <w:rFonts w:ascii="Times New Roman" w:cs="Times New Roman" w:eastAsia="Times New Roman" w:hAnsi="Times New Roman"/>
          <w:sz w:val="18"/>
          <w:szCs w:val="18"/>
          <w:color w:val="auto"/>
        </w:rPr>
        <w:t>On March 31, 2025, the court issued an order vacating the final rule, thereby overturning the rulemaking’s associated requirements. The district court ruled that FDA lacks jurisdiction to regulate LDTs because they do not meet the definition of a medical device under the FDC Act. The government did not appeal.</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been previously introduced. For example, the VALID Act, introduced in 2021, 2023 and again in 2025, would have established a new risk-based regulatory framework for in vitro clinical tests (IVCTs), a category which would have included IVDs, LDTs, collection devices and instruments used with such tests. It is unclear whether the court decision will renew interest in a legislative path for LDT regulation.</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If the regulatory framework for LDTs changes in the future, CNSide Diagnostics may also be required to comply with these FDA or other, different regulations. Failure to comply with applicable regulatory requirements may trigger a range of enforcement actions, and may disqualify or delay a company from launching an LDT product, or prevent a company with an LDT on the marketing from continuing to sell their test.</w:t>
      </w:r>
    </w:p>
    <w:p>
      <w:pPr>
        <w:spacing w:after="0" w:line="6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generate or grow sales of the CNSide Test or that we will develop or commercialize any other diagnostic products or services that will generate significant revenue. The commercial success of our tests, our successful commercialization of any new diagnostic products and our ability to generate revenues will depend on a variety of factors, including the following:</w:t>
      </w:r>
    </w:p>
    <w:p>
      <w:pPr>
        <w:spacing w:after="0" w:line="68" w:lineRule="exact"/>
        <w:rPr>
          <w:sz w:val="20"/>
          <w:szCs w:val="20"/>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in the medical community;</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in healthcare guidelines and recommendations;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in quality measures;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studies that may be published by government agencies, professional organizations, academic or medical journals or other key opinion leaders;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acceptance and demand;</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compliance with orders for our tests by healthcare providers, and patient adherence to recommendations regarding periodic re-testing;</w:t>
      </w:r>
    </w:p>
    <w:p>
      <w:pPr>
        <w:spacing w:after="0" w:line="53"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and educational programs, including successful direct-to-patient marketing such as television advertising and social media;</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and reimbursement by payers;</w:t>
      </w:r>
    </w:p>
    <w:p>
      <w:pPr>
        <w:spacing w:after="0" w:line="117"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federal or state laws that mandate coverage for CNS cancers and other types of screening, the extent to which those laws mandate coverage of our tests and the enforcement of those laws;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nature of competition from other products and procedures;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regulatory licensure, clearance, authorization, or approvals to legally market our products and services;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use of our ordering process for healthcare providers.</w:t>
      </w:r>
    </w:p>
    <w:p>
      <w:pPr>
        <w:spacing w:after="0" w:line="117"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If we are unable to generate or grow sales of the CNSide Test, we are delayed or limited in doing so, or we are unable to successfully commercialize the CNSide Test, our business prospects, financial condition, and results of operations would be adversely affected.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partner with other companies to commercialize our product candidates, our business could materially suffer.</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 key part of our business strategy is to leverage strategic partnerships and collaborations to commercialize our product candidates. We do not have the financial, human or other resources necessary to develop, commercialize, launch or sell our therapeutic offerings in all of the geographies that we are targeting, and thus it is important that we identify and partner with third parties who possess the necessary resources to bring our product candidates to market. We expect that any such partners will provide regulatory and reimbursement/pricing expertise, sales and marketing resources, and other expertise and resources vital to the success of our product offerings in their territories. We further expect, but cannot guarantee, that any such partnering arrangements will include upfront cash payments to us in return for the rights to develop, manufacture, and/or sell our product candidates in specified territories, as well as downstream revenue in the form of milestone payments and royalties. If we are unable to successfully partner with other companies to commercialize our product candidates, our business could materially suffer.</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substantial part on our ability to obtain regulatory clearance, authorization or approval for our RNL product candidates. However, we cannot be certain that we will receive regulatory clearance, authorization or approval for these product candidates or our other product candidates.</w:t>
      </w:r>
    </w:p>
    <w:p>
      <w:pPr>
        <w:spacing w:after="0" w:line="67"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have a limited number of product candidates in development, and our business depends substantially on their successful development and commercialization. Our product candidates will require development, regulatory review and clearance, authorization or approval in multiple jurisdictions, substantial investment, access to sufficient commercial manufacturing capacity and significant marketing efforts before we can generate any revenue from sales of our product candidates. The research, testing, manufacturing, labeling, approval, sale, marketing and distribution of products are subject to extensive regulation by the FDA and other regulatory authorities in the United States and other countries, whose regulations differ from country to country.</w:t>
      </w:r>
    </w:p>
    <w:p>
      <w:pPr>
        <w:spacing w:after="0" w:line="75"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are not permitted to market our product candidates in the United States until we receive clearance, authorization or approval from the FDA, or in any foreign countries until we receive the requisite clearance, authorization or approval from the regulatory authorities of such countries (including centralized marketing authorization from the European Commission), and we may never receive such regulatory clearance, authorization or approvals. Obtaining regulatory clearance, authorization or approval for a product candidate is a lengthy, expensive and uncertain process, and may not be obtained. Any failure to obtain regulatory clearance, authorization or approval of any of our product candidates would limit our ability to generate future revenue (and any failure to obtain such clearance, authorization or approval for all of the indications and labeling claims we deem desirable could reduce our potential revenue), would potentially harm the development prospects of our product candidates and would have a material and adverse impact on our business.</w:t>
      </w:r>
    </w:p>
    <w:p>
      <w:pPr>
        <w:spacing w:after="0" w:line="84" w:lineRule="exact"/>
        <w:rPr>
          <w:sz w:val="20"/>
          <w:szCs w:val="20"/>
          <w:color w:val="auto"/>
        </w:rPr>
      </w:pPr>
    </w:p>
    <w:p>
      <w:pPr>
        <w:jc w:val="both"/>
        <w:ind w:right="20" w:firstLine="300"/>
        <w:spacing w:after="0" w:line="266" w:lineRule="auto"/>
        <w:rPr>
          <w:sz w:val="20"/>
          <w:szCs w:val="20"/>
          <w:color w:val="auto"/>
        </w:rPr>
      </w:pPr>
      <w:r>
        <w:rPr>
          <w:rFonts w:ascii="Times New Roman" w:cs="Times New Roman" w:eastAsia="Times New Roman" w:hAnsi="Times New Roman"/>
          <w:sz w:val="18"/>
          <w:szCs w:val="18"/>
          <w:color w:val="auto"/>
        </w:rPr>
        <w:t>Even if we successfully obtain regulatory clearance, authorization or approvals to market our product candidates, our revenue will be dependent, in part, on our ability to commercialize such products as well as the size of the markets in the territories for which we gain regulatory clearance, authorization or approval. If the markets for our product candidates are not as significant as we estimate, our business and prospects will be harmed.</w:t>
      </w:r>
    </w:p>
    <w:p>
      <w:pPr>
        <w:spacing w:after="0" w:line="6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If a product candidate is not cleared, authorized or approved in a timely fashion on commercially viable terms, or if development of any product candidate is terminated due to difficulties or delays encountered in the regulatory clearance, authorization or approval process, it could have a material adverse effect on our business, and we may become more dependent on the development of other proprietary products and/or our ability to successfully acquire other products and technologies. There can be no assurance that any product candidate will receive regulatory approval in a timely manner, or at all.</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party to a key collaboration, licensing, development, acquisition or similar arrangement fail to perform material obligations, or commit a breach, under such arrangement, or any arrangement is terminated for any reason, there could be an adverse effect on our business.</w:t>
      </w:r>
    </w:p>
    <w:p>
      <w:pPr>
        <w:spacing w:after="0" w:line="5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are currently party to certain licensing, collaboration and acquisition agreements under which we may make or receive future payments in the form of milestone payments, maintenance fees, royalties and/or minimum product purchases. Our collaborators may not devote the attention and resources to such efforts to be successful. The termination of a key collaboration agreement by one of our collaborators could materially impact our ability to enter into additional collaboration agreements with new collaborators on favorable terms.</w:t>
      </w:r>
    </w:p>
    <w:p>
      <w:pPr>
        <w:spacing w:after="0" w:line="72" w:lineRule="exact"/>
        <w:rPr>
          <w:sz w:val="20"/>
          <w:szCs w:val="20"/>
          <w:color w:val="auto"/>
        </w:rPr>
      </w:pPr>
    </w:p>
    <w:p>
      <w:pPr>
        <w:jc w:val="both"/>
        <w:ind w:firstLine="300"/>
        <w:spacing w:after="0" w:line="230" w:lineRule="auto"/>
        <w:rPr>
          <w:sz w:val="20"/>
          <w:szCs w:val="20"/>
          <w:color w:val="auto"/>
        </w:rPr>
      </w:pPr>
      <w:r>
        <w:rPr>
          <w:rFonts w:ascii="Times New Roman" w:cs="Times New Roman" w:eastAsia="Times New Roman" w:hAnsi="Times New Roman"/>
          <w:sz w:val="18"/>
          <w:szCs w:val="18"/>
          <w:color w:val="auto"/>
        </w:rPr>
        <w:t>On March 29, 2020, we entered into an exclusive license agreement with NanoTx for the global rights to develop and commercialize NanoTx’s glioblastoma treatment,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Under the license agreement with NanoTx, we are required to use commercial reasonable efforts to develop 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product candidate acquired under the license agreement. Further, we are subject to future milestone, earn-out and other payments to NanoTx all of which are tied to our commercialization and sale activities for product candidates. If we are unsuccessful in our efforts to develop these assets, or if NanoTx and we were to enter into a dispute over the terms of our agreement, then our business could be seriously harmed.</w:t>
      </w:r>
    </w:p>
    <w:p>
      <w:pPr>
        <w:spacing w:after="0" w:line="91" w:lineRule="exact"/>
        <w:rPr>
          <w:sz w:val="20"/>
          <w:szCs w:val="20"/>
          <w:color w:val="auto"/>
        </w:rPr>
      </w:pPr>
    </w:p>
    <w:p>
      <w:pPr>
        <w:jc w:val="both"/>
        <w:ind w:firstLine="300"/>
        <w:spacing w:after="0" w:line="233" w:lineRule="auto"/>
        <w:rPr>
          <w:sz w:val="20"/>
          <w:szCs w:val="20"/>
          <w:color w:val="auto"/>
        </w:rPr>
      </w:pPr>
      <w:r>
        <w:rPr>
          <w:rFonts w:ascii="Times New Roman" w:cs="Times New Roman" w:eastAsia="Times New Roman" w:hAnsi="Times New Roman"/>
          <w:sz w:val="18"/>
          <w:szCs w:val="18"/>
          <w:color w:val="auto"/>
        </w:rPr>
        <w:t>On December 31, 2021, we entered into an exclusive license agreement with UTHSCSA for the global rights to develop and commercialize Rhenium-188 NanoLiposome biodegradable alginate microspheres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Under the license agreement with UTHSCSA, we are required to use commercial reasonable efforts to develop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 acquired under the license agreement. Further, we are subject to future milestone, earn-out and other payments to UTHSCSA all of which are tied to our commercialization and sale activities for product candidates. If we are unsuccessful in our efforts to develop these assets, or if UTHSCSA and we were to enter into a dispute over the terms of our agreement, then our business could be seriously harmed.</w:t>
      </w:r>
    </w:p>
    <w:p>
      <w:pPr>
        <w:spacing w:after="0" w:line="9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we breach any of the agreements under which we license the use, development and commercialization rights to our product candidates or technology from third parties, we could lose license rights that are important to our business.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72"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7" w:lineRule="exact"/>
        <w:rPr>
          <w:rFonts w:ascii="Times New Roman" w:cs="Times New Roman" w:eastAsia="Times New Roman" w:hAnsi="Times New Roman"/>
          <w:sz w:val="18"/>
          <w:szCs w:val="18"/>
          <w:color w:val="auto"/>
        </w:rPr>
      </w:pPr>
    </w:p>
    <w:p>
      <w:pPr>
        <w:ind w:left="1140" w:hanging="383"/>
        <w:spacing w:after="0" w:line="26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5" w:lineRule="exact"/>
        <w:rPr>
          <w:sz w:val="20"/>
          <w:szCs w:val="20"/>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intellectual property rights to third parties under collaborative development relationships;</w:t>
      </w:r>
    </w:p>
    <w:p>
      <w:pPr>
        <w:spacing w:after="0" w:line="27"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ind w:left="114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inventors are able to contest the assignment of their rights to our licensors.</w:t>
      </w:r>
    </w:p>
    <w:p>
      <w:pPr>
        <w:spacing w:after="0" w:line="9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business strategy is high-risk and may not be successful.</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Our current business strategy is to aggressively develop our nanomedicine platforms and CNSide Platform, while simultaneously controlling expenses, which is a high-risk strategy for a number of reasons including the following:</w:t>
      </w:r>
    </w:p>
    <w:p>
      <w:pPr>
        <w:spacing w:after="0" w:line="54" w:lineRule="exact"/>
        <w:rPr>
          <w:sz w:val="20"/>
          <w:szCs w:val="20"/>
          <w:color w:val="auto"/>
        </w:rPr>
      </w:pPr>
    </w:p>
    <w:p>
      <w:pPr>
        <w:ind w:left="1140" w:hanging="383"/>
        <w:spacing w:after="0" w:line="238"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prior experience with obtaining regulatory, reimbursement, or other approvals for product candidates such as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or the CNSide Test;</w:t>
      </w:r>
    </w:p>
    <w:p>
      <w:pPr>
        <w:ind w:left="1140" w:right="20" w:hanging="383"/>
        <w:spacing w:after="0" w:line="249"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nanomedicine product candidates, if commercialized, will compete against established competitive drugs that are marketed and sold by large companies with significant human, technical and financial resources;</w:t>
      </w: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experienced in acquiring and integrating new assets;</w:t>
      </w:r>
    </w:p>
    <w:p>
      <w:pPr>
        <w:spacing w:after="0" w:line="9"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intense and rapidly evolving competitive landscape for our nanomedicine product candidates, including chemotherapies, targeted therapies and immuno-oncology therapies, and as such key assumptions regarding market entry, pricing, and revenue/unit share may not be realized;</w:t>
      </w:r>
    </w:p>
    <w:p>
      <w:pPr>
        <w:spacing w:after="0" w:line="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and clinical laboratory tests may never become commercially viable; and</w:t>
      </w:r>
    </w:p>
    <w:p>
      <w:pPr>
        <w:spacing w:after="0" w:line="9" w:lineRule="exact"/>
        <w:rPr>
          <w:rFonts w:ascii="Times New Roman" w:cs="Times New Roman" w:eastAsia="Times New Roman" w:hAnsi="Times New Roman"/>
          <w:sz w:val="18"/>
          <w:szCs w:val="18"/>
          <w:color w:val="auto"/>
        </w:rPr>
      </w:pPr>
    </w:p>
    <w:p>
      <w:pPr>
        <w:ind w:left="1140" w:hanging="383"/>
        <w:spacing w:after="0" w:line="260"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prevent other companies from depriving us of market share and profit margins by selling products based on our intellectual property and developments.</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government funding for our programs may impose requirements that limit our ability to take certain actions, and subject it to potential financial penalties, which could materially and adversely affect our business, financial condition and results of operations.</w:t>
      </w:r>
    </w:p>
    <w:p>
      <w:pPr>
        <w:spacing w:after="0" w:line="5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 significant portion of our funding will come from grants received from CPRIT. The CPRIT Grant includes provisions that reflect the government’s substantial rights and remedies, many of which are not typically found in commercial contracts, including powers of the government to potentially require repayment of all or a portion of the grant award proceeds, in certain cases with interest, in the event we violate certain covenants pertaining to various matters that include any potential relocation outside of the State of Texas. After the CPRIT Grant ends, we are not permitted to retain any unused grant award proceeds without CPRIT’s approval, but our obligation to pay CPRIT sales-based royalty, if and when commercialization is achieved, and other obligations, including our obligation to repay the disbursed grant proceeds under certain circumstances, to maintain certain records and documentation, to notify CPRIT of certain unexpected adverse events and our obligation to use reasonable efforts to ensure that any new or expanded preclinical testing, clinical trials, commercialization or manufacturing related to any aspect to our CPRIT project take place in Texas, survive the termination of the agreement.</w:t>
      </w:r>
    </w:p>
    <w:p>
      <w:pPr>
        <w:spacing w:after="0" w:line="84"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Our award from CPRIT requires us to pay CPRIT a portion of our revenues from sales of certain products by us, or received from our licensees or sublicensees, at tiered percentages of revenue in the low- to mid-single digits until the aggregate amount of such payments equals 400% of the grant award proceeds, and thereafter at a rate of 0.5% for as long as we maintain government exclusivity, subject to our right, under certain circumstances, to make a one-time payment in a specified amount to CPRIT to terminate such payment obligations. In addition, the grant contract also contains a provision that provides for repayment to CPRIT of some amount not to exceed the full amount of the grant proceeds under certain specified circumstances involving relocation of our principal place of business outside Texas.</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CPRIT Grant requires us, as a Texas-based company, to meet certain criteria, including among other things, that we maintain our headquarters in Texas and use certain vendors, consultants and employees that are located in Texas. If we fail to maintain compliance with any such requirements that may apply to us now or in the future, we may be subject to potential liability and to termination of our contracts, and potentially full repayment of the CPRIT Grant.</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DoD Award is dependent on continued U.S. government funding and government appropriations, which may not be forthcoming on a timely basis or at all.</w:t>
      </w:r>
    </w:p>
    <w:p>
      <w:pPr>
        <w:spacing w:after="0" w:line="15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The DoD Award, which entitles us to receive a $3.0 million fund for research and development purposes over a three-year period, and any future U.S. federal government grants we may receive, are dependent on government funding, which is generally subject to Congressional appropriations or continued government operations. Such grants are dependent upon sufficient funding for, and timely payment by, the entities providing any such grants. If the granting governmental agency does not receive sufficient appropriations for any reason, including due to a government shutdown or changes in the prevailing policies and budgetary priorities of the incumbent</w:t>
      </w:r>
    </w:p>
    <w:p>
      <w:pPr>
        <w:sectPr>
          <w:pgSz w:w="11900" w:h="16838" w:orient="portrait"/>
          <w:cols w:equalWidth="0" w:num="1">
            <w:col w:w="11240"/>
          </w:cols>
          <w:pgMar w:left="320" w:top="513" w:right="339"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administration, it may terminate our grant (in whole or in part) or reduce the scope of our grant, or delay or reduce payment to us. Any inability to award us any part of the DoD Award, any delay in payment, or the termination of the DoD Award, in whole or in part, due to a lapse in funding or otherwise, could adversely affect our business, financial condition or results of operations, or cash flows. The nature and timing of any related developments remain uncertain.</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market or develop products that are marketed more effectively, approved more quickly than our product candidates, or demonstrated to be safer or more effective than our product candidates, our commercial opportunities could be reduced or eliminated.</w:t>
      </w:r>
    </w:p>
    <w:p>
      <w:pPr>
        <w:spacing w:after="0" w:line="159" w:lineRule="exact"/>
        <w:rPr>
          <w:sz w:val="20"/>
          <w:szCs w:val="20"/>
          <w:color w:val="auto"/>
        </w:rPr>
      </w:pPr>
    </w:p>
    <w:p>
      <w:pPr>
        <w:jc w:val="both"/>
        <w:ind w:right="20" w:firstLine="300"/>
        <w:spacing w:after="0" w:line="261" w:lineRule="auto"/>
        <w:rPr>
          <w:sz w:val="20"/>
          <w:szCs w:val="20"/>
          <w:color w:val="auto"/>
        </w:rPr>
      </w:pPr>
      <w:r>
        <w:rPr>
          <w:rFonts w:ascii="Times New Roman" w:cs="Times New Roman" w:eastAsia="Times New Roman" w:hAnsi="Times New Roman"/>
          <w:sz w:val="18"/>
          <w:szCs w:val="18"/>
          <w:color w:val="auto"/>
        </w:rPr>
        <w:t>The life science industry is characterized by rapidly advancing technologies, intense competition, and a strong emphasis on proprietary therapeutics. We face competition from a number of sources, some of which may target the same indications as our products or product candidates, including small and large, domestic and multinational, medical device, biotechnology and pharmaceutical companies, academic institutions, government agencies, and private and public research institutions.</w:t>
      </w:r>
    </w:p>
    <w:p>
      <w:pPr>
        <w:spacing w:after="0" w:line="72"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Competitors may have greater experience in developing drugs and clinical laboratory tests, conducting clinical trials, obtaining regulatory clearances or approvals, manufacturing and commercialization. It is possible that competitors may obtain patent protection, approval, authorization, or clearance from the FDA or achieve commercialization earlier than we can, any of which could have a substantial negative effect on our business. Many of our potential competitors have substantially greater:</w:t>
      </w:r>
    </w:p>
    <w:p>
      <w:pPr>
        <w:spacing w:after="0" w:line="72"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and experience, including personnel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clinical trial and regulatory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and distribution resources and experience;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brand and product recognition;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experience and expertise in prosecution and enforcement of intellectual property rights.</w:t>
      </w:r>
    </w:p>
    <w:p>
      <w:pPr>
        <w:spacing w:after="0" w:line="207"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expect the product candidates in our pipeline, if approved, to compete on the basis of, among other things, product efficacy and safety, time to market, price, coverage, and reimbursement by third-party payers, extent of adverse side effects, and convenience of treatment procedures. One or more of our competitors may develop other products that compete with ours, obtain necessary clearance, authorization, or approvals for such products from the FDA, the European Commission, Ministry of Health, Labour and Welfare or other agencies, if required, more rapidly than we do or develop alternative products or therapies that are safer, more effective and/or more cost effective than any products developed by us. The competition that we encounter with respect to any of our product candidates that receive the requisite regulatory clearance, authorization, or approval and classification and are marketed may have an effect on our product prices, market share, and results of operations. We may not be able to differentiate any products that we are able to market from those of our competitors, successfully develop or introduce new products that are less costly or offer better results than those of our competitors, or offer purchasers of our products payment and other commercial terms as favorable as those offered by our competitors.</w:t>
      </w:r>
    </w:p>
    <w:p>
      <w:pPr>
        <w:spacing w:after="0" w:line="8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As a result of these factors, our competitors may obtain regulatory clearance, authorization, or approval of their products more quickly than we are able to or may obtain patent protection or other intellectual property rights, including regulatory exclusivities, that limit or block us from developing or commercializing our product candidates. Our competitors may also develop products that are more effective, more useful, better tolerated, subject to fewer or less severe side effects, more widely prescribed or accepted, or less costly than ours and may also be more successful than we are in manufacturing and marketing their products. If we are unable to compete effectively with the marketed therapeutics of our competitors or if such competitors are successful in developing products that compete with any of our product candidates that are cleared, authorized, or approved, our business, results of operations, financial condition, and prospects may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5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Clinical testing of our product candidates is a long, expensive and uncertain process, and the failure or delay of a clinical trial can occur at any stage. Many factors, currently known and unknown, can adversely affect clinical trials and the ability to evaluate a product candidate’s efficacy. During the course of treatment, patients can die or suffer other adverse events for reasons that may or may not be related to the proposed product being tested. Even if initial results of preclinical and nonclinical studies or clinical trial results are promising, we may obtain different results in subsequent trials or studies that fail to show the desired levels of safety and efficacy, or we may not obtain applicable regulatory approval for a variety of other reasons.</w:t>
      </w:r>
    </w:p>
    <w:p>
      <w:pPr>
        <w:spacing w:after="0" w:line="75"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Further, with respect to the conduct and results of clinical trials generally, in the United States, Europe, Japan, and other jurisdictions, the conduct and results of clinical trials can be delayed, limited, suspended, or otherwise adversely affected for many reasons, including, among others:</w:t>
      </w:r>
    </w:p>
    <w:p>
      <w:pPr>
        <w:spacing w:after="0" w:line="54" w:lineRule="exact"/>
        <w:rPr>
          <w:sz w:val="20"/>
          <w:szCs w:val="20"/>
          <w:color w:val="auto"/>
        </w:rPr>
      </w:pPr>
    </w:p>
    <w:p>
      <w:pPr>
        <w:ind w:left="1140" w:right="20" w:hanging="383"/>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other regulatory authorities outside of the United States on acceptable clinical trial design, or in obtaining authorization to commence a trial;</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line="261"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on acceptable terms with prospective clinical research organizations (“CROs”), and clinical trial sites;</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obtaining approval of an IRB or ethics committees before a clinical trial can be initiated at a prospective trial site;</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including as a result of changing standards of care or the ineligibility of a site to participate;</w:t>
      </w: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may not meet prescribed endpoints for the studies, produce negative or inconclusive results, or otherwise not provide sufficient data to support the efficacy of our product candidates;</w:t>
      </w:r>
    </w:p>
    <w:p>
      <w:pPr>
        <w:ind w:left="1140" w:right="2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test results may reveal side effects, adverse events or unexpected safety issues associated with the use of our product candidates;</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dosing issues;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trials, including the incurrence of unforeseen costs due to enrollment delays, requirements to conduct additional trials and studies, and increased expenses associated with the services of our CROs and other third parties;</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design appropriate clinical trial protocols;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subject recruitment and enrollment rates in clinical trials;</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or investigators may deviate from trial protocol or fail to conduct the trial in accordance with applicable regulatory requirements, or drop out of a trial;</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review may not find a product safe or effective enough to merit either continued testing or final approval;</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change our studies or conduct additional studies which may significantly delay or make continued pursuit of approval commercially unattractive;</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reject our trial data or disagree with our interpretations of either clinical trial data or applicable regulations;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required for product approval may be greater than what we originally anticipate, and we may decide to not pursue regulatory approval for such a product;</w:t>
      </w:r>
    </w:p>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identify problems or other deficiencies in our existing manufacturing processes or facilities or the existing processes or facilities of our collaborators, our contract manufacturers, or our raw material suppliers;</w:t>
      </w:r>
    </w:p>
    <w:p>
      <w:pPr>
        <w:ind w:left="1140" w:hanging="383"/>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change its formal or informal approval requirements and policies, act contrary to previous guidance, adopt new regulations, or raise new issues or concerns late in the approval process; and</w:t>
      </w:r>
    </w:p>
    <w:p>
      <w:pPr>
        <w:ind w:left="1140" w:right="20" w:hanging="383"/>
        <w:spacing w:after="0" w:line="26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regulatory agency may put a clinical study on hold pending additional safety data (and there can be no assurance that we will be able to satisfy the regulator agencies’ requests in a timely manner, which can lead to significant uncertainty in the completion of a clinical study).</w:t>
      </w:r>
    </w:p>
    <w:p>
      <w:pPr>
        <w:spacing w:after="0" w:line="73"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also face clinical trial-related risks with regard to our reliance on other third parties in the performance of many of the clinical trial functions, including CROs that help execute our clinical trials, the hospitals and clinics at which our trials are conducted, the clinical investigators at the trial sites, and other third-party service providers. Failure of any third-party service provider to adhere to applicable trial protocols, laws and regulations in the conduct of one of our clinical trials could adversely affect the conduct and results of such trial (including possible data integrity issues), which could seriously harm our business.</w:t>
      </w:r>
    </w:p>
    <w:p>
      <w:pPr>
        <w:spacing w:after="0" w:line="7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inhibited.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cash flows and prospects significantly. In addition, many of the factors that cause, or lead to, a delay in the commencement or completion of clinical trials may also ultimately lead to the denial of regulatory approval of our product candidates. Further,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86"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development of our product candidates also may be delayed by other events beyond our control. For example, actions to limit federal agency budgets or personnel, may result in reductions to the FDA’s budget, employees, and operations, as well as changes to FDA regulatory programs, all of which may lead to slower response times and longer review periods, potentially affecting our ability to progress development of our product candidates, undergo regulatory inspections or obtain regulatory approval for our product candidates.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preliminary and interim data from clinical trials of our product candidates are not necessarily predictive of the results or success of ongoing or future clinical trials of our product candidates.</w:t>
      </w:r>
    </w:p>
    <w:p>
      <w:pPr>
        <w:spacing w:after="0" w:line="5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Preclinical studies and any positive preliminary and interim data from our clinical trials of our product candidates may not necessarily be predictive of the results of ongoing or later clinical trials. A number of companies in the pharmaceutical and biotechnology industries, including us and many other companies with greater resources and experience than us, have suffered significant setbacks in clinical trials, even after seeing promising results in prior preclinical studies and clinical trials. Preclinical studies and Phase 1 clinical trials are primarily designed and operate to test safety, to study pharmacokinetics and pharmacodynamics and to understand the side effects of product candidates at various doses and schedules. Even if we are able to complete our planned clinical trials of our product candidates according to our current development timeline, initial positive results from preclinical studies and early clinical trials of our product candidates may not be replicated in subsequent clinical trials. The design of our later stage clinical trials could differ in significant ways (e.g., inclusion and exclusion criteria, endpoints, statistical analysis plan) from our earlier stage clinical trials, which could cause the outcomes of the later stage trials to differ from those of our earlier stage clinical trials. If we fail to produce positive results in our planned clinical trials of any of our product candidates, the development timeline and regulatory approval and commercialization prospects for our product candidates, and, correspondingly, our business and financial prospects, could be materially adversely affected. If we fail to produce positive results in our planned clinical trials of any of our product candidates, the development timeline and regulatory approval and commercialization prospects for such product candidates, and, correspondingly, our business and financial prospects, could be materially adversely affected.</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limited resources, we may decide to pursue a particular product candidate and fail to advance product candidates that later demonstrate a greater chance of clinical and commercial success.</w:t>
      </w:r>
    </w:p>
    <w:p>
      <w:pPr>
        <w:spacing w:after="0" w:line="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are an early-stage company with limited resources and revenues. The product candidates we currently have under development will require significant development, preclinical and clinical testing and investment of significant funds before their commercialization. Because of this, we must make strategic decisions regarding resource allocations and which product candidates to pursue. There can be no assurance that we will be able to develop all potentially promising product candidates that we may identify. Based on preliminary results, we may choose to advance a particular product candidate that later fails to be successful, and simultaneously forgo or defer further investment in other product candidates that later are discovered to demonstrate greater promise in terms of clinical and commercial success. If we make resource allocation decisions that later are shown to be inaccurate, our business and prospects could be harmed.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results may fail to support approval of our product candidates.</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and/or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The FDA may also require us to conduct additional preclinical studies or clinical trials for our product candidates either prior to or post-approval, or it may object to elements of our clinical development program, requiring their alteration. This, in turn, would significantly adversely affect our business prospects.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 parties we engage are not able to successfully perform, we may not be able to successfully complete clinical development, obtain regulatory approval or commercialize our product candidates and our business could be substantially harmed.</w:t>
      </w:r>
    </w:p>
    <w:p>
      <w:pPr>
        <w:spacing w:after="0" w:line="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rely on third parties in the performance of many of the clinical trial functions, including CROs, which help execute our clinical trials, the hospitals and clinics at which our trials are conducted, the clinical investigators at the trial sites, and other third-party service providers. Failure of any third-party service provider to adhere to applicable trial protocols, GCP, laws and regulations in the conduct of one of our clinical trials could adversely affect the conduct and results of such trial (including possible data integrity issues), which could seriously harm our business.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w:t>
      </w:r>
    </w:p>
    <w:p>
      <w:pPr>
        <w:spacing w:after="0" w:line="8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also rely on third-party contract manufacturing organizations (“CMOs”) for all our requirements for raw materials, drug substance, and drug product. We have entered into contracts with third-party manufacturers to manufacture, supply, store and distribute supplies of our product candidates for our clinical trials. If any of our product candidates receives FDA approval, we expect to rely on third-party contractors to manufacture our drugs. We have no current plans to build internal manufacturing capacity for any product candidate, and we have no long-term supply arrangements with our current CMOs.</w:t>
      </w:r>
    </w:p>
    <w:p>
      <w:pPr>
        <w:spacing w:after="0" w:line="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reliance on third-party manufacturers exposes us to potential risks, such as the following:</w:t>
      </w:r>
    </w:p>
    <w:p>
      <w:pPr>
        <w:spacing w:after="0" w:line="117" w:lineRule="exact"/>
        <w:rPr>
          <w:sz w:val="20"/>
          <w:szCs w:val="20"/>
          <w:color w:val="auto"/>
        </w:rPr>
      </w:pPr>
    </w:p>
    <w:p>
      <w:pPr>
        <w:jc w:val="both"/>
        <w:ind w:left="1140" w:hanging="383"/>
        <w:spacing w:after="0" w:line="257"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contract with third-party manufacturers on acceptable terms, or at all, because the number of potential manufacturers is limited. Potential manufacturers of any product candidate that is approved will be subject to FDA compliance inspections and any new manufacturer would have to be qualified to produce our products;</w:t>
      </w:r>
    </w:p>
    <w:p>
      <w:pPr>
        <w:spacing w:after="0" w:line="1"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formulate and manufacture our drugs in the volume and of the quality required to meet our clinical and commercial needs, if any;</w:t>
      </w:r>
    </w:p>
    <w:p>
      <w:pPr>
        <w:ind w:left="1140" w:hanging="383"/>
        <w:spacing w:after="0" w:line="260"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not perform as agreed or may not remain in the contract manufacturing business for the time required to supply our clinical trials through completion or to successfully produce, store and distribute our commercial products, if approved;</w:t>
      </w:r>
    </w:p>
    <w:p>
      <w:pPr>
        <w:sectPr>
          <w:pgSz w:w="11900" w:h="16838" w:orient="portrait"/>
          <w:cols w:equalWidth="0" w:num="1">
            <w:col w:w="11240"/>
          </w:cols>
          <w:pgMar w:left="320" w:top="513" w:right="339" w:bottom="1440" w:gutter="0" w:footer="0" w:header="0"/>
        </w:sectPr>
      </w:pPr>
    </w:p>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line="26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CMOs during clinical trials or after approval may require us to conduct additional studies to demonstrate comparability between the products;</w:t>
      </w:r>
    </w:p>
    <w:p>
      <w:pPr>
        <w:jc w:val="both"/>
        <w:ind w:left="1140" w:hanging="383"/>
        <w:spacing w:after="0" w:line="250"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manufacturers are subject to ongoing periodic unannounced inspection by the FDA and other government agencies to ensure compliance with cGMP and other government regulations and corresponding foreign standards. We do not have control over third-party manufacturers’ compliance with these regulations and standards, but we are responsible for ensuring compliance with these requirements, and any failure to maintain compliance with applicable regulatory standards by our third-party manufacturers could delay or harm our ability to obtain approval for our products;</w:t>
      </w:r>
    </w:p>
    <w:p>
      <w:pPr>
        <w:spacing w:after="0" w:line="1"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third-party manufacturer makes improvements in the manufacturing process for our products, we may not own, or may have to share, the intellectual property rights to such improvements; and</w:t>
      </w:r>
    </w:p>
    <w:p>
      <w:pPr>
        <w:ind w:left="1140" w:hanging="383"/>
        <w:spacing w:after="0" w:line="260"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w:t>
      </w:r>
    </w:p>
    <w:p>
      <w:pPr>
        <w:spacing w:after="0" w:line="73"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Each of these risks could delay or have other adverse impacts on our clinical trials and the approval and commercialization of our product candidates, potentially resulting in higher costs, reduced revenues or both.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enrolling, or fail to enroll patients, in our clinical trials, which could delay or prevent clinical trials of our drug candidates.</w:t>
      </w:r>
    </w:p>
    <w:p>
      <w:pPr>
        <w:spacing w:after="0" w:line="243" w:lineRule="exact"/>
        <w:rPr>
          <w:sz w:val="20"/>
          <w:szCs w:val="20"/>
          <w:color w:val="auto"/>
        </w:rPr>
      </w:pPr>
    </w:p>
    <w:p>
      <w:pPr>
        <w:jc w:val="both"/>
        <w:ind w:firstLine="354"/>
        <w:spacing w:after="0" w:line="254" w:lineRule="auto"/>
        <w:rPr>
          <w:sz w:val="20"/>
          <w:szCs w:val="20"/>
          <w:color w:val="auto"/>
        </w:rPr>
      </w:pPr>
      <w:r>
        <w:rPr>
          <w:rFonts w:ascii="Times New Roman" w:cs="Times New Roman" w:eastAsia="Times New Roman" w:hAnsi="Times New Roman"/>
          <w:sz w:val="18"/>
          <w:szCs w:val="18"/>
          <w:color w:val="auto"/>
        </w:rPr>
        <w:t>Identifying and enrolling patients to participate in clinical trials of our product candidates is essential to our success. The timing of our clinical trials depends in part on the rate at which we can recruit patients to participate in clinical trials of our product candidates, and we may experience delays in our clinical trials if we encounter difficulties in enrollment. The eligibility criteria of our planned clinical trials may further limit the available eligible trial participants as we require that patients have specific characteristics that we can measure or meet the criteria to assure their conditions are appropriate for inclusion in our clinical trials. We may not be able to identify, recruit and enroll a sufficient number of patients to complete our clinical trials in a timely manner because of the perceived risks and benefits of the drug candidate under study, the availability and efficacy of competing therapies and clinical trials, and the willingness of physicians to participate in our planned clinical trials. If patients are unwilling to participate in our clinical trials for any reason, the timeline for conducting trials and obtaining regulatory approval of our drug candidates may be delayed.</w:t>
      </w:r>
    </w:p>
    <w:p>
      <w:pPr>
        <w:spacing w:after="0" w:line="84"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trials of our drug candidates, the commercial prospects of our product candidates could be harmed, and our ability to generate product revenue from any of these product candidates could be delayed or prevented. In addition, any delays in completing our clinical trials would likely increase our overall costs, impair product candidate development and jeopardize our ability to obtain regulatory approval relative to our current plans. Any of these occurrences may materially and adversely harm our business, financial condition, and prospects.</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particular product candidate causes significant adverse events, then we may be unable to receive regulatory approval or market acceptance for such product candidate.</w:t>
      </w:r>
    </w:p>
    <w:p>
      <w:pPr>
        <w:spacing w:after="0" w:line="5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the testing process that could delay or prevent commercialization of any of our product candidates, including the occurrence of significant adverse events in clinical trials. Such significant adverse events could lead to clinical trial challenges, such as difficulties in patient recruitment, retention, and adherence, potential product liability claims, and possible trial termination by us, regulatory authorities, and/or an IRB or ethics committees. These types of clinical trial challenges could delay or prevent regulatory approval of our product candidate. Significant adverse events may also lead regulatory authorities to require additional warnings on the label for such product, require us to conduct additional costly post-marketing studies, require us to develop a REMS, among other possible requirements. If the product candidate has already been approved, such approval may be withdrawn. Any delay in, denial, or withdrawal of marketing approval for one of our product candidates will adversely affect our financial position. Even if our product candidates receive marketing approval, undesirable side effects may limit the product’s commercial viability. Patients may not wish to use our product, physicians may not prescribe our product, and our reputation may suffer. Any of these events may significantly harm our business and financial prospects.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and technologies receive regulatory approval but do not achieve broad market acceptance, especially by physicians, the revenue that we generate will be limited.</w:t>
      </w:r>
    </w:p>
    <w:p>
      <w:pPr>
        <w:spacing w:after="0" w:line="5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commercial success of any of our approved products or technologies will depend upon the acceptance of these products and technologies by physicians, patients and the medical community. The degree of market acceptance of these products and technologies will depend on a number of factors, including, among others:</w:t>
      </w:r>
    </w:p>
    <w:p>
      <w:pPr>
        <w:spacing w:after="0" w:line="68"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publicity or political action related to our or our competitors’ products or technologies;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to authorities of the pharmacoeconomic benefits;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to authorities of the improvement in burden of illness;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a product’s approved labeling;</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payers’ level of restrictions and/or barriers to coverage;</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a product is approved;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perceived advantages of alternative treatments;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future collaborators’ sales, marketing and distribution strategies;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cost effectiveness.</w:t>
      </w:r>
    </w:p>
    <w:p>
      <w:pPr>
        <w:spacing w:after="0" w:line="9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expect physicians’ inertia and skepticism to also be a significant barrier as we attempt to gain market penetration with our future products. We believe we will continue to need to finance lengthy and time-consuming clinical studies to provide evidence of the medical benefit of our products and resulting therapies in order to overcome this inertia and skepticism.</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Overall, our efforts to educate the medical community on the benefits of any of our products or technologies for which we obtain marketing approval from the FDA or other regulatory authorities, including foreign regulatory authorities, and gain broad market acceptance may require significant resources and may never be successful. If our products and technologies do not achieve an adequate level of acceptance by physicians, pharmacists and patients, we may not generate sufficient revenue from these products to become or remain profitable.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potential applications of our product candidates are investigational, which subjects us to development and marketing risks.</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Our product candidates are at various stages of development. Successful development and market acceptance of our products is subject to developmental risks, including risk of negative clinical data from current and anticipated trials, failure of inventive imagination, ineffectiveness, lack of safety, unreliability, manufacturing hurdles, failure to receive necessary regulatory clearances or approvals, high commercial cost, preclusion or obsolescence resulting from third parties’ proprietary rights or superior or equivalent products, competition from copycat products and general economic conditions affecting purchasing patterns. There can be no assurance that we or our partners will successfully develop and commercialize our product candidates, or that our competitors will not develop competing technologies that are superior or less expensive. Failure to successfully develop and market our product candidates would have a substantial negative effect on our results of operations and financial condition. 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w:t>
      </w:r>
    </w:p>
    <w:p>
      <w:pPr>
        <w:spacing w:after="0" w:line="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product candidates are subject to extensive regulation, and the requirements to obtain regulatory approvals in the United States and other jurisdictions can be costly, time-consuming and unpredictable. If we or our partners are unable to obtain timely regulatory approval for our product candidates, our business may be substantially harmed.</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worldwide regulatory process for our nanomedicine drug candidates can be lengthy and expensive, with no guarantee of approval.</w:t>
      </w:r>
    </w:p>
    <w:p>
      <w:pPr>
        <w:spacing w:after="0" w:line="117"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Before any new drugs may be introduced to the U.S. market, the manufacturer generally must obtain FDA approval, which typically requires multiple successful and successive clinical trials to generate clinical data supportive of safety and efficacy along with extensive pharmacodynamic and pharmacokinetic preclinical testing to demonstrate safety.</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are numerous risks arising out of the regulation of our nanomedicine product candidates include the following:</w:t>
      </w:r>
    </w:p>
    <w:p>
      <w:pPr>
        <w:spacing w:after="0" w:line="117" w:lineRule="exact"/>
        <w:rPr>
          <w:sz w:val="20"/>
          <w:szCs w:val="20"/>
          <w:color w:val="auto"/>
        </w:rPr>
      </w:pPr>
    </w:p>
    <w:p>
      <w:pPr>
        <w:ind w:left="1140" w:hanging="383"/>
        <w:spacing w:after="0" w:line="261"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 provide no assurances that our current and future oncology drugs will meet all of the stringent government regulation in the United States under the FDCA, and/or in international markets such as the EU, by the EMA under its Medicinal Products Directive;</w:t>
      </w:r>
    </w:p>
    <w:p>
      <w:pPr>
        <w:ind w:left="1140" w:right="20" w:hanging="383"/>
        <w:spacing w:after="0" w:line="25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nanomedicine product candidates, if approved, will still be subject to post-market reporting requirements for instances where the drug may have caused or contributed to the death or serious injury, or serious adverse events; and</w:t>
      </w:r>
    </w:p>
    <w:p>
      <w:pPr>
        <w:ind w:left="1140" w:hanging="383"/>
        <w:spacing w:after="0" w:line="260"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 new legislation in our priority markets will yield additional regulatory requirements for therapeutic drugs for our nanomedicine product candidates.</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ongoing regulatory obligations and continued regulatory review, which may result in significant expense, and if we or our collaborators fail to comply with such requirements, regulatory agencies may take action against us or them, which could significantly harm our business.</w:t>
      </w:r>
    </w:p>
    <w:p>
      <w:pPr>
        <w:spacing w:after="0" w:line="6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Approved drug products are subject to ongoing regulatory requirements and oversight, including requirements related to manufacturing, quality control, conduct of post-marketing studies, labeling, packaging, storage, distribution, safety surveillance, import, export, advertising, promotion, recordkeeping and reporting. Regulatory authorities subject a marketed product, its manufacturer, and the manufacturing facilities to continual review and periodic inspections. We, our collaborators, and our and their respective contractors, suppliers and vendors, will be subject to ongoing regulatory requirements, including complying with regulations and laws regarding advertising, promotion and sales of products (including applicable anti-kickback, fraud and abuse and other health care laws and regulations), required submissions of safety and other post-market information and reports, registration requirements, cGMP regulations (including requirements relating to quality control and quality assurance, as well as the corresponding maintenance of records and documentation), and the requirements regarding the distribution of samples to physicians and recordkeeping requirements. Regulatory agencies may change existing requirements or adopt new requirements or policies that may be costly to comply with. We, our collaborators, and our and their respective contractors, suppliers, and vendors, may be slow to adapt or may not be able to adapt to these changes or new requirements.</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Failure to comply with regulatory requirements may result in any of the following:</w:t>
      </w:r>
    </w:p>
    <w:p>
      <w:pPr>
        <w:spacing w:after="0" w:line="117" w:lineRule="exact"/>
        <w:rPr>
          <w:sz w:val="20"/>
          <w:szCs w:val="20"/>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of our product candidates or manufacturing processes;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any of our ongoing clinical trials;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regulatory processes that will be applicable to LDTs are uncertain and may prevent us from obtaining required authorizations for the commercialization of our products and/or introduce additional costs associated with those products.</w:t>
      </w:r>
    </w:p>
    <w:p>
      <w:pPr>
        <w:spacing w:after="0" w:line="5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We re-introduced an LDT, the CNSide Test, in the U.S. in August 2025. If FDA were to determine that the CNSide Test is not an LDT or that it includes components or accessories that are medical devices, then FDA could try to regulate the test or its components/accessories as medical devices.</w:t>
      </w:r>
    </w:p>
    <w:p>
      <w:pPr>
        <w:spacing w:after="0" w:line="75"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1976, Congress passed the Medical Device Amendments to the FDCA. These amendments gave the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w:t>
      </w:r>
    </w:p>
    <w:p>
      <w:pPr>
        <w:spacing w:after="0" w:line="7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FDA has historically taken the position that it has the authority to regulate LDTs as IVD devices under the FDCA, although it has generally exercised enforcement discretion with regard to LDTs. This means that even though the FDA believes it can impose regulatory requirements on LDTs, such as requirements to obtain premarket approval, de novo classification or clearance of LDTs, it has generally chosen not to enforce those requirements.</w:t>
      </w:r>
    </w:p>
    <w:p>
      <w:pPr>
        <w:spacing w:after="0" w:line="68"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On May 6, 2024, the FDA issued a final rule amending the definition of an IVD to include tests manufactured by a clinical laboratory. This rule would have required LDTs to comply with the same general regulatory requirements as other medical devices. Two lawsuits challenging FDA’s authority to regulate LDTs—one by the American Clinical Laboratory Association and the other by the Association for Molecular Pathology— were filed in federal district courts in Texas in 2024 and were subsequently consolidated. On March 31, 2025, the court issued an order vacating the final rule, thereby overturning the rulemaking’s associated requirements. The district court ruled the FDA lacks jurisdiction to regulate LDTs because they do not meet the definition of a medical device under the FDC Act. The government did not appeal.</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Legislative proposals addressing the FDA’s oversight of LDTs have been previously introduced. For example, the VALID Act, introduced in 2021, 2023 and again in 2025, would have established a new risk-based regulatory framework for in vitro clinical tests (IVCTs), a category which would have included IVDs, LDTs, collection devices and instruments used with such tests. It is unclear whether the court decision will renew interest in a legislative path for LDT regulation.</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If the regulatory framework for LDTs changes in the future, CNSide Diagnostics may also be required to comply with these FDA or other, different regulations. Failure to comply with applicable regulatory requirements may trigger a range of enforcement actions, and may disqualify or delay a company from launching an LDT product, or prevent a company with an LDT on the marketing from continuing to sell their test.</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Compliance with the FDCA for a medical device includes, among other things, registration and listing, quality management system regulations, and premarket authorization. 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new and/or emerging government regulations, including healthcare legislative reform measures, may adversely affect us.</w:t>
      </w:r>
    </w:p>
    <w:p>
      <w:pPr>
        <w:spacing w:after="0" w:line="121"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Our nanoparticle and microparticle technologies and pipeline oncology products and laboratory test are being developed under existing government criteria, which are subject to change in the future. Clinical and/or preclinical criteria and cGMP manufacturing requirements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may change and additional regulatory burdens may be imposed. 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may be required to consult with these regulatory and advisory groups and comply with applicable guidelines. If we fail to do so, we may be required to delay or discontinue development of our product candidates. Delay or failure to obtain, or unexpected costs in obtaining, the regulatory approval necessary to bring a product candidate to market could decrease our ability to generate sufficient revenue to maintain our business. Divergence in regulatory criteria for different regulatory agencies in international jurisdictions could result in the repeat of clinical studies and/or preclinical studies to satisfy local territory requirements, resulting in the repeating of studies and/or delays in the regulatory process. Some territories may require clinical data in their indigenous population, resulting in the repeat of clinical studies in whole or in part. Some territories may object to the formulation ingredients in the final finished product and may require reformulation to modify or remove objectionable components; resulting in delays in regulatory approvals. Such objectionable reformulations include, but are not limited to, human or animal components, Bovine Spongiform Encephalopathy and/or Transmissible Spongiform Encephalopathy risks, banned packaging components, prohibited chemicals, and banned substances. There can be no assurances that the FDA or foreign regulatory authorities will accept our preclinical and/or clinical data.</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Anticipated or unanticipated changes in the way or manner in which the FDA or other regulators regulate products or classes and groups of products, including LDTs, can delay, further burden, or alleviate regulatory pathways that were once available to other products. There are no guarantees that such changes in the FDA’s or other regulators’ approach to the regulatory process will not deleteriously affect some or all of our product candidates or product applications.</w:t>
      </w:r>
    </w:p>
    <w:p>
      <w:pPr>
        <w:spacing w:after="0" w:line="72"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Further, any increased scrutiny of the FDA’s approval process for drugs and biological products may significantly delay or prevent marketing approval, as well as subject us to more stringent product labeling and post-marketing testing and other requirements. There also are a number of state and local legislative and regulatory efforts related to drug pricing, including drug price transparency laws that apply to pharmaceutical manufacturers, which may have an impact on our business.</w:t>
      </w:r>
    </w:p>
    <w:p>
      <w:pPr>
        <w:spacing w:after="0" w:line="7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If the regulatory framework for LDTs changes in the future, CNSide Diagnostics may also be required to comply with these FDA or other, different regulations. Failure to comply with applicable regulatory requirements may trigger a range of enforcement actions, and may disqualify or delay a company from launching an LDT product, or prevent a company with an LDT on the marketing from continuing to sell their test.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In addition, the Drug Supply Chain Security Act enacted in 2013 imposes obligations on manufacturers of pharmaceutical products related to product tracking and tracing. In December 2019, the Further Consolidated Appropriations Act for 2020 was signed into law (P.L. 116-94) that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 Other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197"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 candidates. In addition to continuing pressure on prices and cost containment measures, legislative developments at the EU or EU Member State level may result in significant additional requirements or obstacles that may increase our operating costs.</w:t>
      </w:r>
    </w:p>
    <w:p>
      <w:pPr>
        <w:spacing w:after="0" w:line="176"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expect that other legislative or healthcare reform measures that may be adopted in the future, may result in more rigorous coverage criteria, lower reimbursement, and additional downward pressure on the price that we will receive for any approved product. Any reduction in payments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LDTs or any product candidate for which we obtain regulatory approval.</w:t>
      </w:r>
    </w:p>
    <w:p>
      <w:pPr>
        <w:spacing w:after="0" w:line="159" w:lineRule="exact"/>
        <w:rPr>
          <w:sz w:val="20"/>
          <w:szCs w:val="20"/>
          <w:color w:val="auto"/>
        </w:rPr>
      </w:pPr>
    </w:p>
    <w:p>
      <w:pPr>
        <w:jc w:val="both"/>
        <w:ind w:firstLine="392"/>
        <w:spacing w:after="0" w:line="253"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or any product candidate for which we obtain regulatory approval.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or product candidates for which we obtain regulatory approval. The effect of any healthcare reform initiative implemented in the future could impact our revenue from the sale of our diagnostic tests or product candidates for which we obtain regulatory approval.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 Since the ACA was enacted, there have been a number of legislative and regulatory changes and proposed changes regarding the healthcare system that could, among other things, affect pricing and third-party payment for our product candidates prevent or delay marketing approval of our product candidates, restrict or regulate post-approval activities and negatively affect our ability to profitably sell any products for which we obtain marketing approval.</w:t>
      </w:r>
    </w:p>
    <w:p>
      <w:pPr>
        <w:spacing w:after="0" w:line="190"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Several healthcare reform initiatives culminated in the enactment of the IRA, which, among other things, requires HHS to directly negotiate the selling price of a statutorily specified number of drugs and biologics each year that CMS reimburses under Medicare Part B and Part D. The negotiated price may not exceed a statutory ceiling price.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In addition, CMS has selected and announced the negotiated maximum fair price for 15 additional Medicare Part D drugs, which will become effective for negotiated maximum fair pricing in 2027. For 2028, CMS selected an additional 15 drugs, comprised of drugs covered under Medicare Part D and, for the first time, drugs payable under Medicare Part B. For 2029 and subsequent years, 20 Part B or Part D drugs will be selected. Currently, a drug or biological product that has an orphan drug designation for only one rare disease or condition will be excluded from the IRA’s price negotiation requirements, but loses that exclusion if it has designations for more than one rare disease or condition, or if is approved for an indication that is not within that single designated rare disease or condition, unless such additional designation or such disqualifying approvals are withdrawn by the time CMS evaluates the drug for selection for negotiation. However, as a result of a statutory amendment enacted in July 2025, beginning with the 2028 negotiated price applicability year, a drug may be designated for more than one rare disease or condition and still be excluded from price negotiation, as long as the only approved indications are for such rare diseases or conditions. The IRA also imposes rebates on Medicare Part B and Part D drugs whose prices have increased at a rate greater than the rate of inflation. The IRA permits the Secretary of HHS to implement many of these provisions through guidance, as</w:t>
      </w:r>
    </w:p>
    <w:p>
      <w:pPr>
        <w:spacing w:after="0" w:line="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opposed to regulation, for the initial years. Manufacturers that fail to comply with the IRA may be subject to various penalties, some significant, including civil monetary penalties.</w:t>
      </w:r>
    </w:p>
    <w:p>
      <w:pPr>
        <w:spacing w:after="0" w:line="16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Further, at the U.S. state level, legislatures are increasingly enacting laws and implementing regulations designed to control pharmaceutical and biological product pricing, including price or reimbursement constraints, discount requirements, marketing cost disclosure and price increase transparency reporting, and programs designed to encourage importation from other countries and bulk purchasing.</w:t>
      </w:r>
    </w:p>
    <w:p>
      <w:pPr>
        <w:spacing w:after="0" w:line="176"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Additional healthcare reform measures may be adopted in the future, any of which could limit the amounts that federal and state governments will pay for healthcare products or otherwise negatively impact our business model. We expect pricing pressures will continue globally.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Adequate coverage and reimbursement from third party payors may not be available for our product candidates, which could diminish our sales or adversely affect our ability to sell our products profitably.</w:t>
      </w:r>
    </w:p>
    <w:p>
      <w:pPr>
        <w:spacing w:after="0" w:line="5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 candidates, if approved,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coverage and reimbursement guidelines and restrictions set by third party payors may have a significant impact on the prescribing physicians’ willingness and ability to prescribe our products. The demand for, and the profitability of, our products could be materially harmed if the state Medicaid programs,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84"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 candidates, if commercialized or refuse to provide any approvals or coverage.</w:t>
      </w:r>
    </w:p>
    <w:p>
      <w:pPr>
        <w:spacing w:after="0" w:line="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 candidates, once commercialized, may compete in a market with both branded and generic products, obtaining and maintaining access and reimbursement coverage for our products may be more challenging than for products that are new chemical entities for which no therapeutic alternatives exist. If our competitors offer a clinical lab test that competes with our CNSide Test but is viewed by clinicians or payers as being more cost effective or having greater clinical utility, we may not be able to realize the expected benefits of our test.</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have in-licensed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(the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us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Orphan drug designation may not ensure that we will enjoy market exclusivity in a particular market, and if we fail to obtain or maintain orphan drug designation or other regulatory exclusivity for some of our product candidates, our competitive position would be harmed.</w:t>
      </w:r>
    </w:p>
    <w:p>
      <w:pPr>
        <w:spacing w:after="0" w:line="58" w:lineRule="exact"/>
        <w:rPr>
          <w:sz w:val="20"/>
          <w:szCs w:val="20"/>
          <w:color w:val="auto"/>
        </w:rPr>
      </w:pPr>
    </w:p>
    <w:p>
      <w:pPr>
        <w:jc w:val="both"/>
        <w:ind w:firstLine="300"/>
        <w:spacing w:after="0" w:line="244" w:lineRule="auto"/>
        <w:rPr>
          <w:sz w:val="20"/>
          <w:szCs w:val="20"/>
          <w:color w:val="auto"/>
        </w:rPr>
      </w:pPr>
      <w:r>
        <w:rPr>
          <w:rFonts w:ascii="Times New Roman" w:cs="Times New Roman" w:eastAsia="Times New Roman" w:hAnsi="Times New Roman"/>
          <w:sz w:val="18"/>
          <w:szCs w:val="18"/>
          <w:color w:val="auto"/>
        </w:rPr>
        <w:t>In September 2020,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 In March 2025,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patients with lung cancer. A product candidate that receives orphan drug designation can benefit from potential commercial benefits following approval. Under the U.S. Orphan Drug Act, the FDA may designate a product candidate as an orphan drug if it is intended to treat a rare disease or condition, defined as affecting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 Currently, this designation makes the product eligible for market exclusivity in the U.S. and the EU for seven years and ten years, respectively, if a product is the first such product approved for such orphan indication. This market exclusivity does not, however, block indications other than those for which the drug is designated and indicated for, which can be narrower than the orphan drug designation, nor does it prevent drug products containing a different active moiety from receiving orphan designations or approvals in these same indications. Further, even after an orphan drug is approved, the FDA can subsequently approve a drug with similar chemical structure for the same indication if the FDA concludes that the new drug is clinically superior to the orphan product or a market shortage occurs. 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Notwithstanding orphan drug designation for some of our product candidates, we may not enjoy market exclusivity in a particular market, and if we fail to obtain or maintain orphan drug designation or other regulatory exclusivity for some of our product candidates, our competitive position would be harmed.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Fast Track Designation by the FDA may not lead to a faster development or regulatory review or approval process.</w:t>
      </w:r>
    </w:p>
    <w:p>
      <w:pPr>
        <w:spacing w:after="0" w:line="128" w:lineRule="exact"/>
        <w:rPr>
          <w:sz w:val="20"/>
          <w:szCs w:val="20"/>
          <w:color w:val="auto"/>
        </w:rPr>
      </w:pPr>
    </w:p>
    <w:p>
      <w:pPr>
        <w:jc w:val="both"/>
        <w:ind w:firstLine="300"/>
        <w:spacing w:after="0" w:line="234" w:lineRule="auto"/>
        <w:rPr>
          <w:sz w:val="20"/>
          <w:szCs w:val="20"/>
          <w:color w:val="auto"/>
        </w:rPr>
      </w:pPr>
      <w:r>
        <w:rPr>
          <w:rFonts w:ascii="Times New Roman" w:cs="Times New Roman" w:eastAsia="Times New Roman" w:hAnsi="Times New Roman"/>
          <w:sz w:val="18"/>
          <w:szCs w:val="18"/>
          <w:color w:val="auto"/>
        </w:rPr>
        <w:t>We have obtained Fast Track Designation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multiple indications. We may seek Fast Track Designation for other potential indications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or for one or more of our future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A Rare Pediatric Disease designation by the FDA does not guarantee that the NDA for the product will qualify for a priority review voucher upon approval, and it does not lead to a faster development or regulatory review process, or increase the likelihood that rhenium (</w:t>
      </w:r>
      <w:r>
        <w:rPr>
          <w:rFonts w:ascii="Times New Roman" w:cs="Times New Roman" w:eastAsia="Times New Roman" w:hAnsi="Times New Roman"/>
          <w:sz w:val="24"/>
          <w:szCs w:val="24"/>
          <w:b w:val="1"/>
          <w:bCs w:val="1"/>
          <w:i w:val="1"/>
          <w:iCs w:val="1"/>
          <w:color w:val="auto"/>
          <w:vertAlign w:val="superscript"/>
        </w:rPr>
        <w:t>186</w:t>
      </w:r>
      <w:r>
        <w:rPr>
          <w:rFonts w:ascii="Times New Roman" w:cs="Times New Roman" w:eastAsia="Times New Roman" w:hAnsi="Times New Roman"/>
          <w:sz w:val="18"/>
          <w:szCs w:val="18"/>
          <w:b w:val="1"/>
          <w:bCs w:val="1"/>
          <w:i w:val="1"/>
          <w:iCs w:val="1"/>
          <w:color w:val="auto"/>
        </w:rPr>
        <w:t>Re) obisbemeda or our future product candidates will receive marketing approval.</w:t>
      </w:r>
    </w:p>
    <w:p>
      <w:pPr>
        <w:spacing w:after="0" w:line="92" w:lineRule="exact"/>
        <w:rPr>
          <w:sz w:val="20"/>
          <w:szCs w:val="20"/>
          <w:color w:val="auto"/>
        </w:rPr>
      </w:pPr>
    </w:p>
    <w:p>
      <w:pPr>
        <w:jc w:val="both"/>
        <w:ind w:firstLine="300"/>
        <w:spacing w:after="0" w:line="238" w:lineRule="auto"/>
        <w:rPr>
          <w:sz w:val="20"/>
          <w:szCs w:val="20"/>
          <w:color w:val="auto"/>
        </w:rPr>
      </w:pPr>
      <w:r>
        <w:rPr>
          <w:rFonts w:ascii="Times New Roman" w:cs="Times New Roman" w:eastAsia="Times New Roman" w:hAnsi="Times New Roman"/>
          <w:sz w:val="18"/>
          <w:szCs w:val="18"/>
          <w:color w:val="auto"/>
        </w:rPr>
        <w:t>Under the Rare Pediatric Disease Priority Review Voucher program, upon the approval of a qualifying NDA for the treatment of a rare pediatric disease, the sponsor of such an application would be eligible for a rare pediatric disease priority review voucher that can be used to obtain priority review for a subsequent Biologics License Application or NDA. As part of our business strategy, we may seek Rare Pediatric Disease designations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or any other future product candidates. Under the current sunset provisions, a product candidate is eligible to receive a voucher if it is approved before September 30, 2029. However, there is no guarantee that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or our future product candidates will be designated or that any of our product candidates will be approved, and, therefore, we may not be in a position to obtain any priority review vouchers. Additionally, designation of a drug for a rare pediatric disease does not guarantee that an NDA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pursue accelerated approval for any of our product candidates, it may not lead to a faster development or regulatory review or approval process and does not increase the likelihood that our product candidates will receive marketing approval.</w:t>
      </w:r>
    </w:p>
    <w:p>
      <w:pPr>
        <w:spacing w:after="0" w:line="5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the future, we may decide to pursue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w:t>
      </w:r>
    </w:p>
    <w:p>
      <w:pPr>
        <w:sectPr>
          <w:pgSz w:w="11900" w:h="16838" w:orient="portrait"/>
          <w:cols w:equalWidth="0" w:num="1">
            <w:col w:w="11240"/>
          </w:cols>
          <w:pgMar w:left="320" w:top="513" w:right="339"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For products granted accelerated approval, sponsors are required to verify and describe the product’s anticipated clinical benefit generally in the form of confirmatory trials. These confirmatory trials must be completed with due diligence, and the FDA is authorized to require a post-approval trial to be underway prior to approval or within a specified time period following approval. The FDA is also required to specify conditions of any required post-approval trial. Sponsors are required to submit progress reports for required post-approval studies and any conditions required by the FDA. The FDA may initiate enforcement action for the failure to conduct with due diligence a required post-approval trial, including a failure to meet any required conditions, which may include enrollment targets, the study protocol and study milestones, specified by the FDA, or to submit timely reports.</w:t>
      </w:r>
    </w:p>
    <w:p>
      <w:pPr>
        <w:spacing w:after="0" w:line="8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In addition, all promotional materials for products approved under the accelerated approval pathway are subject to prior review by the FDA. If the FDA were to object to promotional pieces regarding products approved via accelerated approval, a company may be required to revise those materials, or be subject to untitled or warning letters.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an interruption in supply from a material sole source supplier, our business may be harmed.</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We acquire some of our components and other raw materials from sole source suppliers. If there is an interruption in supply of our raw materials from a sole source supplier, for any reason, there can be no assurance that we will be able to obtain adequate quantities of the raw materials within a reasonable time or at commercially reasonable prices. Interruptions in supplies due to pricing, timing, availability, or other issues with our sole source suppliers could have a negative impact on our ability to manufacture products and product candidates, which in turn could adversely affect the development and commercialization of our nanomedicine product candidates and cause us to potentially breach our supply or other obligations under our agreements with certain other counterparties.</w:t>
      </w:r>
    </w:p>
    <w:p>
      <w:pPr>
        <w:spacing w:after="0" w:line="7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are dependent on sole source suppliers to manufacture the active pharmaceutical ingredients (“API”) and certain other components of our nanomedicine product candidates. There is no assurance that these sole source suppliers will enter into supply agreements with us to provide contractual assurance to us around supply and pricing. Regardless of whether a sole source supplier enters into a written supply arrangement with us, such supplier could still delay, suspend, or terminate supply of raw materials to us for a number of reasons, including manufacturing or quality issues, payment disputes with us, bankruptcy or insolvency, or other occurrences.</w:t>
      </w:r>
    </w:p>
    <w:p>
      <w:pPr>
        <w:spacing w:after="0" w:line="75" w:lineRule="exact"/>
        <w:rPr>
          <w:sz w:val="20"/>
          <w:szCs w:val="20"/>
          <w:color w:val="auto"/>
        </w:rPr>
      </w:pPr>
    </w:p>
    <w:p>
      <w:pPr>
        <w:jc w:val="both"/>
        <w:ind w:firstLine="300"/>
        <w:spacing w:after="0" w:line="252" w:lineRule="auto"/>
        <w:rPr>
          <w:sz w:val="20"/>
          <w:szCs w:val="20"/>
          <w:color w:val="auto"/>
        </w:rPr>
      </w:pPr>
      <w:r>
        <w:rPr>
          <w:rFonts w:ascii="Times New Roman" w:cs="Times New Roman" w:eastAsia="Times New Roman" w:hAnsi="Times New Roman"/>
          <w:sz w:val="18"/>
          <w:szCs w:val="18"/>
          <w:color w:val="auto"/>
        </w:rPr>
        <w:t>Manufacturing or quality assurance difficulties at our contractors and suppliers, the failure or refusal of a supplier or contract manufacturer to supply contracted quantities, or increases in demand on a supplier with constrained capacity could result in delays and disruptions in the manufacturing, distribution, and sale of our products and /or product candidates, leading to lost revenue or reduced market opportunities. Supply constraints may also lead to pauses, discontinuations, or other product availability issues in one or more markets, which could have a material adverse effect on our consolidated results of operations and cash flows. Further, cost inflation and global transportation and logistics challenges, as well as tight labor markets, have caused, and in the future may cause, delays in, and increase costs related to, distribution of our products, the construction or other acquisition of additional manufacturing capacity, procurement activity, and supplier or contract manufacturer arrangements. These disruptions and challenges could result from actual or perceived quality, oversight, or regulatory compliance problems; natural disasters (including increased instances or severity of natural disasters or other events that may be due to climate change), public health outbreaks, epidemics, or pandemics; periods of uneven economic growth or downturns; emergence or escalation of, and responses to international tension and conflicts; equipment, mechanical, data, or information technology system (“IT system”) vulnerabilities, such as system inadequacies, inadequate controls or procedures, operating failures, unauthorized access, service interruptions or failures, security breaches, malicious intrusions, theft, exfiltration, ransomware or other cyber-attacks from a variety of sources; labor shortages; challenges and complexities in manufacturing new drug modalities; contractual disputes with our suppliers and contract manufacturers; vertical integration by competitors within our supply chain; or inability to obtain single-source or other raw or intermediate materials.</w:t>
      </w:r>
    </w:p>
    <w:p>
      <w:pPr>
        <w:spacing w:after="0" w:line="8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If a sole source supplier ceases supply of raw materials necessary, there is no guarantee that we will find an alternative supplier for the necessary raw materials on terms acceptable to us, or at all. Finding alternative suppliers if and as necessary due to geopolitical developments or otherwise may not be feasible or could take a significant amount of time and involve significant expense due to the nature of our products and product candidates. Further the qualification process for a new vendor could take months or years, and any such day in qualification could significantly harm our business.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w:t>
      </w:r>
    </w:p>
    <w:p>
      <w:pPr>
        <w:spacing w:after="0" w:line="5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products, product candidates or technologies. Growth of the nanomedicine business will require significant management time and attention. Further,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2" w:lineRule="exact"/>
        <w:rPr>
          <w:sz w:val="20"/>
          <w:szCs w:val="20"/>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liabilities;</w:t>
      </w:r>
    </w:p>
    <w:p>
      <w:pPr>
        <w:spacing w:after="0" w:line="27"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 and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key employees of any acquired businesses.</w:t>
      </w:r>
    </w:p>
    <w:p>
      <w:pPr>
        <w:spacing w:after="0" w:line="220"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or to successfully complete any additional transactions of the nature described above, our business, financial condition and prospects could suffer. In addition, even if we are able to successfully complete any additional transactions of the nature described above, any additional transactions that we do complete could have a material adverse effect on our business, results of operations, financial condition,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maintain quality controls and compliance with manufacturing standards.</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manufacture of our product candidates is, and the manufacture of any future drug, device, and/or cell-related therapeutic products would be, subject to periodic inspection by regulatory authorities and distribution partners. The manufacture of drug and device products for human use is subject to extensive regulation and inspection from time to time by the FDA for compliance with the FDA’s cGMP, the QMSR, as well as equivalent requirements and inspections by state and foreign. regulatory authorities. There can be no assurance that the FDA or other authorities will not, during the course of an inspection of existing or new facilities, identify what they consider to be deficiencies in our compliance with the QMSRs or other requirements and request, or seek remedial action.</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Failure to comply with such regulations or a potential delay in attaining compliance may adversely affect our manufacturing activities and could result in, among other things, injunctions, civil penalties, FDA refusal to grant pre- market approvals, authorizations, or clearances of future or pending product submissions, fines, recalls, import or seizures of products, total or partial suspensions of production and criminal prosecution. There can be no assurance that after such occurrences that we will be able to obtain additional necessary regulatory approvals, authorizations, or clearances on a timely basis, if at all. Delays in receipt of or failure to receive such approvals, authorizations, or clearances, or the loss of previously received approvals, authorizations, or clearances could have a substantial negative effect on our results of operations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identify, hire and/or retain key personnel, we may not be able to sustain or grow our business.</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maintain a small executive team. Our ability to operate successfully and manage our potential future growth depends significantly upon our ability to attract, retain, and motivate highly skilled and qualified research, technical, clinical, regulatory, sales, marketing, managerial and financial personnel. We compete for talent with numerous companies, as well as universities and non-profit research organizations. In the future, we may hire a significant number of scientists, quality and regulatory personnel, and other technical staff with the requisite expertise to support and expand our nanomedicine business. The manufacturing of our oncology drug assets is a highly complex process that requires significant experience and know-how. If we are unable to attract personnel with the necessary skills and experience to reestablish and expand our nanomedicine business, which is currently conducted out of our Houston, Texas facility, our business could suffer.</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Our future success also depends on the personal efforts and abilities of the principal members of our senior management and scientific staff to provide strategic direction, manage our operations, and maintain a cohesive and stable environment. In particular, we are highly dependent on our executive officers, especially Marc Hedrick, M.D., our Chief Executive Officer. Given his leadership, extensive technical, scientific, and financial expertise and management and operational experience, if we were unable to retain the services of Dr. Hedrick for any reason, it would materially and adversely impact our business and operations. Further, the loss of services of Dr. Hedrick or any other executive officer could result in product development delays or the failure of our collaborations with current and future collaborators, which, in turn, may hurt our ability to develop and commercialize products and generate revenue. We do not maintain key man life insurance on the lives of any of the members of our senior management. The loss of key personnel for any reason or our inability to hire, retain, and motivate additional qualified personnel in the future could prevent us from sustaining or growing our business. The loss of services of any of our personnel, including Dr. Hedrick, particularly for an extended period, would likely result in product development delays or the failure of our collaborations with current and future collaborators, which, in turn, may impede or delay our ability to develop and commercialize products and generate revenue. In addition, it could also result in difficulty to obtain additional funding for our development of products and our future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if our insurance coverage for those claims is inadequate.</w:t>
      </w:r>
    </w:p>
    <w:p>
      <w:pPr>
        <w:spacing w:after="0" w:line="51" w:lineRule="exact"/>
        <w:rPr>
          <w:sz w:val="20"/>
          <w:szCs w:val="20"/>
          <w:color w:val="auto"/>
        </w:rPr>
      </w:pPr>
    </w:p>
    <w:p>
      <w:pPr>
        <w:jc w:val="both"/>
        <w:ind w:firstLine="300"/>
        <w:spacing w:after="0" w:line="244" w:lineRule="auto"/>
        <w:rPr>
          <w:sz w:val="20"/>
          <w:szCs w:val="20"/>
          <w:color w:val="auto"/>
        </w:rPr>
      </w:pPr>
      <w:r>
        <w:rPr>
          <w:rFonts w:ascii="Times New Roman" w:cs="Times New Roman" w:eastAsia="Times New Roman" w:hAnsi="Times New Roman"/>
          <w:sz w:val="18"/>
          <w:szCs w:val="18"/>
          <w:color w:val="auto"/>
        </w:rPr>
        <w:t>The clinical use of our product candidates exposes us to the risk of product liability claims. This risk exists even if a product or product candidate is approved for commercial sale by applicable regulatory authorities and manufactured in facilities regulated by such authorities. Our product candidates are designed to affect important bodily functions and processes. Any side effects, manufacturing defects, misuse, or abuse associated with our product candidates could result in injury to a patient or even death. For example,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are cytotoxic, or toxic to living cells, and, if incorrectly or defectively manufactured or labeled, or incorrectly dosed or otherwise used in a manner not contemplated by its label, could result in patient harm and even death. In addition, a liability claim may be brought against us even if our product candidates merely appear to have caused an injury.</w:t>
      </w:r>
    </w:p>
    <w:p>
      <w:pPr>
        <w:spacing w:after="0" w:line="9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Product liability claims may be brought against us by consumers, health care providers, pharmaceutical companies or others selling or otherwise coming into contact with our products or product candidates, if approved, among others. If we cannot successfully defend ourselves against product liability claims, we will incur substantial liabilities. In addition, regardless of merit or eventual outcome, product liability claims may result in:</w:t>
      </w:r>
    </w:p>
    <w:p>
      <w:pPr>
        <w:spacing w:after="0" w:line="68" w:lineRule="exact"/>
        <w:rPr>
          <w:sz w:val="20"/>
          <w:szCs w:val="20"/>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0"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have obtained product liability insurance coverage for clinical trials with a $10 million per occurrence and annual aggregate coverage limit. Our insurance coverage may not be sufficient to cover all of our product liability related expenses or losses and may not cover us for any expenses or losses we may suffer. Moreover, insurance coverage is becoming increasingly expensive, and, in the future, we may not be able to maintain insurance coverage at a reasonable cost, in sufficient amounts or upon adequate terms to protect us against losses due to product liability. If we determine that it is prudent to increase our product liability coverage, we may be unable to obtain this increased product liability insurance on commercially reasonable terms or at all. Large judgments have been awarded in class action or individual lawsuits based on drugs that had unanticipated side effects. A successful product liability claim or series of claims brought against us could cause our stock price to decline and, if judgments exceed our insurance coverage, could decrease our cash and have a material adverse effect on our business, results of operations, financial condition and prospects.</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failure to adequately protect health information could result in severe harm to our reputation and subject us to significant liabilities, each of which could have a material adverse effect on our business.</w:t>
      </w:r>
    </w:p>
    <w:p>
      <w:pPr>
        <w:spacing w:after="0" w:line="5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Throughout the clinical trial process, we may obtain the health information of our trial subjects. There are a number of state, federal and international laws protecting the privacy and security of health information and personal data. For example, HIPAA imposes privacy, security, breach reporting obligations, and mandatory contractual terms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We could potentially be subject to criminal penalties if we, our affiliates, or our agents knowingly receive individually identifiable health information maintained by a HIPAA-covered entity in a manner that is not authorized or permitted by HIPAA. The Federal Trade Commission ("FTC") also sets expectations for taking appropriate steps to safeguard consumers' personal information, and providing a level</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 privacy or security commensurate to promises made to individuals. The FTC expects a company's data privacy and security measures to be reasonable and appropriate in light of the sensitivity and volume of consumer information it holds, the size and complexity of its business, and the cost of available tools to improve security and reduce vulnerabilities. Failure to meet these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w:t>
      </w:r>
    </w:p>
    <w:p>
      <w:pPr>
        <w:spacing w:after="0" w:line="7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Most states have laws requiring notification of affected individuals and state regulators (breach notification laws)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For example, in California, the California Consumer Privacy Act, as amended by the California Privacy Rights Act (“CCPA”) establishes certain requirements for data use and sharing transparency and creates new data privacy rights for California consumers, as that term is defined by law. Failure to comply with the CCPA may result in, among other things, significant civil penalties and injunctive relief, or statutory or actual damages. In addition, California consumers have the right to bring a private right of action in connection with certain types of incidents. These claims may result in significant liability and damages. Other jurisdictions have enacted or proposed similar legislation and/or regulations, such as consumer privacy laws that went into effect in 2023 in Virginia, Colorado, Utah, and Connecticut. Health-specific Consumer privacy laws were also passed in multiple other states, including consumer health privacy laws in Washington and Nevada, which govern consumer health data.</w:t>
      </w:r>
    </w:p>
    <w:p>
      <w:pPr>
        <w:spacing w:after="0" w:line="86"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Activities outside of the U.S. implicate local and national data protection standards, impose additional compliance requirements and generate additional risks of enforcement for non-compliance. For example, the EU’s General Data Protection Regulation, including as implemented in the UK (collectively “GDPR”) imposes fines of up to EUR 20 million or 4% of the annual global revenue of a noncompliant company, whichever is greater. The GDPR also confers a private right of action on data subjects and consumer associations to lodge complaints with data protection authorities, seek judicial remedies, and obtain compensation for damages resulting from violations of the GDPR. Canada’s Personal Information Protection and Electronic Documents Act and other data protection, privacy and similar national, state/provincial and local laws may also restrict the access, use and disclosure of patient health information abroad. Moreover, as a result of the broad scale release and availability of Artificial Intelligence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 We may be required to expend significant capital and other resources to ensure ongoing compliance with applicable privacy and data security laws, to protect against security breaches and hackers, or to alleviate problems caused by such breaches. Compliance with these laws is difficult, constantly evolving, time consuming, and requires a flexible privacy framework and substantial resources. Compliance efforts will likely be an increasing and substantial cost in the future.</w:t>
      </w:r>
    </w:p>
    <w:p>
      <w:pPr>
        <w:spacing w:after="0" w:line="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must comply with environmental laws and regulations, including those pertaining to use of hazardous and biological materials in our business, and failure to comply with these laws and regulations could expose us to significant liabilities.</w:t>
      </w:r>
    </w:p>
    <w:p>
      <w:pPr>
        <w:spacing w:after="0" w:line="5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and our collaborators are subject to various federal, state, and local environmental laws, rules and regulations, including those relating to discharge of materials into the air, water and ground, those relating to manufacturing, storage, use, transportation and disposal of hazardous and biological materials, and those relating to the health and safety of employees with respect to laboratory activities required for the development of our products and activities. In particular, our nanomedicine products and processes involve the controlled storage, use and disposal of certain cytotoxic, or toxic to living cells, materials. Even if we and these suppliers and collaborators comply with the standards prescribed by law and regulation, the risk of accidental contamination or injury from hazardous materials, or other violations of applicable environmental laws, rules or regulations cannot be completely eliminated. In the event of any violation of such laws, rules or regulations, we could be held liable for any damages that result, and any liability could exceed the limits or fall outside the coverage of any insurance we may obtain and could exceed our financial resources. We may not be able to maintain insurance on acceptable terms, or at all. We may incur significant costs in complying with environmental laws, rules and regulations.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fully utilize and monetize the CNSide diagnostic portfolio.</w:t>
      </w:r>
    </w:p>
    <w:p>
      <w:pPr>
        <w:spacing w:after="0" w:line="121" w:lineRule="exact"/>
        <w:rPr>
          <w:sz w:val="20"/>
          <w:szCs w:val="20"/>
          <w:color w:val="auto"/>
        </w:rPr>
      </w:pPr>
    </w:p>
    <w:p>
      <w:pPr>
        <w:jc w:val="both"/>
        <w:ind w:firstLine="300"/>
        <w:spacing w:after="0" w:line="245" w:lineRule="auto"/>
        <w:rPr>
          <w:sz w:val="20"/>
          <w:szCs w:val="20"/>
          <w:color w:val="auto"/>
        </w:rPr>
      </w:pPr>
      <w:r>
        <w:rPr>
          <w:rFonts w:ascii="Times New Roman" w:cs="Times New Roman" w:eastAsia="Times New Roman" w:hAnsi="Times New Roman"/>
          <w:sz w:val="18"/>
          <w:szCs w:val="18"/>
          <w:color w:val="auto"/>
        </w:rPr>
        <w:t>In April 2024, we completed the acquisition of substantially all of the right, title and interest in CNSide, including the CNSide Test, which is designed to detect, quantify, and monitor tumor status in LM. We are currently evaluating and developing our business plan for developing the CNSide diagnostic portfolio alongside our lead radio therapeutic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and seeking partnering opportunities for CNSide but there can be no assurances that we will be able to develop the technology to allow for commercial applications, or successfully utilize and fully integrate CNSide into our operations. We may not generate revenues from or realize the anticipated benefits of CNSide within our expected timeline or at all.</w:t>
      </w:r>
    </w:p>
    <w:p>
      <w:pPr>
        <w:spacing w:after="0" w:line="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laboratories are highly regulated and if we are unable to maintain compliance with these regulations, or if the regulations change in ways that make it more difficult or costly to comply, our financial condition and our business may be harmed.</w:t>
      </w:r>
    </w:p>
    <w:p>
      <w:pPr>
        <w:spacing w:after="0" w:line="5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Clinical laboratories in the U.S. must maintain compliance with the federal CLIA standards and with applicable state law licensure requirements, and if we are unable to do so we may be unable to offer the CNSide Test to patients. In order to be commercially viable, clinical lab tests must be covered and reimbursed by third party payers. If payers fail to cover the test, impose restrictions on the scope of</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coverage, or do not provide sufficient reimbursement for the CNSide Test we may be unable to realize the expected benefits of the test and may not be able to offer it within the expected timeline, or at all.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U.S. and elsewhere will play a primary role in the recommendation and prescription of any product candidates for which we obtain marketing approval and the ordering of the CNSide Test.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and patients. In addition, we may be subject to patient privacy laws by both the federal government and the states in which we conduct or may conduct our business. The laws are described in greater detail in Item 1: Business: Other U.S. Healthcare Laws and Compliance Requirements.</w:t>
      </w:r>
    </w:p>
    <w:p>
      <w:pPr>
        <w:spacing w:after="0" w:line="84"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80"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diagnostic testing industry is subject to rapid change, which could make our current or future products obsolete.</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diagnostic testing industry is characterized by rapid changes, including technological and scientific breakthroughs, developments related to application of generative artificial intelligence (“AI”), frequent new product introductions and enhancements and evolving industry standards, all of which could make our current products and the other products we are developing obsolete. The future success of our products will depend on our ability to keep pace with the evolving needs of clinicians and patients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existing products and develop new products to keep pace with evolving standards of care. If we do not update our products to reflect new scientific knowledge about cancer biology, information about new cancer therapies or relevant clinical studies, our products could become obsolete and sales of our current products and any new products we develop could decline or fail to grow as expected.</w:t>
      </w:r>
    </w:p>
    <w:p>
      <w:pPr>
        <w:spacing w:after="0" w:line="40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Intellectual Property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w:t>
      </w:r>
    </w:p>
    <w:p>
      <w:pPr>
        <w:spacing w:after="0" w:line="121" w:lineRule="exact"/>
        <w:rPr>
          <w:sz w:val="20"/>
          <w:szCs w:val="20"/>
          <w:color w:val="auto"/>
        </w:rPr>
      </w:pPr>
    </w:p>
    <w:p>
      <w:pPr>
        <w:jc w:val="both"/>
        <w:ind w:firstLine="300"/>
        <w:spacing w:after="0" w:line="242"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trademark, and trade secret protection of our platform technology and current product candidates, including but not limited to our nanomedicine product candidates, including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and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and our CNSide Platform, as well as successfully defending our intellectual property against third-party challenges. Our ability to stop unauthorized third parties from making, using, selling, offering to sell, or importing our platform technology and/or our product candidates is dependent upon the extent to which we have rights under valid and enforceable patents or trade secrets that cover these activities.</w:t>
      </w:r>
    </w:p>
    <w:p>
      <w:pPr>
        <w:spacing w:after="0" w:line="88"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0" w:lineRule="exact"/>
        <w:rPr>
          <w:sz w:val="20"/>
          <w:szCs w:val="20"/>
          <w:color w:val="auto"/>
        </w:rPr>
      </w:pPr>
    </w:p>
    <w:p>
      <w:pPr>
        <w:ind w:left="1140" w:right="20" w:hanging="383"/>
        <w:spacing w:after="0" w:line="217"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NanoTx, or UTHSCSA, as the case may be, might not have been the first to file patent applications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w:t>
      </w: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Biocept, as the case may be, might not have been the first to file patent applications for the CNSide Platform;</w:t>
      </w:r>
    </w:p>
    <w:p>
      <w:pPr>
        <w:spacing w:after="0" w:line="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dominating patents to our product candidates of which we are not aware;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 of which we are not aware;</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patents;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ind w:left="1140" w:right="20" w:hanging="383"/>
        <w:spacing w:after="0" w:line="250"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patents or patent applications, if and when issued, may not cover our system or products, or our system or product candidates;</w:t>
      </w:r>
    </w:p>
    <w:p>
      <w:pPr>
        <w:ind w:left="1140" w:hanging="383"/>
        <w:spacing w:after="0" w:line="250"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or may be narrowed in scope, be held invalid or unenforceable as a result of legal administrative challenges by third parties;</w:t>
      </w:r>
    </w:p>
    <w:p>
      <w:pPr>
        <w:ind w:left="1140" w:hanging="383"/>
        <w:spacing w:after="0" w:line="228"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the same or similar to 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product candidates but that are not covered by the claims of our patents;</w:t>
      </w:r>
    </w:p>
    <w:p>
      <w:pPr>
        <w:ind w:left="1140" w:hanging="383"/>
        <w:spacing w:after="0" w:line="24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detect infringement against our patents, which may be especially difficult for manufacturing processes or formulation patents, such as the patents/applications related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 xml:space="preserve">Re) obisbemeda or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w:t>
      </w:r>
    </w:p>
    <w:p>
      <w:pPr>
        <w:jc w:val="both"/>
        <w:ind w:left="1140" w:hanging="383"/>
        <w:spacing w:after="0" w:line="224"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API used in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186-Re, is routinely produced in nuclear reactors or at a particle accelerator and is commercially available as 186-Re Sulfide for isotropic radiation synovectomy of medium sized joints and in developing countries as 186-Re-HEDP for bone pain palliation;</w:t>
      </w:r>
    </w:p>
    <w:p>
      <w:pPr>
        <w:spacing w:after="0" w:line="2"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 or</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0"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The patent positions of pharmaceutical, biopharmaceutical and medical device companies can be highly uncertain and involve complex legal and factual questions for which important legal principles remain unresolved. No consistent policy regarding the breadth of claims allowed in patents in these fields has emerged to date in the United States. There have been recent changes regarding how patent laws are interpreted, and both the USPTO and Congress have recently made significant changes to the patent system. There have been three U.S. Supreme Court decisions that now show a trend of the Supreme Court which is distinctly negative on patents. The trend of these decisions along with resulting changes in patentability requirements being implemented by the USPTO could make it increasingly difficult for us to obtain and maintain patents on our product candidates. We cannot accurately predict future changes in the interpretation of patent laws or changes to patent laws which might be enacted into law. Those changes may materially affect our patents, our ability to obtain patents and/or the patents and applications of our collaborators and licensors. The patent situation in these fields outside the United States is even more uncertain. Changes in either the patent laws or in interpretations of patent laws in the United States and other countries may diminish the value of our intellectual property or narrow the scope of our patent protection. Accordingly, we cannot predict the breadth of claims that may be allowed or enforced in the patents we own or to which we have a license or third-party patents.</w:t>
      </w:r>
    </w:p>
    <w:p>
      <w:pPr>
        <w:spacing w:after="0" w:line="84"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Intellectual property law outside the United States is uncertain and in many countries is currently undergoing review and revisions. The laws of some countries do not protect our patent and other intellectual property rights to the same extent as United States laws. Third parties may attempt to oppose the issuance of patents to us in foreign countries by initiating opposition proceedings. Opposition proceedings against any of our patent filings in a foreign country could have an adverse effect on our corresponding patents that are issued or pending in the United States. It may be necessary or useful for us to participate in proceedings to determine the validity of our patents or our competitors’ patents that have been issued in countries other than the United States. This could result in substantial costs, divert our efforts and attention from other aspects of our business, and could have a material adverse effect on our results of operations and financial condition.</w:t>
      </w:r>
    </w:p>
    <w:p>
      <w:pPr>
        <w:spacing w:after="0" w:line="8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Failure to obtain or maintain patent protection or protect trade secrets, for any reason (or third-party claims against our patents, trade secrets, or proprietary rights, or our involvement in disputes over our patents, trade secrets, or proprietary rights, including involvement in litigation), could have a substantial negative effect on our results of operations and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121"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The application for the extension must be submitted prior to the expiration of the patent for which extension is sought and within 60 days of FDA approval. However, we may not be granted a patent term extension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term of any such extension is</w:t>
      </w:r>
    </w:p>
    <w:p>
      <w:pPr>
        <w:sectPr>
          <w:pgSz w:w="11900" w:h="16838" w:orient="portrait"/>
          <w:cols w:equalWidth="0" w:num="1">
            <w:col w:w="11240"/>
          </w:cols>
          <w:pgMar w:left="320" w:top="513" w:right="339"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less than we request, our competitors may obtain approval of competing products following our patent expiration, and our business, financial condition, results of operations, and prospects could be materially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trade secrets.</w:t>
      </w:r>
    </w:p>
    <w:p>
      <w:pPr>
        <w:spacing w:after="0" w:line="12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We may rely on trade secrets to protect our technology, especially with respect to the nanomedicine products, as well as in areas where we do not believe patent protection is appropriate or obtainable.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state laws in the Unites States vary, and their courts as well as courts outside the United States are sometimes less willing to protect trade secrets. Moreover, our competitors may independently develop equivalent knowledge, methods, and know-how. If our confidential or proprietary information is divulged to or acquired by third parties, including our competitors, our competitive position in the marketplace will be harmed and our ability to successfully penetrate our target markets could be severely compromised.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As is common in the device, biotechnology and pharmaceutical industries, we employ individuals who were previously employed at other device,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 which would adversely affect our financial condition.</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 and other intellectual property rights, and we may be unable to protect our rights to our product candidates and technology.</w:t>
      </w:r>
    </w:p>
    <w:p>
      <w:pPr>
        <w:spacing w:after="0" w:line="5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or confirm the ownership of any patents issued or licensed to us, or to determine the scope and validity of third-party proprietary rights, which would result in substantial costs to us and diversion of effort on our part. If our competitors claim technology also claimed by us and prepare and file patent applications in the United States, we may have to participate in interference proceedings declared by the USPTO or a foreign patent office to determine priority of invention, which could result in substantial costs to and diversion of effort, even if the eventual outcome is favorable to us. Any such litigation or interference proceeding, regardless of outcome, could be expensive and time-consuming.</w:t>
      </w:r>
    </w:p>
    <w:p>
      <w:pPr>
        <w:spacing w:after="0" w:line="75"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Successful challenges to our patents through oppositions, reexamination proceedings or interference proceedings could result in a loss of patent rights in the relevant jurisdiction. If we are unsuccessful in actions we bring against the patents of other parties, and it is determined that we infringe the patents of third-parties, we may be subject to litigation, prevented from commercializing potential products in the relevant jurisdiction and/or may be required to obtain licenses to those patents or develop or obtain alternative technologies, any of which could harm our business. Furthermore, if such challenges to our patent rights are not resolved in our favor, we could be delayed or prevented from entering into new collaborations or from commercializing certain products, which could adversely affect our business and results of operations.</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Competitors or third parties may infringe on or upon our patents. We may be required to file patent infringement claims, which can be expensive and time-consuming. In addition, in an infringement proceeding, a court may decide that a patent of ours is not valid or is unenforceable or that the third party’s technology does not in fact infringe upon our patents. An adverse determination of any litigation or defense proceedings could put one or more of our patents at risk of being invalidated or interpreted narrowly and could put our related pending patent applications at risk of not issuing.</w:t>
      </w:r>
    </w:p>
    <w:p>
      <w:pPr>
        <w:spacing w:after="0" w:line="72"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otherwise have a material adverse effect on our business, results of operations, financial condition, and prospects.</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intellectual property rights of third parties, it will be costly and time consuming, and an unfavorable outcome in that litigation would have a material adverse effect on our business.</w:t>
      </w:r>
    </w:p>
    <w:p>
      <w:pPr>
        <w:spacing w:after="0" w:line="51"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Our commercial success will also depend, in part, on our ability to avoid infringing on patents issued by others. There may be issued patents of third parties of which we are currently unaware, that are infringed or are alleged to be infringed by our product candidate or proprietary technologies. 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 candidates or technology similar to ours. Any such patent application may have priority over our patent applications or patents, which could further require us to obtain rights to issued patents covering such technologies.</w:t>
      </w:r>
    </w:p>
    <w:p>
      <w:pPr>
        <w:spacing w:after="0" w:line="84"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may be exposed to, or threatened with, future litigation by third parties having patent or other intellectual property rights alleging that our product candidates and/or proprietary technologies infringe their intellectual property rights. These lawsuits are costly and could adversely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w:t>
      </w:r>
    </w:p>
    <w:p>
      <w:pPr>
        <w:spacing w:after="0" w:line="75"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If a third-party’s patent were found to cover our product candidates, proprietary technologies or their uses, we could be enjoined by a court and required to pay damages and could be unable to commercialize our product candidates or use our proprietary technologies unless we or they obtained a license to the patent. A license may not be available to us on acceptable terms, if at all. In addition, during litigation, the patent holder could obtain a preliminary injunction or other equitable relief which could prohibit us from making, using or selling our product candidates, technologies or methods pending a trial on the merits, which could be years away.</w:t>
      </w:r>
    </w:p>
    <w:p>
      <w:pPr>
        <w:spacing w:after="0" w:line="71" w:lineRule="exact"/>
        <w:rPr>
          <w:sz w:val="20"/>
          <w:szCs w:val="20"/>
          <w:color w:val="auto"/>
        </w:rPr>
      </w:pPr>
    </w:p>
    <w:p>
      <w:pPr>
        <w:ind w:right="900" w:firstLine="1657"/>
        <w:spacing w:after="0" w:line="440"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Risks Relating to the Issuance of Capital Stock, the Securities Markets and an Investment in Our Common Stock </w:t>
      </w:r>
      <w:r>
        <w:rPr>
          <w:rFonts w:ascii="Times New Roman" w:cs="Times New Roman" w:eastAsia="Times New Roman" w:hAnsi="Times New Roman"/>
          <w:sz w:val="18"/>
          <w:szCs w:val="18"/>
          <w:b w:val="1"/>
          <w:bCs w:val="1"/>
          <w:i w:val="1"/>
          <w:iCs w:val="1"/>
          <w:color w:val="auto"/>
        </w:rPr>
        <w:t>Our stockholders may experience substantial dilution in the value of their investment if we issue additional shares of our capital stock.</w:t>
      </w:r>
    </w:p>
    <w:p>
      <w:pPr>
        <w:spacing w:after="0" w:line="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allows us to issue up to 2,000,000,000 shares of our common stock and to issue and designate the rights of, without stockholder approval, up to 5,000,000 shares of preferred stock.</w:t>
      </w:r>
    </w:p>
    <w:p>
      <w:pPr>
        <w:spacing w:after="0" w:line="54"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Significant additional capital will be needed in the future to continue our planned operations, including further development of our product candidates, preparing IND or equivalent filings, conducting preclinical studies and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shares of common stock.</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may also issue additional shares of common stock or other equity securities of equal or senior rank in the future in connection with, among other things, future acquisitions or repayment of outstanding indebtedness, including without stockholder approval, in a number of circumstances. The issuance of additional shares or other equity securities of equal or senior rank would result in a decrease in existing stockholders’ proportionate ownership interest in us and the relative voting strength of each previously outstanding share of common stock, and may adversely affect the market price of our common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significantly, which could result in substantial losses for stockholders.</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subject to significant fluctuations. Among the factors that may cause the market price of our common stock to fluctuate are the risks described in this “Risk Factors” section and other factors, including:</w:t>
      </w:r>
    </w:p>
    <w:p>
      <w:pPr>
        <w:spacing w:after="0" w:line="54" w:lineRule="exact"/>
        <w:rPr>
          <w:sz w:val="20"/>
          <w:szCs w:val="20"/>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the operating results of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clinical trials involving the use of our product candidates, including our sponsored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financial results or recommendations by securities analysts;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the expectations of securities analysts;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estimates of the future size and growth rate of our markets;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or changes in interpretations of existing principles, which could affect our financial results;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markets we currently serve or which we intend to target with our product candidates;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industry and market conditions;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competitive products and services;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new products, contracts, acquisitions or strategic alliances by us or our competitors;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ability to list our securities on an established market or exchange;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regulatory reviews and approvals of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outcome of litigation involving our company, our general industry or both;</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sales of our common stock by the holders of our common stock;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3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In addition, the financial markets may experience a loss of investor confidence or otherwise experience continued volatility and deterioration. A loss of investor confidence may result in extreme price and volume fluctuations in our common stock that are unrelated or disproportionate to the operating performance of our business, our financial condition or results of operations, which may materially harm the market price of our common stock and result in substantial losses for stockholders. Further, although our common stock is traded on the Nasdaq, there is currently a limited market for our common stock and an active market may never develop. An active trading market in our common stock may not develop.</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or become the target of securities litigation, which is costly and time-consuming to defend.</w:t>
      </w:r>
    </w:p>
    <w:p>
      <w:pPr>
        <w:spacing w:after="0" w:line="121"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the past, following periods of market volatility in the price of a company’s securities, the reporting of unfavorable news or continued decline in a company’s stock price, security holders have often instituted class action litigation. The market value of our securities has steadily declined over the past several years for a variety of reasons discussed elsewhere in this “Risk Factors” section, which heightens our litigation risk. If we face such litigation, we could incur substantial legal costs and our management’s attention could be diverted from the operation of our business, causing our business to suffer. Any adverse determination in any such litigation or any amounts paid to settle any such actual or threatened litigation could require that we make significant payments.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debt and equity securities or securities convertible into equity securities, any of which may be senior to our common stock as to distributions and in liquidation, which could negatively affect the value of our common stock.</w:t>
      </w:r>
    </w:p>
    <w:p>
      <w:pPr>
        <w:spacing w:after="0" w:line="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In the future, we may attempt to increase our capital resources by entering into debt or debt-like financing that is unsecured or secured by up to all of our assets, or by issuing additional debt or equity securities, which could include issuances of secured or unsecured commercial paper, medium-term notes, senior notes, subordinated notes, guarantees, preferred stock, hybrid securities, or securities convertible into or exchangeable for equity securities. In the event of our liquidation, our lenders and holders of our debt and preferred securities would receive distributions of our available assets before distributions to the holders of our common stock. Because our decision to incur debt and issue securities in future offerings may be influenced by market conditions and other factors beyond our control, we cannot predict or estimate the amount, timing or nature of our future offerings or debt financings. Further, market conditions could require us to accept less favorable terms for the issuance of our securities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contain anti-takeover provisions.</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discourage, delay or prevent a merger, acquisition or other change of control that stockholders may consider favorable. These provisions could also prevent or frustrate attempts by our stockholders to replace or remove members of our Board of Directors (the “Board”). Stockholders who wish to participate in these transactions may not have the opportunity to do so. These provisions:</w:t>
      </w:r>
    </w:p>
    <w:p>
      <w:pPr>
        <w:spacing w:after="0" w:line="72" w:lineRule="exact"/>
        <w:rPr>
          <w:sz w:val="20"/>
          <w:szCs w:val="20"/>
          <w:color w:val="auto"/>
        </w:rPr>
      </w:pPr>
    </w:p>
    <w:p>
      <w:pPr>
        <w:ind w:left="1140" w:hanging="383"/>
        <w:spacing w:after="0" w:line="261"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without stockholder approval up to 5,000,000 shares of preferred stock, the rights of which will be determined at the discretion of the Board;</w:t>
      </w: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cannot be taken by written consent;</w:t>
      </w:r>
    </w:p>
    <w:p>
      <w:pPr>
        <w:spacing w:after="0" w:line="9"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or for stockholder proposals that can be acted on at stockholder meetings; and</w:t>
      </w: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stockholder meetings.</w:t>
      </w:r>
    </w:p>
    <w:p>
      <w:pPr>
        <w:spacing w:after="0" w:line="315" w:lineRule="exact"/>
        <w:rPr>
          <w:sz w:val="20"/>
          <w:szCs w:val="20"/>
          <w:color w:val="auto"/>
        </w:rPr>
      </w:pPr>
    </w:p>
    <w:p>
      <w:pPr>
        <w:jc w:val="both"/>
        <w:ind w:right="20" w:firstLine="300"/>
        <w:spacing w:after="0" w:line="266" w:lineRule="auto"/>
        <w:rPr>
          <w:sz w:val="20"/>
          <w:szCs w:val="20"/>
          <w:color w:val="auto"/>
        </w:rPr>
      </w:pPr>
      <w:r>
        <w:rPr>
          <w:rFonts w:ascii="Times New Roman" w:cs="Times New Roman" w:eastAsia="Times New Roman" w:hAnsi="Times New Roman"/>
          <w:sz w:val="18"/>
          <w:szCs w:val="18"/>
          <w:color w:val="auto"/>
        </w:rPr>
        <w:t>We are governed by the provisions of Section 203 of the Delaware General Corporation Law, which may, unless certain criteria are met, prohibit large stockholders, in particular those owning 15% or more of the voting rights on our common stock, from merging or combining with us for a prescribed period of time.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presently do not intend to pay cash dividends on our common stock.</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in the past, and we currently anticipate that no cash dividends will be paid on the common stock in the foreseeable future. This could make an investment in our common stock inappropriate for some investors, and may serve to narrow our potential sources of additional capital. While our dividend policy will be based on the operating results and capital needs of the business, it is anticipated that all earnings, if any, will be retained to finance the future expansion of our business.</w:t>
      </w:r>
    </w:p>
    <w:p>
      <w:pPr>
        <w:spacing w:after="0" w:line="6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5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information technology security threats and more sophisticated and targeted computer crime could pose a risk to our systems, networks, and products.</w:t>
      </w:r>
    </w:p>
    <w:p>
      <w:pPr>
        <w:spacing w:after="0" w:line="5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Increased global information technology security threats and more sophisticated and targeted computer crime pose a risk to the security of our systems and networks and the confidentiality, availability and integrity of our data and communications. While we attempt to mitigate these risks by employing a number of measures, including employee refreshers, monitoring of our networks and systems, and maintenance of backup and protective systems, our systems, networks and products remain potentially vulnerable to advanced persistent threats. Depending on their nature and scope, such threats could potentially lead to the compromising of confidential information and communications, improper use of our systems and networks, manipulation and destruction of data, defective products, production downtimes and operational disruptions, which in turn could adversely affect our reputation, competitiveness and results of operations.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12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have implemented a cybersecurity program to support both the effectiveness of our systems and our preparedness for information security risks. This program includes a number of safeguards, such as: password protection; multi-factor authentication; monitoring and alerting systems for internal and external threats; and regular evaluations of our cybersecurity program.</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We use a risk-based approach with respect to our use and oversight of third-party service providers, tailoring processes according to the nature and sensitivity of the data accessed, processed, or stored by such third-party service provider. We use a number of means to assess cyber risks related to our third-party service providers, including conducting due diligence in connection with onboarding new vendors. We also seek to include appropriate security terms in our contracts, where applicable as part of our oversight of third-party providers.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Assessing, Identifying and Managing Material Risks from Cybersecurity Threats</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We maintain an incident response program. In the event of a cybersecurity incident,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maintain a Data Breach Response Policy, which includes an Incident Response Plan (“IRP”) in the event of a significant cybersecurity incident. In the event of a significant cybersecurity incident, our Chief Financial Officer (“CFO”) will chair an incident response team to handle the incident. Such incident response team will include members of IT, finance (if applicable), legal, communications, human resources and any affected unit or department. IT, along with a designated forensic team, will use the IRP to guide the response.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Oversight</w:t>
      </w:r>
    </w:p>
    <w:p>
      <w:pPr>
        <w:spacing w:after="0" w:line="11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controls and processes employed to assess, identify and manage material risks from cybersecurity threats are implemented and overseen by our Information Technology and Facilities Director (the “ITFD”). Our ITFD is a third-party consultant, from whom we have a dedicated resource who specializes in the industry and has over 25 years of experience addressing cybersecurity risks. Our ITFD is</w:t>
      </w:r>
    </w:p>
    <w:p>
      <w:pPr>
        <w:sectPr>
          <w:pgSz w:w="11900" w:h="16838" w:orient="portrait"/>
          <w:cols w:equalWidth="0" w:num="1">
            <w:col w:w="11240"/>
          </w:cols>
          <w:pgMar w:left="320" w:top="513" w:right="339" w:bottom="144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Our CFO oversees the ITFD and briefs our Board on cybersecurity matters, including the nature and design of our cybersecurity program, and threats, events, and program enhancements.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While the Board has overall responsibility for risk oversight, the Board delegated to the audit committee of the Board the responsibility for assisting the Board with cybersecurity disclosure matters. In its oversight role, the Board is expected to specifically consider risks that relate to the reputation of the Company and the general industry in which we operate, including with respect to privacy, information technology and cybersecurity and threats to technology infrastructure.</w:t>
      </w:r>
    </w:p>
    <w:p>
      <w:pPr>
        <w:spacing w:after="0" w:line="72"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On a regular basis, the CFO reports to the Board on cybersecurity matters, including key risks, the potential impact of those exposures on the Company’s business, financial results, operations and reputation and the programs and steps implemented by management to monitor and mitigate risks.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121"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approach to risk management. Given the nature and size of our Company, we do not have a dedicated enterprise risk function, but our executives regularly consider and evaluate risks to our Company. As part of that risk management process, members of our executive team identify, assess and evaluate risks impacting our operations across the Company, including those risks related to cybersecurity, and raise them for discussion with other executives, and where it is determined to be appropriate, issues are also raised to the Board for consideration.</w:t>
      </w:r>
    </w:p>
    <w:p>
      <w:pPr>
        <w:spacing w:after="0" w:line="75"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including as a result of any previous cybersecurity incidents, that have materially affected our business strategy, results of operations or financial condition or are reasonably likely to have such a material effect. While we have implemented a cybersecurity program, the techniques used to infiltrate information technology systems continue to evolve. Accordingly, we may not be able to timely detect threats or anticipate and implement adequate security measures. For additional information regarding risks relating to privacy and cybersecurity, see “Item 1A—Risk Factors.”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Our corporate offices are in Houston, Texas. As of December 31, 2025, we had lease agreements for office space in Charlottesville, Virginia and Houston, Texas.</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 October 16, 2025, we entered into a lease (the “Houston Lease”) with LG 1 Property Owner LP, pursuant to which we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our share of the building’s direct expenses. The Houston Lease has an initial term of 120 calendar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Company’s common stock is listed on the Nasdaq Capital Market under the symbol “PSTV.”</w:t>
      </w:r>
    </w:p>
    <w:p>
      <w:pPr>
        <w:spacing w:after="0" w:line="117"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As of March 10, 2026, the Company had approximately 25 record holders of common stock. Because many of the Company’s outstanding shares are held by brokers and other institutions on behalf of stockholders, the Company is unable to estimate the total number of individual stockholders represented by these record holders.</w:t>
      </w:r>
    </w:p>
    <w:p>
      <w:pPr>
        <w:spacing w:after="0" w:line="68"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Company has never paid cash dividends to its stockholders. The Company intends to retain future earnings for use in its business and does not anticipate paying cash dividends on its common stock in the foreseeable future. Any future dividend policy will be determined by the Board and will be based upon various factors, including the Company’s results of operations, financial condition, current and anticipated cash needs, future prospects, contractual restrictions and other factors as the Board may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2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purchases of its common stock for the three months ended December 31, 2025.</w:t>
      </w:r>
    </w:p>
    <w:p>
      <w:pPr>
        <w:spacing w:after="0" w:line="200" w:lineRule="exact"/>
        <w:rPr>
          <w:sz w:val="20"/>
          <w:szCs w:val="20"/>
          <w:color w:val="auto"/>
        </w:rPr>
      </w:pPr>
    </w:p>
    <w:p>
      <w:pPr>
        <w:spacing w:after="0" w:line="38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Company Purchases of Common Stock</w:t>
            </w: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Total Number of</w:t>
            </w:r>
          </w:p>
        </w:tc>
        <w:tc>
          <w:tcPr>
            <w:tcW w:w="180" w:type="dxa"/>
            <w:vAlign w:val="bottom"/>
          </w:tcPr>
          <w:p>
            <w:pPr>
              <w:spacing w:after="0"/>
              <w:rPr>
                <w:sz w:val="10"/>
                <w:szCs w:val="10"/>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2"/>
                <w:szCs w:val="12"/>
                <w:color w:val="auto"/>
              </w:rPr>
            </w:pPr>
          </w:p>
        </w:tc>
        <w:tc>
          <w:tcPr>
            <w:tcW w:w="14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80" w:type="dxa"/>
            <w:vAlign w:val="bottom"/>
          </w:tcPr>
          <w:p>
            <w:pPr>
              <w:spacing w:after="0"/>
              <w:rPr>
                <w:sz w:val="12"/>
                <w:szCs w:val="12"/>
                <w:color w:val="auto"/>
              </w:rPr>
            </w:pP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Plans 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4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5"/>
                <w:szCs w:val="15"/>
                <w:color w:val="auto"/>
              </w:rPr>
            </w:pPr>
          </w:p>
        </w:tc>
        <w:tc>
          <w:tcPr>
            <w:tcW w:w="18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Programs</w:t>
            </w:r>
            <w:r>
              <w:rPr>
                <w:rFonts w:ascii="Times New Roman" w:cs="Times New Roman" w:eastAsia="Times New Roman" w:hAnsi="Times New Roman"/>
                <w:sz w:val="19"/>
                <w:szCs w:val="19"/>
                <w:b w:val="1"/>
                <w:bCs w:val="1"/>
                <w:color w:val="auto"/>
                <w:w w:val="97"/>
                <w:vertAlign w:val="superscript"/>
              </w:rPr>
              <w:t>(1)</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1 - 31, 2025</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561,392</w:t>
            </w:r>
          </w:p>
        </w:tc>
        <w:tc>
          <w:tcPr>
            <w:tcW w:w="4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561,392</w:t>
            </w:r>
          </w:p>
        </w:tc>
        <w:tc>
          <w:tcPr>
            <w:tcW w:w="2000" w:type="dxa"/>
            <w:vAlign w:val="bottom"/>
            <w:gridSpan w:val="2"/>
            <w:shd w:val="clear" w:color="auto" w:fill="CFF0FC"/>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1 - 31, 2025</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877,703</w:t>
            </w:r>
          </w:p>
        </w:tc>
        <w:tc>
          <w:tcPr>
            <w:tcW w:w="440" w:type="dxa"/>
            <w:vAlign w:val="bottom"/>
            <w:tcBorders>
              <w:bottom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877,703</w:t>
            </w:r>
          </w:p>
        </w:tc>
        <w:tc>
          <w:tcPr>
            <w:tcW w:w="2000" w:type="dxa"/>
            <w:vAlign w:val="bottom"/>
            <w:tcBorders>
              <w:bottom w:val="single" w:sz="8" w:color="CFF0FC"/>
            </w:tcBorders>
            <w:gridSpan w:val="2"/>
            <w:shd w:val="clear" w:color="auto" w:fill="CFF0FC"/>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1,439,095</w:t>
            </w:r>
          </w:p>
        </w:tc>
        <w:tc>
          <w:tcPr>
            <w:tcW w:w="4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1,439,095</w:t>
            </w:r>
          </w:p>
        </w:tc>
        <w:tc>
          <w:tcPr>
            <w:tcW w:w="2000" w:type="dxa"/>
            <w:vAlign w:val="bottom"/>
            <w:gridSpan w:val="2"/>
          </w:tcPr>
          <w:p>
            <w:pPr>
              <w:jc w:val="right"/>
              <w:ind w:right="16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-170815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-170815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1020" w:right="40" w:hanging="503"/>
        <w:spacing w:after="0" w:line="272" w:lineRule="auto"/>
        <w:tabs>
          <w:tab w:leader="none" w:pos="10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4, 2025, the Company entered into a securities purchase agreement with various purchasers (the “Purchasers”), pursuant to which the Company issued to such Purchasers in a private placement (“March 2025 Private Placement”) common stock of the Company. On June 17, 2025, the Company and the Purchasers entered into a letter agreement (the “Letter Agreement”) with each of the Purchasers in an effort to, among other items, minimize the dilutive impact of the March 2025 Private Placement. The Letter Agreement provided for the return and cancellation of Private Placement Shares and Pre-Funded Warrants. Refer to Note 15. Stockholders’ Equity in Part II of this Annual Report on Form 10-K for more information on the Letter Agreement.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includes the following sections:</w:t>
      </w:r>
    </w:p>
    <w:p>
      <w:pPr>
        <w:spacing w:after="0" w:line="117" w:lineRule="exact"/>
        <w:rPr>
          <w:sz w:val="20"/>
          <w:szCs w:val="20"/>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 that discusses our business.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includes a discussion of our revenue and expenses.</w:t>
      </w:r>
    </w:p>
    <w:p>
      <w:pPr>
        <w:spacing w:after="0" w:line="117"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that discusses key aspects of our statements of cash flows, changes in our financial position and our financial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8"/>
          <w:szCs w:val="18"/>
          <w:color w:val="auto"/>
        </w:rPr>
        <w:t>Plus Therapeutics is a U.S. healthcare company developing and commercializing precision diagnostics and targeted radiopharmaceuticals for central nervous system (“CNS”) cancers. CNSide Diagnostics, LLC (“CNSide Diagnostics”) is our wholly owned subsidiary that develops and commercializes proprietary laboratory-developed tests, such as CNSide®, designed to identify tumor cells that have metastasized to the central nervous system in patients with carcinomas and melanomas. In radiopharmaceuticals, our lead candidate,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specifically for CNS cancers including recurrent glioblastoma (“GBM”), leptomeningeal metastases (“LM”), and pediatric brain cancers (“PBC”) by direct localized delivery utilizing approved standard-of-care tissue access such as with convection-enhanced delivery (“CED”) and intraventricular brain (Ommaya reservoir) catheters. Our acquired radiotherapeutic candidate, Rhenium-188 NanoLiposome Biodegradable Alginate Microsphere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is designed to treat many solid organ cancers including primary and secondary liver cancers by intra-arterial injection.</w:t>
      </w:r>
    </w:p>
    <w:p>
      <w:pPr>
        <w:spacing w:after="0" w:line="9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Traditional approaches to radiation therapy for cancer, such as external beam radiation, have many disadvantages including continuous treatment for four to six weeks (which is onerous for patients), that the radiation damages healthy cells and tissue, and that the amount of radiation delivered is very limited and, therefore, is frequently inadequate to fully destroy the cancer.</w:t>
      </w:r>
    </w:p>
    <w:p>
      <w:pPr>
        <w:spacing w:after="0" w:line="6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Our novel radioactive drug formulations, medical devices and therapeutic candidates have the potential to overcome these disadvantages as they are designed to deliver safe and effective doses of radiation at the tumors—potentially in a single treatment. To achieve this, we have developed innovative approaches to drug formulation, including encapsulating radionuclides such as rhenium isotopes with nanoliposomes and microspheres. Our formulations are intended to achieve elevated patient-absorbed radiation doses and extend retention times such that the clearance of the isotope occurs after significant and essentially complete radiation decay, which will contribute and provide less normal tissue/organ exposure and improved safety margins.</w:t>
      </w:r>
    </w:p>
    <w:p>
      <w:pPr>
        <w:spacing w:after="0" w:line="75"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By minimizing radiation exposure to healthy tissues while simultaneously maximizing locoregional delivery and, thereby, efficacy, we hope to reduce the radiation toxicity for patients, improving their quality of life and life expectancy. Our radiotherapeutic platform, combined with advances in neurosurgery, nuclear medicine, interventional radiology, neuro-oncology, and radiation oncology, affords us the opportunity to target a broad variety of cancer types.</w:t>
      </w:r>
    </w:p>
    <w:p>
      <w:pPr>
        <w:spacing w:after="0" w:line="72"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The CNSide Cerebrospinal Fluid Assay is currently being utilized in the ReSPECT-LM clinical trial funded by the Cancer Prevention and Research Institute of Texas (“CPRIT”). In connection with our business plan for developing the CNSide Platform, we formed CNSide Diagnostics and our board of directors appointed a board of managers for CNSide Diagnostics. We re-introduced the CNSide Cerebrospinal Fluid Tumor Cell Enumeration test (the “CNSide Test”), which is a laboratory developed test (“LDT”) in August 2025. The laboratory for the CNSide Test in Houston, Texas has received a certificate of accreditation from the Centers for Medicare &amp; Medicaid Services (CMS) which deems the lab compliant with Clinical Laboratory Improvement Amendments (“CLIA”) regulations. Furthermore, CNSide Diagnostics has signed national agreements to provide the CNSide Test with UnitedHealthcare Insurance Company and Humana, Inc. effective September 15 and October 29, 2025, respectively. These agreements expand access to more than 67 million covered lives across the United States.</w:t>
      </w:r>
    </w:p>
    <w:p>
      <w:pPr>
        <w:spacing w:after="0" w:line="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headquarters is located in Houston, Texas, in proximity to world-class cancer institutions and researchers.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76" w:lineRule="exact"/>
        <w:rPr>
          <w:sz w:val="20"/>
          <w:szCs w:val="20"/>
          <w:color w:val="auto"/>
        </w:rPr>
      </w:pPr>
    </w:p>
    <w:p>
      <w:pPr>
        <w:jc w:val="both"/>
        <w:ind w:firstLine="300"/>
        <w:spacing w:after="0" w:line="212" w:lineRule="auto"/>
        <w:rPr>
          <w:sz w:val="20"/>
          <w:szCs w:val="20"/>
          <w:color w:val="auto"/>
        </w:rPr>
      </w:pPr>
      <w:r>
        <w:rPr>
          <w:rFonts w:ascii="Times New Roman" w:cs="Times New Roman" w:eastAsia="Times New Roman" w:hAnsi="Times New Roman"/>
          <w:sz w:val="18"/>
          <w:szCs w:val="18"/>
          <w:color w:val="auto"/>
        </w:rPr>
        <w:t>Our most advanced investigational drug,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 patented radiotherapy potentially useful for patients with CNS and other cancers. Preclinical study data describing the use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several cancer targets have been published in peer-reviewed journals and reported at a variety of medical society peer-reviewed meetings. Besides GBM, LM and PBC,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has been reported to have potential applications for head and neck cancer, ovarian cancer, breast cancer and peritoneal metastases.</w:t>
      </w:r>
    </w:p>
    <w:p>
      <w:pPr>
        <w:spacing w:after="0" w:line="98" w:lineRule="exact"/>
        <w:rPr>
          <w:sz w:val="20"/>
          <w:szCs w:val="20"/>
          <w:color w:val="auto"/>
        </w:rPr>
      </w:pPr>
    </w:p>
    <w:p>
      <w:pPr>
        <w:jc w:val="both"/>
        <w:ind w:firstLine="300"/>
        <w:spacing w:after="0" w:line="243" w:lineRule="auto"/>
        <w:rPr>
          <w:sz w:val="20"/>
          <w:szCs w:val="20"/>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is expected to provide financial support for the continued clinical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recurrent GBM through the completion of a Phase 2 clinical trial, including enrollment of up to 55 patients.</w:t>
      </w:r>
    </w:p>
    <w:p>
      <w:pPr>
        <w:spacing w:after="0" w:line="1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 (</w:t>
      </w:r>
      <w:r>
        <w:rPr>
          <w:rFonts w:ascii="Times New Roman" w:cs="Times New Roman" w:eastAsia="Times New Roman" w:hAnsi="Times New Roman"/>
          <w:sz w:val="24"/>
          <w:szCs w:val="24"/>
          <w:i w:val="1"/>
          <w:iCs w:val="1"/>
          <w:color w:val="auto"/>
          <w:vertAlign w:val="superscript"/>
        </w:rPr>
        <w:t>186</w:t>
      </w:r>
      <w:r>
        <w:rPr>
          <w:rFonts w:ascii="Times New Roman" w:cs="Times New Roman" w:eastAsia="Times New Roman" w:hAnsi="Times New Roman"/>
          <w:sz w:val="18"/>
          <w:szCs w:val="18"/>
          <w:i w:val="1"/>
          <w:iCs w:val="1"/>
          <w:color w:val="auto"/>
        </w:rPr>
        <w:t>Re) obisbemeda versus External Beam Radiation Therapy for Recurrent GBM</w:t>
      </w:r>
    </w:p>
    <w:p>
      <w:pPr>
        <w:spacing w:after="0" w:line="64" w:lineRule="exact"/>
        <w:rPr>
          <w:sz w:val="20"/>
          <w:szCs w:val="20"/>
          <w:color w:val="auto"/>
        </w:rPr>
      </w:pPr>
    </w:p>
    <w:p>
      <w:pPr>
        <w:jc w:val="both"/>
        <w:ind w:firstLine="300"/>
        <w:spacing w:after="0"/>
        <w:rPr>
          <w:sz w:val="20"/>
          <w:szCs w:val="20"/>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a novel injectable radiotherapy designed to deliver targeted, high dose radiation directly into GBM tumors in a safe, effective, and convenient manner that may ultimately prolong patient survival.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is composed of the radionuclide Rhenium-186 and a nanoliposomal carrier, and is infused in a highly targeted, controlled fashion, directly into the tumor via precision brain mapping and CED catheters. Potential benefits of 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compared to standard external beam radiotherapy or external beam radiation therapy (“EBRT”) include:</w:t>
      </w:r>
    </w:p>
    <w:p>
      <w:pPr>
        <w:spacing w:after="0" w:line="24" w:lineRule="exact"/>
        <w:rPr>
          <w:sz w:val="20"/>
          <w:szCs w:val="20"/>
          <w:color w:val="auto"/>
        </w:rPr>
      </w:pPr>
    </w:p>
    <w:p>
      <w:pPr>
        <w:ind w:left="1020" w:hanging="503"/>
        <w:spacing w:after="0" w:line="233"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radiation dose delivered to patients may be up to 20 times greater than what is possible with commonly used EBRT, which, unlike EBRT and proton beam devices, spares normal tissue and the brain from radiation exposure.</w:t>
      </w:r>
    </w:p>
    <w:p>
      <w:pPr>
        <w:spacing w:after="0" w:line="98"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can be visualized in real-time during administration, possibly giving clinicians better control of radiation dosing, distribution and retention.</w:t>
      </w:r>
    </w:p>
    <w:p>
      <w:pPr>
        <w:spacing w:after="0" w:line="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Rhenium (</w:t>
      </w:r>
      <w:r>
        <w:rPr>
          <w:rFonts w:ascii="Times New Roman" w:cs="Times New Roman" w:eastAsia="Times New Roman" w:hAnsi="Times New Roman"/>
          <w:sz w:val="23"/>
          <w:szCs w:val="23"/>
          <w:color w:val="auto"/>
          <w:vertAlign w:val="superscript"/>
        </w:rPr>
        <w:t>186</w:t>
      </w:r>
      <w:r>
        <w:rPr>
          <w:rFonts w:ascii="Times New Roman" w:cs="Times New Roman" w:eastAsia="Times New Roman" w:hAnsi="Times New Roman"/>
          <w:sz w:val="17"/>
          <w:szCs w:val="17"/>
          <w:color w:val="auto"/>
        </w:rPr>
        <w:t>Re) obisbemeda potentially more effectively treats a bulk tumor and microscopic disease that has already invaded healthy tissue.</w:t>
      </w:r>
    </w:p>
    <w:p>
      <w:pPr>
        <w:spacing w:after="0" w:line="86" w:lineRule="exact"/>
        <w:rPr>
          <w:rFonts w:ascii="Times New Roman" w:cs="Times New Roman" w:eastAsia="Times New Roman" w:hAnsi="Times New Roman"/>
          <w:sz w:val="17"/>
          <w:szCs w:val="17"/>
          <w:color w:val="auto"/>
        </w:rPr>
      </w:pPr>
    </w:p>
    <w:p>
      <w:pPr>
        <w:jc w:val="both"/>
        <w:ind w:left="1020" w:hanging="503"/>
        <w:spacing w:after="0" w:line="24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98" w:lineRule="exact"/>
        <w:rPr>
          <w:rFonts w:ascii="Times New Roman" w:cs="Times New Roman" w:eastAsia="Times New Roman" w:hAnsi="Times New Roman"/>
          <w:sz w:val="18"/>
          <w:szCs w:val="18"/>
          <w:color w:val="auto"/>
        </w:rPr>
      </w:pPr>
    </w:p>
    <w:p>
      <w:pPr>
        <w:ind w:left="1020" w:hanging="503"/>
        <w:spacing w:after="0" w:line="233"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given during a single, short, in-patient hospital visit, and is available in all hospitals with nuclear medicine and neurosurgery, while EBRT requires out-patient visits five days a week for approximately four to six weeks.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ReSPECT-GBM Trial for Recurrent GBM</w:t>
      </w:r>
    </w:p>
    <w:p>
      <w:pPr>
        <w:spacing w:after="0" w:line="335"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GBM affects approximately 15,000 patients annually in the U.S. and is the most common and lethal form of brain cancer. The average life expectancy with GBM is less than 24 months, with a one-year survival rate of 40% and a five-year survival rate of around 5%. There is no clear standard of care for recurrent GBM and the few currently approved treatments provide only marginal survival benefit and are associated with significant side effects, which limit dosing and prolonged use. Approximately 90% of patients experience GBM tumor recurrence at or near the original tumor location, yet there are no FDA-approved treatments in the recurrent or progressive setting that can significantly extend a patient’s life. GBM routinely presents with headaches, seizures, vision changes and other significant neurological complications, with a significant compromise in quality of life. Despite the best available medical treatments, the disease remains incurable. Even after efforts to manage the presenting signs and symptoms and completely resect the initial brain tumor, some microscopic disease almost always remains, and tumor regrowth occurs within months. Complete surgical removal of GBM is usually not possible and GBM is often resistant or quickly develops resistance to most available current and investigational therapies. Today, the treatment of GBM remains a significant challenge and it has been nearly a decade since the FDA approved a new therapy for this disease, and these more recent approvals have not improved the overall survival (“OS”) for GBM patients over past decades, and a significant unmet medical need persists.</w:t>
      </w:r>
    </w:p>
    <w:p>
      <w:pPr>
        <w:spacing w:after="0" w:line="84" w:lineRule="exact"/>
        <w:rPr>
          <w:sz w:val="20"/>
          <w:szCs w:val="20"/>
          <w:color w:val="auto"/>
        </w:rPr>
      </w:pPr>
    </w:p>
    <w:p>
      <w:pPr>
        <w:jc w:val="both"/>
        <w:ind w:firstLine="300"/>
        <w:spacing w:after="0" w:line="246" w:lineRule="auto"/>
        <w:rPr>
          <w:sz w:val="20"/>
          <w:szCs w:val="20"/>
          <w:color w:val="auto"/>
        </w:rPr>
      </w:pPr>
      <w:r>
        <w:rPr>
          <w:rFonts w:ascii="Times New Roman" w:cs="Times New Roman" w:eastAsia="Times New Roman" w:hAnsi="Times New Roman"/>
          <w:sz w:val="18"/>
          <w:szCs w:val="18"/>
          <w:color w:val="auto"/>
        </w:rPr>
        <w:t>While EBRT has been shown to be safe and has temporary efficacy in many malignancies including GBM, typically at absorbed, fractionated radiation dose of ~30 Gray in GBM, this maximum possible administered dose is always limited by toxicity to the normal tissues surrounding the malignancy and because EBRT requires fractionation to manage toxicity and maximum EBRT limits are typically reached before long-term efficacy reached. Because of this limitation, EBRT cannot provide a cure or long-term control of GBM and GBM always recurs within months after EBRT. In contrast, locally delivered and targeted radiopharmaceuticals that precisely deliver radiation in the form of beta particles such as Iodine-131 for thyroid cancer, are known to be safe and effective and minimize exposure to normal cells and tissues especially with optimal administered dose and minimizing exposure to normal tissue. The locally delivered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designed for and provides patient tolerability and safety. Though no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head-to-head trial with chemo, immune, EBRT or systemic radiopharmaceutical products have been conducted, patient tolerability and safety considerations have been reported as expected.</w:t>
      </w:r>
    </w:p>
    <w:p>
      <w:pPr>
        <w:spacing w:after="0" w:line="92" w:lineRule="exact"/>
        <w:rPr>
          <w:sz w:val="20"/>
          <w:szCs w:val="20"/>
          <w:color w:val="auto"/>
        </w:rPr>
      </w:pPr>
    </w:p>
    <w:p>
      <w:pPr>
        <w:jc w:val="both"/>
        <w:ind w:firstLine="300"/>
        <w:spacing w:after="0" w:line="227" w:lineRule="auto"/>
        <w:rPr>
          <w:sz w:val="20"/>
          <w:szCs w:val="20"/>
          <w:color w:val="auto"/>
        </w:rPr>
      </w:pPr>
      <w:r>
        <w:rPr>
          <w:rFonts w:ascii="Times New Roman" w:cs="Times New Roman" w:eastAsia="Times New Roman" w:hAnsi="Times New Roman"/>
          <w:sz w:val="18"/>
          <w:szCs w:val="18"/>
          <w:color w:val="auto"/>
        </w:rPr>
        <w:t>In September 2020, the FDA granted both orphan drug designation and Fast Track designations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GBM.</w:t>
      </w:r>
    </w:p>
    <w:p>
      <w:pPr>
        <w:spacing w:after="0" w:line="97" w:lineRule="exact"/>
        <w:rPr>
          <w:sz w:val="20"/>
          <w:szCs w:val="20"/>
          <w:color w:val="auto"/>
        </w:rPr>
      </w:pPr>
    </w:p>
    <w:p>
      <w:pPr>
        <w:jc w:val="both"/>
        <w:ind w:firstLine="300"/>
        <w:spacing w:after="0" w:line="224" w:lineRule="auto"/>
        <w:rPr>
          <w:sz w:val="20"/>
          <w:szCs w:val="20"/>
          <w:color w:val="auto"/>
        </w:rPr>
      </w:pPr>
      <w:r>
        <w:rPr>
          <w:rFonts w:ascii="Times New Roman" w:cs="Times New Roman" w:eastAsia="Times New Roman" w:hAnsi="Times New Roman"/>
          <w:sz w:val="18"/>
          <w:szCs w:val="18"/>
          <w:color w:val="auto"/>
        </w:rPr>
        <w:t>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under clinical investigation in a Phase 1/2 multicenter, sequential cohort, open-label, volume and dose escalation study (“ReSPECT-GBM”) of the safety, tolerability, and distribution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given by CED catheters to patients with recurrent or progressive malignant glioma after standard surgical, radiation, and/or chemotherapy treatment. The trial is funded through Phase 2 in large part by a National Institute of Health/National Cancer Institute grant.</w:t>
      </w:r>
    </w:p>
    <w:p>
      <w:pPr>
        <w:spacing w:after="0" w:line="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completed Phase 1 of our ReSPECT-GBM Trial and are targeting full enrollment into Phase 2 by the end of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ReSPECT-LM Clinical Trials for LM</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LM is a rare complication of cancer in which the disease spreads to the membranes (meninges) surrounding the brain and spinal cord. The incidence of LM is growing and occurs in approximately 5%, or more, of people with late-stage cancer, or 110,000 people in the U.S. each year. It is highly lethal with an average one-year survival of just 7%. All solid cancers, particularly breast, lung, GI, and melanoma, have the potential to spread to the leptomeninges.</w:t>
      </w:r>
    </w:p>
    <w:p>
      <w:pPr>
        <w:spacing w:after="0" w:line="68" w:lineRule="exact"/>
        <w:rPr>
          <w:sz w:val="20"/>
          <w:szCs w:val="20"/>
          <w:color w:val="auto"/>
        </w:rPr>
      </w:pPr>
    </w:p>
    <w:p>
      <w:pPr>
        <w:jc w:val="both"/>
        <w:ind w:firstLine="300"/>
        <w:spacing w:after="0" w:line="236" w:lineRule="auto"/>
        <w:rPr>
          <w:sz w:val="20"/>
          <w:szCs w:val="20"/>
          <w:color w:val="auto"/>
        </w:rPr>
      </w:pPr>
      <w:r>
        <w:rPr>
          <w:rFonts w:ascii="Times New Roman" w:cs="Times New Roman" w:eastAsia="Times New Roman" w:hAnsi="Times New Roman"/>
          <w:sz w:val="18"/>
          <w:szCs w:val="18"/>
          <w:color w:val="auto"/>
        </w:rPr>
        <w:t>The ReSPECT-LM Phase 1 clinical trial (ClinicalTrials.gov NCT05034497) was preceded with preclinical studies in which tolerance to doses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as high as 1,075 Gy were shown in animal models with LM without significant observed toxicity. Furthermore, treatment led to a marked reduction in tumor burden in both C6 and MDA-231 LM models.</w:t>
      </w:r>
    </w:p>
    <w:p>
      <w:pPr>
        <w:spacing w:after="0" w:line="98" w:lineRule="exact"/>
        <w:rPr>
          <w:sz w:val="20"/>
          <w:szCs w:val="20"/>
          <w:color w:val="auto"/>
        </w:rPr>
      </w:pPr>
    </w:p>
    <w:p>
      <w:pPr>
        <w:jc w:val="both"/>
        <w:ind w:firstLine="300"/>
        <w:spacing w:after="0" w:line="234" w:lineRule="auto"/>
        <w:rPr>
          <w:sz w:val="20"/>
          <w:szCs w:val="20"/>
          <w:color w:val="auto"/>
        </w:rPr>
      </w:pPr>
      <w:r>
        <w:rPr>
          <w:rFonts w:ascii="Times New Roman" w:cs="Times New Roman" w:eastAsia="Times New Roman" w:hAnsi="Times New Roman"/>
          <w:sz w:val="18"/>
          <w:szCs w:val="18"/>
          <w:color w:val="auto"/>
        </w:rPr>
        <w:t>Upon receiving acceptance of our Investigational New Drug application and Fast Track designation by the FDA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November 2021, we initiated the trial and began screening patients for the ReSPECT-LM Phase 1 clinical trial in the fourth quarter of 2021.</w:t>
      </w:r>
    </w:p>
    <w:p>
      <w:pPr>
        <w:spacing w:after="0" w:line="90" w:lineRule="exact"/>
        <w:rPr>
          <w:sz w:val="20"/>
          <w:szCs w:val="20"/>
          <w:color w:val="auto"/>
        </w:rPr>
      </w:pPr>
    </w:p>
    <w:p>
      <w:pPr>
        <w:jc w:val="both"/>
        <w:ind w:firstLine="300"/>
        <w:spacing w:after="0" w:line="243" w:lineRule="auto"/>
        <w:rPr>
          <w:sz w:val="20"/>
          <w:szCs w:val="20"/>
          <w:color w:val="auto"/>
        </w:rPr>
      </w:pPr>
      <w:r>
        <w:rPr>
          <w:rFonts w:ascii="Times New Roman" w:cs="Times New Roman" w:eastAsia="Times New Roman" w:hAnsi="Times New Roman"/>
          <w:sz w:val="18"/>
          <w:szCs w:val="18"/>
          <w:color w:val="auto"/>
        </w:rPr>
        <w:t>ReSPECT-LM is a multi-center, sequential cohort, open-label, dose escalation study evaluating the safety, tolerability, and efficacy of a single-dose application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administered through intrathecal infusion to the ventricle of patients with LM after standard surgical, radiation, and/or chemotherapy treatment. The primary endpoint of the study is the incidence and severity of adverse events and dose limiting toxicities, together with determining the maximum tolerated and recommended Phase 2 dose. Full enrollment in the Phase 1 trial was achieved at the end of 2024, and we announced the trial completion on February 26, 2025. Trial closeout procedures are now taking place including final data review and monitoring, and a clinical study report and manuscript will be prepared.</w:t>
      </w:r>
    </w:p>
    <w:p>
      <w:pPr>
        <w:spacing w:after="0" w:line="90" w:lineRule="exact"/>
        <w:rPr>
          <w:sz w:val="20"/>
          <w:szCs w:val="20"/>
          <w:color w:val="auto"/>
        </w:rPr>
      </w:pPr>
    </w:p>
    <w:p>
      <w:pPr>
        <w:jc w:val="both"/>
        <w:ind w:firstLine="300"/>
        <w:spacing w:after="0" w:line="235" w:lineRule="auto"/>
        <w:rPr>
          <w:sz w:val="20"/>
          <w:szCs w:val="20"/>
          <w:color w:val="auto"/>
        </w:rPr>
      </w:pPr>
      <w:r>
        <w:rPr>
          <w:rFonts w:ascii="Times New Roman" w:cs="Times New Roman" w:eastAsia="Times New Roman" w:hAnsi="Times New Roman"/>
          <w:sz w:val="18"/>
          <w:szCs w:val="18"/>
          <w:color w:val="auto"/>
        </w:rPr>
        <w:t>On September 19, 2022, we entered into a Cancer Research Grant Contract (the “CPRIT Contract”), effective as of August 31, 2022, with CPRIT, pursuant to which CPRIT provides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As of December 31, 2025, we had received approximately $15.9 million in milestone payments under the CPRIT Contract.</w:t>
      </w:r>
    </w:p>
    <w:p>
      <w:pPr>
        <w:spacing w:after="0" w:line="100" w:lineRule="exact"/>
        <w:rPr>
          <w:sz w:val="20"/>
          <w:szCs w:val="20"/>
          <w:color w:val="auto"/>
        </w:rPr>
      </w:pPr>
    </w:p>
    <w:p>
      <w:pPr>
        <w:jc w:val="both"/>
        <w:ind w:firstLine="300"/>
        <w:spacing w:after="0" w:line="218" w:lineRule="auto"/>
        <w:rPr>
          <w:sz w:val="20"/>
          <w:szCs w:val="20"/>
          <w:color w:val="auto"/>
        </w:rPr>
      </w:pPr>
      <w:r>
        <w:rPr>
          <w:rFonts w:ascii="Times New Roman" w:cs="Times New Roman" w:eastAsia="Times New Roman" w:hAnsi="Times New Roman"/>
          <w:sz w:val="18"/>
          <w:szCs w:val="18"/>
          <w:color w:val="auto"/>
        </w:rPr>
        <w:t>Interim results showed that a single treatment with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resulted in a consistent decreased cerebrospinal fluid (“CSF”) tumor cell count/ml and was tolerated by all LM patients.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is an outpatient administration and treatment and is easily and safely administered through a standard intraventricular catheter (Ommaya Reservoir), distributed promptly throughout the CSF, and with durable retention in the leptomeninges at least through day seven. All patients have shown well tolerated prompt and durable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distribution throughout the subarachnoid space.</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November 2023,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breast cancer with LM.</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December 12, 2023, we announced our partnership with K2bio to implement the CNSide Test.</w:t>
      </w:r>
    </w:p>
    <w:p>
      <w:pPr>
        <w:spacing w:after="0" w:line="117"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 February 26, 2025, we announced the completion of the ReSPECT-LM Phase 1 single-dose escalation trial, having determined a recommended Phase 2 dose. Enrollment in Cohort 6 was completed (75.0 mCi). The Cohort 4 dose (44.1 mCi) was determined to be the recommended Phase 2 dose with no dose-limiting toxicities observed at that dose level. One patient at the Cohort 4 dose was observed to have achieved a complete response, as evidenced by the eradication of tumor cells in the cerebrospinal fluid—a key therapeutic endpoint.</w:t>
      </w:r>
    </w:p>
    <w:p>
      <w:pPr>
        <w:spacing w:after="0" w:line="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March 2025, the FDA granted orphan drug designation to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LM in patients with lung cancer.</w:t>
      </w:r>
    </w:p>
    <w:p>
      <w:pPr>
        <w:spacing w:after="0" w:line="55"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231F20"/>
        </w:rPr>
        <w:t>In November 2025, we had our end of phase 1 meeting with the FDA. During this meeting, FDA conveyed that while accelerated approval may be appropriate for this indication, there are insufficient data to support the use of CTCs as an intermediate clinical endpoint, and there was discussion that additional steps would be necessary to validate CTCs as a surrogate endpoint to potentially support other future applications. The FDA recommended that the study evaluate an endpoint with established clinical benefit, such as overall survival, while encouraging further study of reported outcomes and neurologic function as endpoints that could potentially support a marketing application. We were aligned that CTCs could be considered for use as a secondary endpoint. We discussed with the FDA a randomized controlled trial design approach and that the study may include an itrathecal chemotherapeutic as a comparator, as well as approaches to standardize the comparator and any additional interventions available under the trial protocol. The FDA conveyed it may be reasonable to incorporate multiple histologies (i.e., multiple underlying disease etiologies) in a single trial. We plan to consider the Agency’s feedback and propose an updated protocol for our next study for FDA’s feedback.</w:t>
      </w:r>
    </w:p>
    <w:p>
      <w:pPr>
        <w:spacing w:after="0" w:line="87" w:lineRule="exact"/>
        <w:rPr>
          <w:sz w:val="20"/>
          <w:szCs w:val="20"/>
          <w:color w:val="auto"/>
        </w:rPr>
      </w:pPr>
    </w:p>
    <w:p>
      <w:pPr>
        <w:jc w:val="both"/>
        <w:ind w:firstLine="300"/>
        <w:spacing w:after="0"/>
        <w:rPr>
          <w:sz w:val="20"/>
          <w:szCs w:val="20"/>
          <w:color w:val="auto"/>
        </w:rPr>
      </w:pPr>
      <w:r>
        <w:rPr>
          <w:rFonts w:ascii="Times New Roman" w:cs="Times New Roman" w:eastAsia="Times New Roman" w:hAnsi="Times New Roman"/>
          <w:sz w:val="18"/>
          <w:szCs w:val="18"/>
          <w:color w:val="auto"/>
        </w:rPr>
        <w:t>In December 2025, we reported completion of the ReSPECT-LM single dose trial showed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was well-tolerated up to a maximum tolerated dose of 66mCi, with a recommended phase 2 dose of 44.1 mCi, and absorbed doses delivered of &gt;300 Gy observed. We also reported the ReSPECT-LM open label, multidose Phase 1/2 trial initiation to identify maximum tolerated dose across varying dosing intervals and to characterize efficacy of multiple doses at optimal dose selected by assessing response using the CNSide Test. Enrollment in Cohort 1 has begun with delivery of 13.2 mCi at 3 intervals with one patient receiving all doses without dose limiting toxicity.</w:t>
      </w:r>
    </w:p>
    <w:p>
      <w:pPr>
        <w:spacing w:after="0" w:line="1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ReSPECT LM Multi-dose Phase 2 Study is currently enrolling patients.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ReSPECT-PBC Clinical Trial for Pediatric Brain Cancer</w:t>
      </w:r>
    </w:p>
    <w:p>
      <w:pPr>
        <w:spacing w:after="0" w:line="11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average annual age adjusted mortality rate for children aged 0-14 for malignant brain (and other CNS) tumors is 0.71/100,000, making it the most common cause of death and cancer death in this age group. The 2021 World Health Organization Classification of CNS Tumors classifies gliomas, glioneuronal tumors, and neuronal tumors into six different families: (1) adult-type diffuse gliomas; (2) pediatric-type diffuse low-grade gliomas; (3) pediatric-type diffuse high-grade gliomas (“HGG”); (4) circumscribed astrocytic gliomas; (5) glioneuronal and neuronal tumors; and (6) ependymomas.</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In August 2021, we announced plans for treating pediatric brain cancer at the 2021 American Association of Neurological Surgeons Annual Scientific Meeting. In July 2021, we reported that we had received FDA feedback pertaining to a pre-Investigational New Drug Application (“IND”) meeting briefing package in which the FDA stated that we are not required to perform any additional preclinical or toxicology studies.</w:t>
      </w:r>
    </w:p>
    <w:p>
      <w:pPr>
        <w:spacing w:after="0" w:line="68"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Pediatric high-grade gliomas can be found almost anywhere within the CNS; however, they are most commonly found within the supratentorium. The highest incidence of supratentorial, high-grade gliomas in pediatrics appears to occur in children aged 15 to 19 years, with a median age of approximately nine years. Overall, pediatric high-grade glioma confers a three-year progression free survival (“PFS”) of 11 ± 3% and three-year OS of 22 ±5%. One-year PFS is as low as 40% in recent trials. Ependymomas are slow-growing central nervous system tumors that involve the ventricular system. Diagnosis is based on MRI and biopsy and survival rate depends on tumor grade and how much of the tumor can be removed. Grade II pathology was associated with significantly improved OS compared to Grade III (anaplastic) pathology (five-year OS = 71 ± 5% vs. 57 ± 10%; p = 0.026). Gross total resection compared to subtotal resection was associated with significantly improved OS (five-year OS = 75 ± 5% vs. 54 ± 8%; p = 0.002).</w:t>
      </w:r>
    </w:p>
    <w:p>
      <w:pPr>
        <w:spacing w:after="0" w:line="81"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Overall, pediatric HGG and ependymoma are extremely difficult-to-treat pediatric brain tumors, frequently aggressive, and in recurrent settings, carry an extremely poor prognosis.</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Effective September 1, 2024, we entered into an agreement with the Department of Defense office of the Congressionally Directed Medical Research Programs to receive a $3.0 million fund for research and development purposes (“DoD Award”) over a three-year period. The DoD Award will be used to support the planned expansion of our clinical trial for pediatric brain cancer. We anticipate enrolling for our first patient for our Phase 1 ReSPECT-PBC clinical trial in 2026.</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Key elements of the trial design include:</w:t>
      </w:r>
    </w:p>
    <w:p>
      <w:pPr>
        <w:spacing w:after="0" w:line="117" w:lineRule="exact"/>
        <w:rPr>
          <w:sz w:val="20"/>
          <w:szCs w:val="20"/>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1a/b (dose escalation): This phase will enroll an estimated 24 patients using a modified 3+3 dose escalation scheme to establish the MTD and recommended Phase 2 dose ("RP2D"). Safety assessment and alignment with the FDA will occur at defined intervals.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2a: This phase will enroll approximately 32 patients (12 with ependymoma and 20 with HGG) at the RP2D to assess efficacy.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beginning enrollment in our ReSPECT-PBC clinical trial, with our first patient enrolled,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Rhenium-188 NanoLiposome Biodegradable Alginate Microsphere Technology</w:t>
      </w:r>
    </w:p>
    <w:p>
      <w:pPr>
        <w:spacing w:after="0" w:line="335" w:lineRule="exact"/>
        <w:rPr>
          <w:sz w:val="20"/>
          <w:szCs w:val="20"/>
          <w:color w:val="auto"/>
        </w:rPr>
      </w:pPr>
    </w:p>
    <w:p>
      <w:pPr>
        <w:jc w:val="both"/>
        <w:ind w:firstLine="300"/>
        <w:spacing w:after="0" w:line="251" w:lineRule="auto"/>
        <w:rPr>
          <w:sz w:val="20"/>
          <w:szCs w:val="20"/>
          <w:color w:val="auto"/>
        </w:rPr>
      </w:pPr>
      <w:r>
        <w:rPr>
          <w:rFonts w:ascii="Times New Roman" w:cs="Times New Roman" w:eastAsia="Times New Roman" w:hAnsi="Times New Roman"/>
          <w:sz w:val="18"/>
          <w:szCs w:val="18"/>
          <w:color w:val="auto"/>
        </w:rPr>
        <w:t xml:space="preserve">In January 2022, we announced that we licensed Biodegradable Alginate Microsphere (“BAM”) patents and technology from The University of Texas Health Science Center at San Antonio (“UTHSCSA”) to expand our tumor targeting capabilities and precision radiotherapeutics pipeline. We intend to combine our Rhenium NanoLiposome technology with the BAM technology to create a novel radioembolization technology. Initially, we intend to utilize the Rhenium-188 isotope, </w:t>
      </w:r>
      <w:r>
        <w:rPr>
          <w:rFonts w:ascii="Times New Roman" w:cs="Times New Roman" w:eastAsia="Times New Roman" w:hAnsi="Times New Roman"/>
          <w:sz w:val="20"/>
          <w:szCs w:val="20"/>
          <w:color w:val="auto"/>
          <w:vertAlign w:val="superscript"/>
        </w:rPr>
        <w:t>188</w:t>
      </w:r>
      <w:r>
        <w:rPr>
          <w:rFonts w:ascii="Times New Roman" w:cs="Times New Roman" w:eastAsia="Times New Roman" w:hAnsi="Times New Roman"/>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2" w:lineRule="exact"/>
        <w:rPr>
          <w:sz w:val="20"/>
          <w:szCs w:val="20"/>
          <w:color w:val="auto"/>
        </w:rPr>
      </w:pPr>
    </w:p>
    <w:p>
      <w:pPr>
        <w:jc w:val="both"/>
        <w:ind w:firstLine="300"/>
        <w:spacing w:after="0" w:line="235" w:lineRule="auto"/>
        <w:rPr>
          <w:sz w:val="20"/>
          <w:szCs w:val="20"/>
          <w:color w:val="auto"/>
        </w:rPr>
      </w:pPr>
      <w:r>
        <w:rPr>
          <w:rFonts w:ascii="Times New Roman" w:cs="Times New Roman" w:eastAsia="Times New Roman" w:hAnsi="Times New Roman"/>
          <w:sz w:val="18"/>
          <w:szCs w:val="18"/>
          <w:color w:val="auto"/>
        </w:rPr>
        <w:t xml:space="preserve">Preclinical data from an ex vivo embolization experiment in which Technetium99m-BAM was intra-arterially delivered to a bovine kidney perfusion model was presented at the Society of Interventional Radiology Annual Scientific Meeting. The study concluded that the technology required for radiolabeling BAM could successfully deliver, embolize and retain radiation in the target organ.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 xml:space="preserve">RNL-BAM is a preclinical investigational device we intend to further develop and move into clinical trials. Specifically, in 2022 we transferred the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technology from UTHSCSA, and began planning to develop the product and complete early preclinical studies to support a future FDA IND submission. Our intended initial clinical target is liver cancer which is the sixth most common and third deadliest cancer worldwide. It is a rare disease with increasing U.S. annual incidence (42,000) and deaths (30,000).</w:t>
      </w:r>
    </w:p>
    <w:p>
      <w:pPr>
        <w:spacing w:after="0" w:line="1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FDA has informed us that </w:t>
      </w:r>
      <w:r>
        <w:rPr>
          <w:rFonts w:ascii="Times New Roman" w:cs="Times New Roman" w:eastAsia="Times New Roman" w:hAnsi="Times New Roman"/>
          <w:sz w:val="24"/>
          <w:szCs w:val="24"/>
          <w:color w:val="auto"/>
          <w:vertAlign w:val="superscript"/>
        </w:rPr>
        <w:t>188</w:t>
      </w:r>
      <w:r>
        <w:rPr>
          <w:rFonts w:ascii="Times New Roman" w:cs="Times New Roman" w:eastAsia="Times New Roman" w:hAnsi="Times New Roman"/>
          <w:sz w:val="18"/>
          <w:szCs w:val="18"/>
          <w:color w:val="auto"/>
        </w:rPr>
        <w:t>RNL-BAM will be regulated as a medical device under the FDCA.</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CNSide CSF Assay Platform</w:t>
      </w:r>
    </w:p>
    <w:p>
      <w:pPr>
        <w:spacing w:after="0" w:line="2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CNSide CSF Assay Platform consists of four LDTs used for detection, quantification, and characterization of tumor cells in patients with LM. The CNSide Platform facilitates tumor cell detection/enumeration and biomarker identification using cellular assays (tumor cell enumeration (“TCE”), immunocytochemistry (“ICC”), and fluorescence in situ hybridization (“FISH”)) and molecular assays (next-generation sequencing (“NGS”)). The CNSide Test is currently being used in the ReSPECT-LM trial as an exploratory endpoint.</w:t>
      </w:r>
    </w:p>
    <w:p>
      <w:pPr>
        <w:spacing w:after="0" w:line="72"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Since acquiring the CNSide Platform in 2024, we have established infrastructure to support a scalable and centralized testing laboratory in Houston, TX that will service the U.S. market. We have been executing on our commercial market access strategy, which includes prioritized state licensure, proprietary reimbursement codes, commercial and government payor coverage, and value-based pricing to optimize revenue. We re-introduced the CNSide Platform first in Texas in August of 2025, signed a national agreement to provide the CNSide Test with UnitedHealthcare Insurance Company and Humana, Inc., and obtained state licensure for 49 of 50 US states by January 2026, with the remaining license for the state of New York on track for 2027. In parallel, we expect to launch a portfolio of additional CSF tumor characterization tests that expand our CNSide testing platform later in 2026.</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When the CNSide CSF Assay Platform was previously commercially available, market acceptance and adoption were widespread, with several national and regional commercial payor agreements in place and the test in regular use at major cancer centers across the U.S. We are now in contact with the legacy payors and healthcare providers to support our commercial scale up in 2026. Finally, we have hired experienced leadership with expertise in the development and commercialization of clinical diagnostic technologies on a large scale.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Financings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 to the “Liquidity and Capital Resources” section below for information on our recent financings.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CPRIT Grant Revenue</w:t>
      </w:r>
    </w:p>
    <w:p>
      <w:pPr>
        <w:spacing w:after="0" w:line="119" w:lineRule="exact"/>
        <w:rPr>
          <w:sz w:val="20"/>
          <w:szCs w:val="20"/>
          <w:color w:val="auto"/>
        </w:rPr>
      </w:pPr>
    </w:p>
    <w:p>
      <w:pPr>
        <w:jc w:val="both"/>
        <w:ind w:firstLine="300"/>
        <w:spacing w:after="0" w:line="232" w:lineRule="auto"/>
        <w:rPr>
          <w:sz w:val="20"/>
          <w:szCs w:val="20"/>
          <w:color w:val="auto"/>
        </w:rPr>
      </w:pPr>
      <w:r>
        <w:rPr>
          <w:rFonts w:ascii="Times New Roman" w:cs="Times New Roman" w:eastAsia="Times New Roman" w:hAnsi="Times New Roman"/>
          <w:sz w:val="18"/>
          <w:szCs w:val="18"/>
          <w:color w:val="auto"/>
        </w:rPr>
        <w:t>On September 19, 2022, we entered into the CPRIT Contract, effective as of August 31, 2022, with CPRIT, pursuant to which CPRIT will provide us a grant of up to $17.6 million (the “CPRIT Grant”) over a three-year period to fund the continued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through Phase 2 of the ReSPECT-LM clinical trial. The CPRIT Grant is subject to customary CPRIT funding conditions, including, but not limited to, a matching fund requirement (one dollar from us for every two dollars awarded by CPRIT), revenue sharing obligations upon commercialization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based on specific dollar thresholds until CPRIT receives the aggregate amount of 400% of the proceeds awarded under the CPRIT Grant, and certain reporting requirements. Since the inception of the CPRIT Contract, we recognized $5.2 million, $5.8 million, $4.9 million and $0.2 million of grant revenue during the years ended December 31, 2025, 2024, 2023, and 2022, respectively, all of which had been received as of December 31, 2025. The amounts recognized represent CPRIT’s share of the costs incurred for our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development for the treatment of patients with LM.</w:t>
      </w:r>
    </w:p>
    <w:p>
      <w:pPr>
        <w:spacing w:after="0" w:line="9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In 2025, we received $5.5 million under the CPRIT Contract. The ability to continue to access the grant remains subject to additional FDA approval of the LM clinical trial, ability to deliver expanded drug supply and continued enrollment of patients. In addition, grant revenue amounts will vary quarter to quarter based on enrollment, mandated safety periods between cohorts and required interactions with FDA.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54"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years ended December 31, 2025 and 2024 (in thousands):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8,333</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10,529</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5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8,379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10,580</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431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year ended December 31, 2025 decreased by $2.2 million as compared to the same period in 2024, primarily due to decreases of approximately $1.4 million in clinical development expenses, $0.9 million in compensation expenses, $0.5 million in professional research and development service fees, and $0.3 million in depreciation expense, partially offset by an increase of $0.3 million in research and development licensing expense and $0.6 million in diagnostic expenses.</w:t>
      </w:r>
    </w:p>
    <w:p>
      <w:pPr>
        <w:spacing w:after="0" w:line="72"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 xml:space="preserve">We expect aggregate research and development expenditures to increase in 2026 as compared to the corresponding comparable period ended December 31, 2025, due to increased costs for the </w:t>
      </w:r>
      <w:r>
        <w:rPr>
          <w:rFonts w:ascii="Times New Roman" w:cs="Times New Roman" w:eastAsia="Times New Roman" w:hAnsi="Times New Roman"/>
          <w:sz w:val="18"/>
          <w:szCs w:val="18"/>
          <w:i w:val="1"/>
          <w:iCs w:val="1"/>
          <w:color w:val="auto"/>
        </w:rPr>
        <w:t>ReSPECT-LM</w:t>
      </w:r>
      <w:r>
        <w:rPr>
          <w:rFonts w:ascii="Times New Roman" w:cs="Times New Roman" w:eastAsia="Times New Roman" w:hAnsi="Times New Roman"/>
          <w:sz w:val="18"/>
          <w:szCs w:val="18"/>
          <w:color w:val="auto"/>
        </w:rPr>
        <w:t xml:space="preserve"> clinical trial (for which CPRIT grant funding is expected to be</w:t>
      </w:r>
    </w:p>
    <w:p>
      <w:pPr>
        <w:sectPr>
          <w:pgSz w:w="11900" w:h="16838" w:orient="portrait"/>
          <w:cols w:equalWidth="0" w:num="1">
            <w:col w:w="11240"/>
          </w:cols>
          <w:pgMar w:left="320" w:top="513" w:right="339" w:bottom="1440" w:gutter="0" w:footer="0" w:header="0"/>
        </w:sectPr>
      </w:pP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2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available), manufacturing scale up for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commercial and approval trial drug availability and initial patient enrollments in the ReSPECT-PBC clinical trial together with expansion of CNSide research and development teams.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and administrative expenses include costs for administrative personnel, legal and other professional expenses, and general corporate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general and administrative expenses for the years ended December 31, 2025 and 2024 (in thousands):</w:t>
      </w:r>
    </w:p>
    <w:p>
      <w:pPr>
        <w:spacing w:after="0" w:line="308"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10,638</w:t>
            </w:r>
          </w:p>
        </w:tc>
        <w:tc>
          <w:tcPr>
            <w:tcW w:w="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9,440</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9,939</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86"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$2.2 million during the year ended December 31, 2025, as compared to the same period in 2024. The increase was due primarily to an increase of $2.2 million in compensation expenses.</w:t>
      </w:r>
    </w:p>
    <w:p>
      <w:pPr>
        <w:spacing w:after="0" w:line="54"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expenditures to increase in 2026 as compared with the corresponding comparable period ended December 31, 2025 as we expand the CNSide commercial operations team (including sales, customer service and laboratory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expenses</w:t>
      </w:r>
    </w:p>
    <w:p>
      <w:pPr>
        <w:spacing w:after="0" w:line="11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Share-based compensation expenses include charges related to options and restricted stock awards issued to employees, directors and non-employees. We measure share-based compensation expenses based on the grant-date fair value of any awards granted to our employees. Such expense is recognized over the requisite service period.</w:t>
      </w:r>
    </w:p>
    <w:p>
      <w:pPr>
        <w:spacing w:after="0" w:line="68"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our share-based compensation expenses for the years ended December 31, 2025 and 2024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8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w:t>
            </w:r>
          </w:p>
        </w:tc>
      </w:tr>
      <w:tr>
        <w:trPr>
          <w:trHeight w:val="20"/>
        </w:trPr>
        <w:tc>
          <w:tcPr>
            <w:tcW w:w="53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700" w:type="dxa"/>
            <w:vAlign w:val="bottom"/>
            <w:shd w:val="clear" w:color="auto" w:fill="CFF0FC"/>
          </w:tcPr>
          <w:p>
            <w:pPr>
              <w:jc w:val="right"/>
              <w:ind w:right="54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1,540</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550</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-25400</wp:posOffset>
            </wp:positionV>
            <wp:extent cx="431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431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Our share-based compensation expenses, which are impacted by grants of stock-based awards, the vesting of such grants, as well as grant-date fair value of stock-based awards, increased for the year ended December 31, 2025 as compared to the same period in 2024 due to an increased number of grants made during the year ended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interest income, interest expense, and other income and expense for the years ended December 31, 2025 and 2024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expense</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(3,061)</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(2,631)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(964)</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(7,088)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Interest income decreased for the year ended December 31, 2025 compared with the same period in 2024 primarily due to reduced accreted income on our available-for-sale securities and a lower interest rate environment in 2025.</w:t>
      </w:r>
    </w:p>
    <w:p>
      <w:pPr>
        <w:spacing w:after="0" w:line="5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for the year ended December 31, 2025 as compared to the same period in 2024 was primarily due to interest expense incurred in connection with the Funding Notes and Exchange Notes issued in February 2025, partially offset by the January 2025 payoff of the Pershing Credit Facility.</w:t>
      </w:r>
    </w:p>
    <w:p>
      <w:pPr>
        <w:sectPr>
          <w:pgSz w:w="11900" w:h="16838" w:orient="portrait"/>
          <w:cols w:equalWidth="0" w:num="1">
            <w:col w:w="11240"/>
          </w:cols>
          <w:pgMar w:left="320" w:top="513" w:right="339" w:bottom="1440" w:gutter="0" w:footer="0" w:header="0"/>
        </w:sectPr>
      </w:pP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decrease in financing expenses for the year ended December 31, 2025 as compared to the same period in 2024 was primarily due to the March 2025 PIPE and May 2024 PIPE transactions.</w:t>
      </w:r>
    </w:p>
    <w:p>
      <w:pPr>
        <w:spacing w:after="0" w:line="54"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change in the fair value of the derivative instruments for the year ended December 31, 2025 as compared to the same period in 2024 was primarily due to the March 2025 Private Placement (specifically the liability classified March 2025 Series B Warrants, which were remeasured immediately prior to exercise, before being reclassified as equity), offset by the May 2024 Private Placement (specifically the May 2024 Series A Warrants and May 2024 Series B Warrants, which were initially classified as liabilities before being reclassified as equity).</w:t>
      </w:r>
    </w:p>
    <w:p>
      <w:pPr>
        <w:spacing w:after="0" w:line="72"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The increase in the warrant issuance costs for the year ended December 31, 2025 as compared to the same period in 2024 was due to the warrant issuance costs from the March 2025 Private Placement and May 2024 Private Placement.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Company has funded its research and development activities through raising capital by issuing securities and receipt of research grants. As of December 31, 2025, the Company had approximately $13.1 million in cash and cash equivalents, restricted cash, and short-term investments. We include restricted cash and cash equivalents in our liquidity assessment because the restrictions are expected to be released within one year after the date that the financial statements in this Form 10-K are issued, at which time the funds will be available to support working capital requirements.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and long-term liquidity</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summary of our key liquidity measures at December 31, 2025 and 2024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8,758</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8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15,170</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-590550</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-590550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-25400</wp:posOffset>
            </wp:positionV>
            <wp:extent cx="431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431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6"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We incurred net losses of $22.4 million for the year ended December 31, 2025. We have an accumulated deficit of $515.9 million as of December 31, 2025. Additionally, we used net cash of $20.8 million to fund our operating activities for the year ended December 31, 2025. These factors raise substantial doubt about our ability to continue as a going concern.</w:t>
      </w:r>
    </w:p>
    <w:p>
      <w:pPr>
        <w:spacing w:after="0" w:line="6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our common and preferred stocks, proceeds from our now-repaid in full term loan with Oxford Finance, LLC (“Oxford”), our line of credit facility with Pershing and grant funding. We have had, and will continue to have, an ongoing need to raise additional cash from outside sources to fund our future clinical development programs and other operations. There can be no assurance that we will be able to continue to raise additional capital in the future. Our inability to raise additional cash would have a material and adverse impact on our operations and ability to satisfy our obligations.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2026 Public Offering</w:t>
      </w:r>
    </w:p>
    <w:p>
      <w:pPr>
        <w:spacing w:after="0" w:line="11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On January 13, 2026, we entered into an underwriting agreement (the “Underwriting Agreement”) with Lake Street Capital Markets, LLC, as the underwriter (the “Underwriter”), pursuant to which we (a) agreed to issue and sell, in an underwritten public offering an aggregate of (i) 39,473,684 shares of common stock, par value $ 0.001 per share and (ii) warrants to purchase 39,473,684 shares of common stock, at a combined public offering price of $0.38 per share and warrant, and (b) granted the Underwriter a 30-day option to purchase up to an additional 5,921,052 shares of Common Stock, additional Warrants to purchase up to 5,921,052 shares of Common Stock or any combination thereof, at the public offering price, in each case less underwriting discounts and commissions. Each warrant is immediately exercisable, entitles the holder to purchase one share of common stock at an exercise price of $0.38 per share and expires five (5) years from the date of issuance. On January 14, 2026, the Underwriter exercised its over-allotment option with respect to additional warrants to purchase 5,921,052 shares of Common Stock.</w:t>
      </w:r>
    </w:p>
    <w:p>
      <w:pPr>
        <w:spacing w:after="0" w:line="8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offering closed on January 15, 2026. Net proceeds from the offering were approximately $13.3 million after deducting the underwriting discounts and commissions and other estimated offering expenses payable by us. We intend to use the net proceeds of this offering for working capital and general corporate purposes.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SPEA</w:t>
      </w:r>
    </w:p>
    <w:p>
      <w:pPr>
        <w:spacing w:after="0" w:line="119"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On February 13, 2025 (the “SPEA Closing Date”), we entered into a securities purchase and exchange agreement (the “SPEA”) with certain existing accredited investors. Pursuant to the SPEA, on the SPEA Closing Date we issued secured convertible promissory notes (the</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“Funding Notes”) in the aggregate principal amount of $3,362,251 together with common stock purchase warrants (the “Warrants”) to purchase 3,002,009 shares of our common stock at an exercise price of $1.12 per share. The aggregate purchase price for the Funding Note and Warrants was approximately $3.7 million and included payment of $0.125 per Warrant in accordance with the listing rules of The Nasdaq Stock Market LLC (“Nasdaq”).</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May 2024 Purchase Agreement included certain limitations and restrictions on our ability to issue securities and provided the May 2024 Private Placement Purchasers other than our directors and executive officers (the “Outside Investors”) participation rights in future equity and equity-linked offerings of securities, subject to certain limited exceptions (the “Financing Restrictions”). On the SPEA Closing Date, pursuant to the SPEA, the Company issued to the Outside Investors secured convertible promissory notes in the aggregate amount of $3,188,922 (the “Exchange Notes”) in exchange for cancellation of the 3,543,247 May 2024 Series A Warrants held by them, and the Outside Investors entered into a second amendment to the May 2024 Purchase Agreement to eliminate the Financing Restrictions.</w:t>
      </w:r>
    </w:p>
    <w:p>
      <w:pPr>
        <w:spacing w:after="0" w:line="79" w:lineRule="exact"/>
        <w:rPr>
          <w:sz w:val="20"/>
          <w:szCs w:val="20"/>
          <w:color w:val="auto"/>
        </w:rPr>
      </w:pPr>
    </w:p>
    <w:p>
      <w:pPr>
        <w:ind w:right="360" w:firstLine="300"/>
        <w:spacing w:after="0" w:line="391" w:lineRule="auto"/>
        <w:rPr>
          <w:sz w:val="20"/>
          <w:szCs w:val="20"/>
          <w:color w:val="auto"/>
        </w:rPr>
      </w:pPr>
      <w:r>
        <w:rPr>
          <w:rFonts w:ascii="Times New Roman" w:cs="Times New Roman" w:eastAsia="Times New Roman" w:hAnsi="Times New Roman"/>
          <w:sz w:val="18"/>
          <w:szCs w:val="18"/>
          <w:color w:val="auto"/>
        </w:rPr>
        <w:t xml:space="preserve">As described below, we repurchased the Funding Notes and exchanged the Exchange Notes in connection with the March 2025 Private Placement. </w:t>
      </w:r>
      <w:r>
        <w:rPr>
          <w:rFonts w:ascii="Times New Roman" w:cs="Times New Roman" w:eastAsia="Times New Roman" w:hAnsi="Times New Roman"/>
          <w:sz w:val="18"/>
          <w:szCs w:val="18"/>
          <w:i w:val="1"/>
          <w:iCs w:val="1"/>
          <w:color w:val="auto"/>
        </w:rPr>
        <w:t>March 2025 Private Placement</w:t>
      </w:r>
    </w:p>
    <w:p>
      <w:pPr>
        <w:spacing w:after="0" w:line="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On March 4, 2025, we entered into a securities purchase agreement (the “March 2025 Purchase Agreement”) with accredited investors, including certain of our existing stockholders, identified on the signature page thereto (collectively, the “March 2025 Private Placement Purchasers”) for a private placement of securities (the “March 2025 Private Placement”) for gross proceeds of approximately $15.0 million. Pursuant to the March 2025 Purchase Agreement, we issued an aggregate of 4,069,738 shares (the “March 2025 Private Placement Shares”) of our common stock and 23,972,400 Prefunded Warrants, with each March 2025 Private Placement Share or Prefunded Warrant accompanied by (i) a Series A common warrant (the “March 2025 Series A Warrants”) to purchase one share of common stock and (ii) one Series B common warrant (the “March 2025 Series B Warrants”) to purchase one share of common stock.</w:t>
      </w:r>
    </w:p>
    <w:p>
      <w:pPr>
        <w:spacing w:after="0" w:line="81"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Prefunded Warrant in the March 2025 Private Placement, together with one accompanying March 2025 Series A Warrant and one accompanying March 2025 Series B Warrant, represented the applicable “Minimum Price” in accordance with Listing Rule 5635(d) of Nasdaq.</w:t>
      </w:r>
    </w:p>
    <w:p>
      <w:pPr>
        <w:spacing w:after="0" w:line="68"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 $1.32 per share of common stock. The March 2025 Series A Warrants are exercisable only following stockholder approval and expire five (5) years thereafter. The number of securities issuable under the March 2025 Series A Warrant is subject to adjustment as described in more detail in the March 2025 Series A Warrant. The March 2025 Series A Warrant exercise price and the related number of shares of common stock issuable upon exercise are subject to a “reset” provision upon certain events and are subject to anti-dilution protection upon any subsequent transaction at a fixed price lower than the warrant exercise price then in effect, as more fully described in the March 2025 Series A Warrant.</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 $1.98 per share of common stock or pursuant to an alternative cashless exercise option. The March 2025 Series B Warrants are exercisable only following stockholder approval and expire two and one-half (2.5) years thereafter. The March 2025 Series B Warrant exercise price and the related number of shares of common stock issuable upon exercise are subject to a “reset” provision upon certain events, as more fully described in the March 2025 Series B Warrant, and the March 2025 Series B Warrant alternative cashless exercise provision provides that the March 2025 Series B Warrant can be exercised without further payment to the Company and for three times the number of shares of common stock then subject to the March 2025 Series B Warrant.</w:t>
      </w:r>
    </w:p>
    <w:p>
      <w:pPr>
        <w:spacing w:after="0" w:line="79"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Of the securities issued in the March 2025 Private Placement, 22,727,270 of the shares of common stock, or Prefunded Warrants in lieu thereof, and the accompanying 22,727,270 March 2025 Series A Warrants and 22,727,270 March 2025 Series B Warrants, were issued in consideration of new capital subscriptions, and 5,314,870 of the shares of common stock, or Prefunded Warrants in lieu thereof, and the accompanying 5,314,870 March 2025 Series A Warrants and 5,314,870 March 2025 Series B Warrants, were issued in exchange for the cancelation of the Exchange Notes.</w:t>
      </w:r>
    </w:p>
    <w:p>
      <w:pPr>
        <w:spacing w:after="0" w:line="72"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aggregate gross proceeds at the closing were approximately $15.0 million, before deducting certain expenses payable by us.</w:t>
      </w:r>
    </w:p>
    <w:p>
      <w:pPr>
        <w:spacing w:after="0" w:line="54"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the change in fair value for the year ended December 31, 2025, and a $0.8 million credit to additional paid-in-capital.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Purchasers entered into a letter agreement (the “Letter Agreement”) with each of the Purchasers in an effort to, among other items, minimize the dilutive impact of the March 2025 Private Placement. The Letter Agreement extinguished the March 2025 Series A Warrants, modified the March 2025 Series B Warrants, and provided for the return of Private Placement Shares and Pre-Funded Warrants, as further discussed in the following paragraphs.</w:t>
      </w:r>
    </w:p>
    <w:p>
      <w:pPr>
        <w:spacing w:after="0" w:line="72"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which resulted in a $2.7 million gain on change in fair value recorded as capital contribution to additional paid-in capital, as the extinguishment was deemed equivalent to a capital contribution by existing shareholders of the Company.</w:t>
      </w:r>
    </w:p>
    <w:p>
      <w:pPr>
        <w:spacing w:after="0" w:line="6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 the indexation guidance under ASC 815, Derivatives and Hedging, and the fair value of the warrant liability, in the amount of $11.0 million was reclassified to equity. Immediately prior to reclassification, the March 2025 Series B Warrant liability was remeasured, and $4.5 million was recorded as a capital contribution to additional paid-in capital, as the modification of the March 2025 Series B Warrants was deemed equivalent to a capital contribution by existing shareholders of the Company. After the June 17, 2025 modification, 34,794,54 Amended March 2025 Series B Warrants were cashless exercised.</w:t>
      </w:r>
    </w:p>
    <w:p>
      <w:pPr>
        <w:spacing w:after="0" w:line="80"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w:t>
      </w:r>
    </w:p>
    <w:p>
      <w:pPr>
        <w:spacing w:after="0" w:line="84"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we paid the March 2025 Private Placement Purchasers $3.2 million and 5,211,835 shares were returned and cancelled under the terms of the Letter Agreement.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Letters</w:t>
      </w:r>
    </w:p>
    <w:p>
      <w:pPr>
        <w:spacing w:after="0" w:line="11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On July 11, 2025, we and certain March 2025 Private Placement Purchasers party to the Letter Agreement entered into that certain letter of support (the “Support Letters”) to modify certain portions of the Letter Agreement as between us and each of such March 2025 Private Placement Purchasers. In the event that we reasonably believe that, within the 30 days (the “Modification Period”) prior to the end of any fiscal quarter, we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we desire to trigger the modification of the Subsequent Financing Percentage, we agree to supply the purchaser who executed a Support Letter with a pro forma balance sheet to evidence its reasonable belief of the Potential Equity Deficiency approximately 30 days prior to each end of fiscal quarter once the books for prior months are closed. In accordance with the Support Letters, we made a cash payment of $0.5 million to each purchaser for a total cash payment of $2.3 million, which was recorded as a reduction to additional paid-in capital in the consolidated balance sheet as of September 30, 2025. Such payment counted as cash received by the purchaser towards its Maximum Amount. Each Support Letter also grants the purchaser party to the letter a participation right in certain future financings of ours for a period of 12 months.</w:t>
      </w:r>
    </w:p>
    <w:p>
      <w:pPr>
        <w:spacing w:after="0" w:line="7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On October 28, 2025, we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we are no longer required to use 90% of the proceeds from any subsequent financing to repay the March 2025 Private Placement Purchasers. Instead, we are only required to retain sufficient funds in an interest bearing account to cover such repayment obligations and make such repayments upon request by any March 2025 Private Placement Purchaser who executed the Amendment Agreement until each such purchaser has received cash either from us or from reselling securities acquired in the March 2025 Private Placement in an amount equal to 115% of the purchase price such purchaser paid in the March 2025 Private Placement. If such requests are made, the requesting purchaser must return shares acquired in the March 2025 Private Placement at a value of $0.66 per share.</w:t>
      </w:r>
    </w:p>
    <w:p>
      <w:pPr>
        <w:spacing w:after="0" w:line="84"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The repayment obligation owed under the Amendment Agreement is accounted for at fair value as a financial liability in accordance with ASC 480. The liability is remeasured each period, with changes to fair value recorded in the statement of operations. As of December 31, 2025, we had a remaining liability of approximately $4.5 million included in accounts payable and accrued expenses on our consolidated balance sheet.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46"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connection with the March 2025 Purchase Agreement, we entered into that certain First Amendment to the SPEA (the “First Amendment”). The SPEA included certain limitations and restrictions on the Company’s ability to issue securities and provided the Investors participation rights in future equity and equity-linked offerings of securities, subject to certain limited exceptions (the “New Financing Restrictions”). Pursuant to the First Amendment, subject to consummation of the March 2025 Private Placement, we agreed to repurchase from the Investors the Funding Notes and 3,002,009 warrants (the “SPEA Warrants”) issued pursuant to the SPEA for an aggregate purchase price of $4.25 million. In exchange for the repurchase by the Company of the Funding Notes and SPEA Warrants, the Purchasers agreed to consent to the March 2025 Private Placement and eliminate the New Financing Restrictions.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In May 2024, we entered into a securities purchase agreement (the “May 2024 Purchase Agreement”), which was subsequently amended, with certain investors, including certain of the our directors and executive officers (the “May 2024 Private Placement Purchasers”), whereby we issued and sold in a private placement (the “May 2024 Private Placement”): (i) 3,591,532 shares of common stock or, at the election of each investor, Pre-Funded warrants (“May 2024 Pre-Funded Warrants”) to purchase shares of common stock exercisable immediately at an exercise price of $0.001 per share. Each share or May 2024 Pre-Funded Warrant was accompanied by (i) a Series A common warrant (“May 2024 Series A Warrants”) to purchase one share of common stock, for an aggregate of 3,591,532 Series A Warrants, and (ii) one Series B common warrant (“May 2024 Series B Warrants”) to purchase one share of common stock, for an aggregate of 3,591,532 May 2024 Series B Warrants. At the closing of the May 2024 Private Placement, we received net proceeds of approximately $7.3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1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purchase agreement (the “Lincoln Park Purchase Agreement”) and a registration rights agreement pursuant to which Lincoln Park Capital Fund (“Lincoln Park”) committed to purchase up to $50.0 million of shares of our common stock. Under the terms and subject to the conditions of the Lincoln Park Purchase Agreement, we have the right, but not the obligation, to sell to Lincoln Park, and Lincoln Park is obligated to purchase up to $50.0 million of shares of our common stock. Sales of common stock by us are subject to certain limitations, and can occur from time to time, at our sole discretion, over the 36-month period commencing on June 23, 2025, subject to the satisfaction of certain conditions. Actual sales of shares of common stock to Lincoln Park under the Lincoln Park Purchase Agreement depend on a variety of factors to be determined by us from time to time, including, among others, market conditions, the trading price of the common stock and our determinations as to the appropriate sources of funding for the Company and its operations. As consideration for Lincoln Park’s irrevocable commitment to purchase shares of our common stock upon the terms of and subject to satisfaction of the conditions set forth in the Lincoln Park Purchase Agreement,</w:t>
      </w:r>
    </w:p>
    <w:p>
      <w:pPr>
        <w:spacing w:after="0" w:line="80"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On June 23, 2025, a registration statement (the “Initial Registration Statement”) was declared effective covering the resale of up to 17,000,000 shares of our common stock. On August 14, 2025, a registration statement (the “Second Registration Statement”) was declared effective covering the resale of up to 33,000,000 shares of our common stock.</w:t>
      </w:r>
    </w:p>
    <w:p>
      <w:pPr>
        <w:spacing w:after="0" w:line="68"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In accordance with the Lincoln Park Purchase Agreement, we were required to pay Lincoln Park an initial commitment fee of $0.5 million, which was paid through the issuance of 1,612,903 shares of common stock on August 14, 2025. The initial commitment fee was recorded as a reduction to additional paid-in capital in the consolidated balance sheet as of September 30, 2025. An additional commitment fee of $0.5 million will be paid in cash or shares of common stock, or a combination of cash and shares of common stock, if and when we sell over $25.0 million of our common stock under the Lincoln Park Purchase Agreement.</w:t>
      </w:r>
    </w:p>
    <w:p>
      <w:pPr>
        <w:spacing w:after="0" w:line="7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As of the year ended December 31, 2025, we issued 50,000,000 shares under the Lincoln Park Purchase Agreement for gross proceeds of approximately $22.6 million. The Company incurred approximately $50,000 for legal fees in connection with the Lincoln Park Purchase Agreement. There are no shares available for resale under our Second Registration Statement in respect of the Lincoln Park Purchase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Minimum Stockholders’ Equity Requirement</w:t>
      </w:r>
    </w:p>
    <w:p>
      <w:pPr>
        <w:spacing w:after="0" w:line="119" w:lineRule="exact"/>
        <w:rPr>
          <w:sz w:val="20"/>
          <w:szCs w:val="20"/>
          <w:color w:val="auto"/>
        </w:rPr>
      </w:pPr>
    </w:p>
    <w:p>
      <w:pPr>
        <w:jc w:val="both"/>
        <w:ind w:firstLine="300"/>
        <w:spacing w:after="0" w:line="253" w:lineRule="auto"/>
        <w:rPr>
          <w:sz w:val="20"/>
          <w:szCs w:val="20"/>
          <w:color w:val="auto"/>
        </w:rPr>
      </w:pPr>
      <w:r>
        <w:rPr>
          <w:rFonts w:ascii="Times New Roman" w:cs="Times New Roman" w:eastAsia="Times New Roman" w:hAnsi="Times New Roman"/>
          <w:sz w:val="18"/>
          <w:szCs w:val="18"/>
          <w:color w:val="auto"/>
        </w:rPr>
        <w:t>In March 2024, we received notice from the Listing Qualifications staff of Nasdaq (the “Staff”), notifying us that we no longer maintained at least $2.5 million in stockholders’ equity, as required under Nasdaq Listing Rule 5550(b)(1) (the “Minimum Stockholders’ Equity Requirement”), and also did not meet any other alternative standard. On October 22, 2024, we held our first hearing before a Nasdaq panel, as a result of which we received additional time, or until March 4, 2025, to regain compliance. A second hearing was held on July 15, 2025. On July 22, 2025, the panel for our second hearing issued a decision granting our request for continued listing on Nasdaq, subject to us demonstrating compliance with (1) the Minimum Stockholders’ Equity Requirement by August 14, 2025; and (2) the Minimum Bid Requirement (as defined below) by September 8, 2025. On August 22, 2025, we received a letter (the “August 2025 Letter”) from Nasdaq confirming our compliance with Nasdaq Listing Rule 5550(b). Specifically, the August 2025 Letter confirmed that we were in compliance with both (1) Nasdaq Listing Rule 5550(b)(2), which requires a market value of listed securities of at least $35 million and (2) the alternative stockholders’ equity threshold under Nasdaq Listing Rule 5550(b)(1), which is the Minimum Stockholders’ Equity Requirement. Accordingly, we satisfied two alternative criteria under Nasdaq Listing Rule 5550. As a result of such compliance, the deadline of September</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8, 2025 per the July 2025 Decision to regain compliance of the $1.00 bid price rule under Nasdaq Listing Rule 5550(a)(2) no longer applied and Nasdaq permitted us the remainder of the previously announced grace period to regain compliance of such rule through November 12, 2025. The August 2025 Letter also provided that, solely with respect to the Minimum Stockholders’ Equity Requirement, we remain subject to a one-year panel monitoring period, through August 22, 2026. If, within that one-year monitoring period, the Staff determines that we no longer satisfy the Minimum Stockholders’ Equity Requirement (and we are not then in compliance with one of the alternative standards under Nasdaq Listing Rule 5550(b)), we will not be permitted to provide the Staff with a plan of compliance and the Staff is not permitted to grant additional time to regain compliance with the Minimum Stockholders’ Equity Requirement nor will we be afforded an applicable cure or compliance period. Instead, the Staff will issue a delist determination letter, and we will have an opportunity to request a new hearing before the Nasdaq Hearings Panel, which request would stay any further action by the Staff pending the ultimate outcome of the hearing.</w:t>
      </w:r>
    </w:p>
    <w:p>
      <w:pPr>
        <w:spacing w:after="0" w:line="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11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On May 16, 2025, we received notice from Nasdaq that, because the closing bid price for our common stock had fallen below $1.00 per share for 30 consecutive business days, we no longer complied with the minimum bid price requirement pursuant to Nasdaq Listing Rule 5550(a)(2) (the “Minimum Bid Requirement”). We were provided an initial compliance period of 180 calendar days, or until November 12, 2025, to regain compliance with the Minimum Bid Requirement. To regain compliance, the closing bid price of our common stock must meet or exceed $1.00 per share for a minimum of 10 consecutive business days prior to November 12, 2025.</w:t>
      </w:r>
    </w:p>
    <w:p>
      <w:pPr>
        <w:spacing w:after="0" w:line="75" w:lineRule="exact"/>
        <w:rPr>
          <w:sz w:val="20"/>
          <w:szCs w:val="20"/>
          <w:color w:val="auto"/>
        </w:rPr>
      </w:pPr>
    </w:p>
    <w:p>
      <w:pPr>
        <w:jc w:val="both"/>
        <w:ind w:right="20" w:firstLine="300"/>
        <w:spacing w:after="0" w:line="282" w:lineRule="auto"/>
        <w:rPr>
          <w:sz w:val="20"/>
          <w:szCs w:val="20"/>
          <w:color w:val="auto"/>
        </w:rPr>
      </w:pPr>
      <w:r>
        <w:rPr>
          <w:rFonts w:ascii="Times New Roman" w:cs="Times New Roman" w:eastAsia="Times New Roman" w:hAnsi="Times New Roman"/>
          <w:sz w:val="18"/>
          <w:szCs w:val="18"/>
          <w:color w:val="auto"/>
        </w:rPr>
        <w:t>On November 13, 2025, we received a second letter from the Nasdaq Staff advising that we had been granted an additional 180 calendar days, or until May 11, 2026, to regain compliance with the Minimum Bid Requirement, in accordance with Nasdaq Listing Rule 5810(c)(3)(A).</w:t>
      </w:r>
    </w:p>
    <w:p>
      <w:pPr>
        <w:spacing w:after="0" w:line="54"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We intend to continue to actively monitor the closing bid price of our common stock and will evaluate available options to regain compliance with the Minimum Bid Requirement. Specifically, we have confirmed to Nasdaq that, if necessary, we will implement a reverse stock split of our outstanding common stock to attempt to regain compliance. If we do not regain compliance within the additional compliance period, Nasdaq will provide notice that our common stock will be subject to delisting. We would then be entitled to appeal that determination to a Nasdaq hearings panel. There can be no assurance that we will regain compliance with the Minimum Bid Requirement during the 180-day additional compliance period or maintain compliance with the other Nasdaq listing requirements.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and Material Cash Requirements</w:t>
      </w:r>
    </w:p>
    <w:p>
      <w:pPr>
        <w:spacing w:after="0" w:line="11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To date, our operating losses have been funded primarily from outside sources of invested capital from issuance of shares of our common and preferred stocks, proceeds from the now-repaid in full term loan with Oxford, the Pershing Credit Facility and grant funding. However, the Company has had, and will continue to have, an ongoing need to raise additional cash from outside sources through a combination of equity offerings, debt financings and potential collaboration, license or development agreements to fund our future clinical development programs, commercialization of CNSide, and other operations in the next twelve months from the filing of this Form 10-K. Debt financing and preferred equity financing, if available, may involve agreements that include covenants limiting or restricting our ability to take specific actions, such as incurring additional debt, making capital expenditures, or declaring dividends. There can be no assurance that we will be able to continue to raise additional capital in the future. Our inability to raise additional cash would have a material adverse impact on our operations, implementation of our strategy and ability to maintain compliance with applicable requirements, including Nasdaq listing rules.</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present and future funding and cash requirements will depend on many factors, including, among other things:</w:t>
      </w:r>
    </w:p>
    <w:p>
      <w:pPr>
        <w:spacing w:after="0" w:line="117"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our ongoing and planned clinical trials and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and the timing of receipt of, future regulatory approvals for our product candidates and the costs related thereto;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utility of the CNSide Test;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and planned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operations and building our sales and marketing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if approved;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new product candidates that the Company identifies and attempts to develop.</w:t>
      </w:r>
    </w:p>
    <w:p>
      <w:pPr>
        <w:spacing w:after="0" w:line="333" w:lineRule="exact"/>
        <w:rPr>
          <w:sz w:val="20"/>
          <w:szCs w:val="20"/>
          <w:color w:val="auto"/>
        </w:rPr>
      </w:pPr>
    </w:p>
    <w:p>
      <w:pPr>
        <w:ind w:firstLine="30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to operate as a going concern, which contemplates the realization of assets and settlement of liabilities in the normal course of business, and do not include any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adjustments to reflect the possible future effects on the recoverability and classification of assets or the amounts and classifications of liabilities that may result from uncertainty related to our ability to continue as a going concern.</w:t>
      </w:r>
    </w:p>
    <w:p>
      <w:pPr>
        <w:spacing w:after="0" w:line="54"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Cash (used in) provided by operating, investing, and financing activities for the year ended December 31, 2025 and 2024 is summarized as follows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(20,775)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(10,554)</w:t>
            </w:r>
          </w:p>
        </w:tc>
      </w:tr>
      <w:tr>
        <w:trPr>
          <w:trHeight w:val="216"/>
        </w:trPr>
        <w:tc>
          <w:tcPr>
            <w:tcW w:w="5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(4,111)</w:t>
            </w:r>
          </w:p>
        </w:tc>
      </w:tr>
      <w:tr>
        <w:trPr>
          <w:trHeight w:val="216"/>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80" w:type="dxa"/>
            <w:vAlign w:val="bottom"/>
          </w:tcPr>
          <w:p>
            <w:pPr>
              <w:spacing w:after="0"/>
              <w:rPr>
                <w:sz w:val="18"/>
                <w:szCs w:val="18"/>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8,682</w:t>
            </w:r>
          </w:p>
        </w:tc>
        <w:tc>
          <w:tcPr>
            <w:tcW w:w="20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(8,478)</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Cash Obligations</w:t>
      </w:r>
    </w:p>
    <w:p>
      <w:pPr>
        <w:spacing w:after="0" w:line="126" w:lineRule="exact"/>
        <w:rPr>
          <w:sz w:val="20"/>
          <w:szCs w:val="20"/>
          <w:color w:val="auto"/>
        </w:rPr>
      </w:pPr>
    </w:p>
    <w:p>
      <w:pPr>
        <w:jc w:val="both"/>
        <w:ind w:firstLine="300"/>
        <w:spacing w:after="0" w:line="237" w:lineRule="auto"/>
        <w:rPr>
          <w:sz w:val="20"/>
          <w:szCs w:val="20"/>
          <w:color w:val="auto"/>
        </w:rPr>
      </w:pPr>
      <w:r>
        <w:rPr>
          <w:rFonts w:ascii="Times New Roman" w:cs="Times New Roman" w:eastAsia="Times New Roman" w:hAnsi="Times New Roman"/>
          <w:sz w:val="18"/>
          <w:szCs w:val="18"/>
          <w:color w:val="auto"/>
        </w:rPr>
        <w:t>Under the CPRIT Contract, we receive matching funds for approximately two-thirds of the development costs for the development of rhenium (</w:t>
      </w:r>
      <w:r>
        <w:rPr>
          <w:rFonts w:ascii="Times New Roman" w:cs="Times New Roman" w:eastAsia="Times New Roman" w:hAnsi="Times New Roman"/>
          <w:sz w:val="24"/>
          <w:szCs w:val="24"/>
          <w:color w:val="auto"/>
          <w:vertAlign w:val="superscript"/>
        </w:rPr>
        <w:t>186</w:t>
      </w:r>
      <w:r>
        <w:rPr>
          <w:rFonts w:ascii="Times New Roman" w:cs="Times New Roman" w:eastAsia="Times New Roman" w:hAnsi="Times New Roman"/>
          <w:sz w:val="18"/>
          <w:szCs w:val="18"/>
          <w:color w:val="auto"/>
        </w:rPr>
        <w:t>Re) obisbemeda for the treatment of patients with LM, subject to various funding conditions. The CPRIT Contract is effective for three years, unless otherwise terminated pursuant to the terms of the contract. CPRIT may require us to repay some or all of the disbursed CPRIT grant proceeds (with interest not to exceed 5% annually) in the event of the early termination of the CPRIT Contract.</w:t>
      </w:r>
    </w:p>
    <w:p>
      <w:pPr>
        <w:spacing w:after="0" w:line="93"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Other than as described above, we have no purchase commitments or long-term contractual obligations, except for lease obligations as of December 31, 2025. In addition, 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was $20.8 million compared to $10.6 million in the same period of 2024. Cash used in operating activities increased by $10.2 million during the year ended December 31, 2025 as compared to the same period in 2024, due primarily to an increased net loss and net working capital changes, partially offset by the change in fair value of derivative instruments.</w:t>
      </w:r>
    </w:p>
    <w:p>
      <w:pPr>
        <w:spacing w:after="0" w:line="68"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2024 was $10.6 million compared to $12.9 million in the same period of 2023. Cash used in operating activities decreased by $2.3 million during the year ended December 31, 2024 as compared to the same period in 2023, due primarily to increased reimbursement under the CPRIT Contract for research and development costs related to the ReSPECT-LM program.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of $0.9 million was primarily related to the purchase of short-term investments of $9.4 million which was partially offset by the redemption of short-term investments of $3.8 million and the sale of short-term investments of $4.8 million.</w:t>
      </w:r>
    </w:p>
    <w:p>
      <w:pPr>
        <w:spacing w:after="0" w:line="68" w:lineRule="exact"/>
        <w:rPr>
          <w:sz w:val="20"/>
          <w:szCs w:val="20"/>
          <w:color w:val="auto"/>
        </w:rPr>
      </w:pPr>
    </w:p>
    <w:p>
      <w:pPr>
        <w:jc w:val="both"/>
        <w:ind w:firstLine="3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2024 was primarily related to purchase of Biocept assets of $0.5 million, purchase of short-term investments of $15.6 million, redemption of short-term investments of $12.2 million, and purchases of fixed assets of $0.1 million.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was related to $22.6 million in proceeds from the sale of common stock under the Lincoln Park Purchase Agreement, $15.9 million of proceeds from sale of common stock, Pre-Funded Warrants and warrants in connection with the March 2025 Private Placement, $3.7 million of net proceeds from the issuance of notes payable and warrants, and $0.8 million of proceeds from the Pershing Credit Facility, partially offset by $3.3 million repayment on the Pershing Credit Facility, $3.7 million repayment of Notes payable, $3.2 million of costs paid to investors pursuant to the Letter Agreement, $2.3 million of financing costs related to the return and cancellation of Private Placement Shares and Pre-Funded Warrants, and $0.2 million from offering costs for the sale of common stock.</w:t>
      </w:r>
    </w:p>
    <w:p>
      <w:pPr>
        <w:spacing w:after="0" w:line="79"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2024 was related to net proceeds of $7.3 million raised by the May 2024 Private Placement, and drawdown of $3.3 million from the Pershing Credit Facility, offset by repurchase of common stock for approximately $0.4 million and repayment of principle balance under the Oxford term loan of $4.0 million.</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0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GAAP”) requires us to make estimates and assumptions that affect the reported amounts of our assets, liabilities, revenue, and expenses, and that affect our recognition and disclosure of contingent assets and liabilities. On an on-going basis, we evaluate our estimates and judgments, including those related to impairment assessment of our grants and awards, indefinite lived intangible assets, share-based compensation and fair value of warrants.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jc w:val="both"/>
        <w:ind w:firstLine="300"/>
        <w:spacing w:after="0" w:line="261" w:lineRule="auto"/>
        <w:rPr>
          <w:sz w:val="20"/>
          <w:szCs w:val="20"/>
          <w:color w:val="auto"/>
        </w:rPr>
      </w:pPr>
      <w:r>
        <w:rPr>
          <w:rFonts w:ascii="Times New Roman" w:cs="Times New Roman" w:eastAsia="Times New Roman" w:hAnsi="Times New Roman"/>
          <w:sz w:val="18"/>
          <w:szCs w:val="18"/>
          <w:color w:val="auto"/>
        </w:rPr>
        <w:t>The following listing is not intended to be a comprehensive list of all of our accounting policies. Our significant accounting policies are described in Note 2 to our financial statements contained elsewhere in this Form 10-K. In many cases, the accounting treatment of a particular transaction is dictated by U.S. GAAP, with no need for our judgment in its application. There are also areas in which our judgment in selecting an available alternative would not produce a materially different result. We have identified the following as our critical accounting policies.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and Awards</w:t>
      </w:r>
    </w:p>
    <w:p>
      <w:pPr>
        <w:spacing w:after="0" w:line="11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In applying the provisions of ASC Topic 606, Revenue from Contracts with Customers (“ASC 606”), we have determined that government grants are out of the scope of ASC 606 because the funding entities do not meet the definition of a “customer,” as defined by ASC 606, as we do not consider there to be a transfer of control of goods or services. With respect to the grant, we evaluate if it has a collaboration in accordance with ASC Topic 808, Collaborative Arrangements (“ASC 808”). For grants outside the scope of ASC 808, we apply International Accounting Standards No. 20 (“IAS 20”), Accounting for Government Grants and Disclosure of Government Assistance, by analogy, and revenue is recognized when we incur expenses related to the grant for the amount we are entitled to under the provisions of the contract.</w:t>
      </w:r>
    </w:p>
    <w:p>
      <w:pPr>
        <w:spacing w:after="0" w:line="79" w:lineRule="exact"/>
        <w:rPr>
          <w:sz w:val="20"/>
          <w:szCs w:val="20"/>
          <w:color w:val="auto"/>
        </w:rPr>
      </w:pPr>
    </w:p>
    <w:p>
      <w:pPr>
        <w:jc w:val="both"/>
        <w:ind w:firstLine="300"/>
        <w:spacing w:after="0" w:line="256" w:lineRule="auto"/>
        <w:rPr>
          <w:sz w:val="20"/>
          <w:szCs w:val="20"/>
          <w:color w:val="auto"/>
        </w:rPr>
      </w:pPr>
      <w:r>
        <w:rPr>
          <w:rFonts w:ascii="Times New Roman" w:cs="Times New Roman" w:eastAsia="Times New Roman" w:hAnsi="Times New Roman"/>
          <w:sz w:val="18"/>
          <w:szCs w:val="18"/>
          <w:color w:val="auto"/>
        </w:rPr>
        <w:t>We also consider the guidance in ASC Topic 730, Research and Development, which requires an assessment, at the inception of the grant, of whether the agreement is a liability. If we are obligated to repay funds received regardless of the outcome of the related research and development activities, then we are required to estimate and recognize that liability. Alternatively, if we are not required to repay the funds, then payments received are recorded as revenue or contra-expense as the expenses are incurred. 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We perform our goodwill impairment analysis at the reporting unit level. For the years ended December 31, 2025 and 2024, our company has one reporting unit. We perform our annual impairment analysis by either doing a qualitative assessment of a reporting unit’s fair value from the last quantitative assessment to determine if there is potential impairment, or comparing a reporting unit’s estimated fair value to its carrying amount. If a quantitative assessment is performed the evaluation includes management estimates of cash flow projections based on internal future projections and/or use of a market approach by looking at market values of comparable companies. Our market capitalization is also considered as a part of this analysis.</w:t>
      </w:r>
    </w:p>
    <w:p>
      <w:pPr>
        <w:spacing w:after="0" w:line="75" w:lineRule="exact"/>
        <w:rPr>
          <w:sz w:val="20"/>
          <w:szCs w:val="20"/>
          <w:color w:val="auto"/>
        </w:rPr>
      </w:pPr>
    </w:p>
    <w:p>
      <w:pPr>
        <w:ind w:right="720" w:firstLine="300"/>
        <w:spacing w:after="0" w:line="282" w:lineRule="auto"/>
        <w:rPr>
          <w:sz w:val="20"/>
          <w:szCs w:val="20"/>
          <w:color w:val="auto"/>
        </w:rPr>
      </w:pPr>
      <w:r>
        <w:rPr>
          <w:rFonts w:ascii="Times New Roman" w:cs="Times New Roman" w:eastAsia="Times New Roman" w:hAnsi="Times New Roman"/>
          <w:sz w:val="18"/>
          <w:szCs w:val="18"/>
          <w:color w:val="auto"/>
        </w:rPr>
        <w:t>In accordance with our accounting policy, we completed the annual evaluation for impairment of goodwill as of December 31, 2025 using the qualitative method and determined that no impairment existed.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Compensation expense related to stock options granted is measured at the grant date based on the estimated fair value of the award and is recognized on an accelerated attribution method over the requisite service period. We determine the estimated fair value of each stock option on the date of grant using the Black-Scholes valuation model which uses assumptions regarding a number of complex and subjective variables. The risk-free interest rate is based on the U.S. Treasury yield for a period consistent with the expected term of the option in effect at the time of the grant. Expected volatility is based on an analysis of the historical volatility of our common stock. The expected term represents the period that we expect our stock options to be outstanding. The expected term assumption is estimated using the simplified method set forth in the SEC's Staff Accounting Bulletin 110, which is the mid-point between the option vesting date and the expiration date. We have never declared or paid dividends on our common stock and have no plans to do so in the foreseeable future. Changes in these assumptions may lead to variability with respect to the amount of stock compensation expense we recognize related to stock options.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Accounting for liability classified warrants requires management to exercise judgment and make estimates and assumptions regarding their fair value. (For more information about the material inputs and assumptions used to value the liability classified warrants, refer to Note 3 to the consolidated financial statements.) The warrant liabilities are initially recorded at fair value upon the date of issuance and subsequently remeasured to fair value at each reporting date, with changes recognized in the consolidated statements of operations. Changes in the fair value of the liability classified warrants will continue to be recognized until the warrants are exercised, expire or qualify for equity classification.</w:t>
      </w:r>
    </w:p>
    <w:p>
      <w:pPr>
        <w:sectPr>
          <w:pgSz w:w="11900" w:h="16838" w:orient="portrait"/>
          <w:cols w:equalWidth="0" w:num="1">
            <w:col w:w="11240"/>
          </w:cols>
          <w:pgMar w:left="320" w:top="513" w:right="339"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firstLine="300"/>
        <w:spacing w:after="0" w:line="258" w:lineRule="auto"/>
        <w:rPr>
          <w:sz w:val="20"/>
          <w:szCs w:val="20"/>
          <w:color w:val="auto"/>
        </w:rPr>
      </w:pPr>
      <w:r>
        <w:rPr>
          <w:rFonts w:ascii="Times New Roman" w:cs="Times New Roman" w:eastAsia="Times New Roman" w:hAnsi="Times New Roman"/>
          <w:sz w:val="18"/>
          <w:szCs w:val="18"/>
          <w:color w:val="auto"/>
        </w:rPr>
        <w:t>In May 2024, the Company issued the May 2024 Series A Warrants and May 2024 Series B Warrants and classified them as liabilities because in certain circumstances they could have been exercised into either shares of common stock or Pre-Funded Warrants at the holder’s option and thus failed the indexation guidance under Accounting Standards Codification (“ASC”) Topic 815, Derivatives and Hedging (“ASC 815”). On August 9 , 2024, the Company amended and restated the May 2024 Series A Warrants and May 2024 Series B Warrants (the “Amendment and Restatements”) to eliminate the ability of the holder to elect to receive Pre-Funded Warrants in this situation.</w:t>
      </w:r>
    </w:p>
    <w:p>
      <w:pPr>
        <w:spacing w:after="0" w:line="75" w:lineRule="exact"/>
        <w:rPr>
          <w:sz w:val="20"/>
          <w:szCs w:val="20"/>
          <w:color w:val="auto"/>
        </w:rPr>
      </w:pPr>
    </w:p>
    <w:p>
      <w:pPr>
        <w:jc w:val="both"/>
        <w:ind w:firstLine="300"/>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May 2024 Series A Warrants and May 2024 Series B Warrants, as amended, no longer fail the indexation guidance under ASC 815, and the balance of the warrant liability at the amendment date, in the amount of $5.2 million, was reclassified to equity.</w:t>
      </w:r>
    </w:p>
    <w:p>
      <w:pPr>
        <w:spacing w:after="0" w:line="68" w:lineRule="exact"/>
        <w:rPr>
          <w:sz w:val="20"/>
          <w:szCs w:val="20"/>
          <w:color w:val="auto"/>
        </w:rPr>
      </w:pPr>
    </w:p>
    <w:p>
      <w:pPr>
        <w:jc w:val="both"/>
        <w:ind w:firstLine="300"/>
        <w:spacing w:after="0" w:line="254" w:lineRule="auto"/>
        <w:rPr>
          <w:sz w:val="20"/>
          <w:szCs w:val="20"/>
          <w:color w:val="auto"/>
        </w:rPr>
      </w:pPr>
      <w:r>
        <w:rPr>
          <w:rFonts w:ascii="Times New Roman" w:cs="Times New Roman" w:eastAsia="Times New Roman" w:hAnsi="Times New Roman"/>
          <w:sz w:val="18"/>
          <w:szCs w:val="18"/>
          <w:color w:val="auto"/>
        </w:rPr>
        <w:t>As part of the Letter Agreement, the March 2025 Series B Warrants were amended to (a) reduce the overall number of March 2025 Series B Warrant Shares issuable upon exercise of the Series B Warrants to an aggregate of up to 35,536,380 Series B Warrant Shares, (b) reduce the alternative cashless exercise ratio in such March 2025 Series B Warrants from 3:1 to 1:1, and (c) remove provisions contained in the March 2025 Series B Warrants that would otherwise reduce the Company’s stockholders’ equity. As a result of the Letter Agreement, the Amended March 2025 Series B Warrants no longer failed the indexation guidance under ASC 815, Derivatives and Hedging, and the fair value of the warrant liability, in the amount of $11.0 million was reclassified to equity. Immediately prior to reclassification, the March 2025 Series B Warrant liability was remeasured, and $4.5 million was recorded as a capital contribution to additional paid-in capital, as the modification of the March 2025 Series B Warrants was deemed equivalent to a capital contribution by existing shareholders of the Company. After the June 17, 2025 modification, 34,794,54 Amended March 2025 Series B Warrants were cashless exercised.</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207"/>
        </w:trPr>
        <w:tc>
          <w:tcPr>
            <w:tcW w:w="1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Table of Contents</w:t>
            </w:r>
          </w:p>
        </w:tc>
        <w:tc>
          <w:tcPr>
            <w:tcW w:w="20" w:type="dxa"/>
            <w:vAlign w:val="bottom"/>
            <w:tcBorders>
              <w:bottom w:val="single" w:sz="8" w:color="0000EE"/>
            </w:tcBorders>
          </w:tcPr>
          <w:p>
            <w:pPr>
              <w:spacing w:after="0"/>
              <w:rPr>
                <w:sz w:val="17"/>
                <w:szCs w:val="17"/>
                <w:color w:val="auto"/>
              </w:rPr>
            </w:pPr>
          </w:p>
        </w:tc>
        <w:tc>
          <w:tcPr>
            <w:tcW w:w="920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r>
      <w:tr>
        <w:trPr>
          <w:trHeight w:val="453"/>
        </w:trPr>
        <w:tc>
          <w:tcPr>
            <w:tcW w:w="105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72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05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 CBIZ CPAs P.C. (PCAOB Number 199)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180" w:type="dxa"/>
            <w:vAlign w:val="bottom"/>
            <w:tcBorders>
              <w:left w:val="single" w:sz="8" w:color="0000FF"/>
            </w:tcBorders>
            <w:gridSpan w:val="3"/>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6920" w:type="dxa"/>
            <w:vAlign w:val="bottom"/>
            <w:tcBorders>
              <w:bottom w:val="single" w:sz="8" w:color="0000FF"/>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Report of BDO USA, P.C., Independent Registered Public Accounting Firm (PCAOB ID# 243)</w:t>
            </w:r>
          </w:p>
        </w:tc>
        <w:tc>
          <w:tcPr>
            <w:tcW w:w="360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052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2180" w:type="dxa"/>
            <w:vAlign w:val="bottom"/>
            <w:tcBorders>
              <w:left w:val="single" w:sz="8" w:color="0000EE"/>
            </w:tcBorders>
            <w:gridSpan w:val="3"/>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052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and 2024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2180" w:type="dxa"/>
            <w:vAlign w:val="bottom"/>
            <w:tcBorders>
              <w:left w:val="single" w:sz="8" w:color="0000EE"/>
            </w:tcBorders>
            <w:gridSpan w:val="3"/>
            <w:shd w:val="clear" w:color="auto" w:fill="0000FF"/>
          </w:tcPr>
          <w:p>
            <w:pPr>
              <w:spacing w:after="0" w:line="20" w:lineRule="exact"/>
              <w:rPr>
                <w:sz w:val="1"/>
                <w:szCs w:val="1"/>
                <w:color w:val="auto"/>
              </w:rPr>
            </w:pPr>
          </w:p>
        </w:tc>
        <w:tc>
          <w:tcPr>
            <w:tcW w:w="4260" w:type="dxa"/>
            <w:vAlign w:val="bottom"/>
            <w:tcBorders>
              <w:right w:val="single" w:sz="8" w:color="0000EE"/>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0520" w:type="dxa"/>
            <w:vAlign w:val="bottom"/>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2025 and 2024</w:t>
            </w: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196"/>
        </w:trPr>
        <w:tc>
          <w:tcPr>
            <w:tcW w:w="648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and 2024</w:t>
            </w:r>
          </w:p>
        </w:tc>
        <w:tc>
          <w:tcPr>
            <w:tcW w:w="1340" w:type="dxa"/>
            <w:vAlign w:val="bottom"/>
            <w:tcBorders>
              <w:top w:val="single" w:sz="8" w:color="0000FF"/>
            </w:tcBorders>
            <w:gridSpan w:val="3"/>
          </w:tcPr>
          <w:p>
            <w:pPr>
              <w:spacing w:after="0"/>
              <w:rPr>
                <w:sz w:val="17"/>
                <w:szCs w:val="17"/>
                <w:color w:val="auto"/>
              </w:rPr>
            </w:pPr>
          </w:p>
        </w:tc>
        <w:tc>
          <w:tcPr>
            <w:tcW w:w="27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196"/>
        </w:trPr>
        <w:tc>
          <w:tcPr>
            <w:tcW w:w="2180" w:type="dxa"/>
            <w:vAlign w:val="bottom"/>
            <w:tcBorders>
              <w:bottom w:val="single" w:sz="8" w:color="0000FF"/>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Notes to Financial Statements</w:t>
            </w:r>
          </w:p>
        </w:tc>
        <w:tc>
          <w:tcPr>
            <w:tcW w:w="8340" w:type="dxa"/>
            <w:vAlign w:val="bottom"/>
            <w:gridSpan w:val="10"/>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r>
      <w:tr>
        <w:trPr>
          <w:trHeight w:val="561"/>
        </w:trPr>
        <w:tc>
          <w:tcPr>
            <w:tcW w:w="5940" w:type="dxa"/>
            <w:vAlign w:val="bottom"/>
            <w:gridSpan w:val="7"/>
          </w:tcPr>
          <w:p>
            <w:pPr>
              <w:ind w:left="5520"/>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 Plus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Plus Therapeutics, Inc. (the “Company”) as of December 31, 2025, the related consolidated statements of operations, stockholders’ equity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recurring losses and negative cash flows from operations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Grant Revenue</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in Note 11 of the consolidated financial statements, in September 2022, the Company entered into a Cancer Research Grant Contract (the “CPRIT Contract”), effective as of August 31, 2022, with the Cancer Prevention and Research Institute of Texas (“CPRIT”), pursuant to which CPRIT provides the Company with a CPRIT grant (“CPRIT Grant”) of up to $17.6 million over a three-year period to fund the continued development of rhenium (186Re) obisbemeda for the treatment of patients with leptomeningeal metastases (“LM”). The Company recognized $5.2 million in grant revenue from the CPRIT Grant during the year ended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determination of research and development costs incurred associated with the CPRIT Grant as a critical audit matter because of the significant management judgment and subjectivity involved in determining whether such costs satisfied the funding conditions. This matter required extensive auditor effort and judgment in performing procedures and evaluating audit evidence.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ectPr>
          <w:pgSz w:w="11900" w:h="16838" w:orient="portrait"/>
          <w:cols w:equalWidth="0" w:num="1">
            <w:col w:w="11240"/>
          </w:cols>
          <w:pgMar w:left="320" w:top="513" w:right="339" w:bottom="1440" w:gutter="0" w:footer="0" w:header="0"/>
        </w:sect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5" w:lineRule="exact"/>
        <w:rPr>
          <w:sz w:val="20"/>
          <w:szCs w:val="20"/>
          <w:color w:val="auto"/>
        </w:rPr>
      </w:pPr>
    </w:p>
    <w:p>
      <w:pPr>
        <w:ind w:left="460" w:hanging="302"/>
        <w:spacing w:after="0"/>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CPRIT Grant agreement to understand the conditions for which research and development costs satisfy the funding guidelines.</w:t>
      </w:r>
    </w:p>
    <w:p>
      <w:pPr>
        <w:spacing w:after="0" w:line="27" w:lineRule="exact"/>
        <w:rPr>
          <w:rFonts w:ascii="Times New Roman" w:cs="Times New Roman" w:eastAsia="Times New Roman" w:hAnsi="Times New Roman"/>
          <w:sz w:val="18"/>
          <w:szCs w:val="18"/>
          <w:color w:val="auto"/>
        </w:rPr>
      </w:pPr>
    </w:p>
    <w:p>
      <w:pPr>
        <w:ind w:left="460" w:hanging="302"/>
        <w:spacing w:after="0" w:line="25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evidence of CPRIT’s approval of the research and development costs submitted by the Company that were applied to the CPRIT Grant funding conditions.</w:t>
      </w:r>
    </w:p>
    <w:p>
      <w:pPr>
        <w:ind w:left="460" w:hanging="302"/>
        <w:spacing w:after="0" w:line="260" w:lineRule="auto"/>
        <w:tabs>
          <w:tab w:leader="none" w:pos="4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vendor agreements and a sample of source documents to determine whether the expenses incurred satisfy the CPRIT grant funding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and Accounting Assessment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15 to the financial statements, the Company issued March 2025 Series A and March 2025 Series B common stock warrants in connection with the March 2025 Private Placement. The Company evaluated the terms of the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consolidated statement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The extinguishment of the March 2025 Series A Warrants was recognized as a $2.3 million capital contribution and recorded to additional paid-in capital, as the extinguishment was deemed equivalent to a capital contribution by existing shareholders of the Company. As part of the same transaction, the March 2025 Series B Warrants were amended to (a) reduce the overall number of March 2025 Series B Warrant shares issuable upon exercise of the Series B Warrants, (b) reduce the alternative cashless exercise ratio in such March 2025 Series B Warrants from 3:1 to 1:1, (c) remove provisions contained in the March 2025 Series B Warrants that would otherwise reduce the Company’s stockholders’ equity, and (d) the exercise price of the Amended March 2025 Series B Warrants was reset back to $1.98 per share. As a result of the Letter Agreement, the Amended March 2025 Series B Warrants no longer fail the indexation guidance under ASC 815, Derivatives and Hedging, resulting in a reclassification from liability to equity.</w:t>
      </w:r>
    </w:p>
    <w:p>
      <w:pPr>
        <w:spacing w:after="0" w:line="194"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We identified the valuation and accounting assessment of the warrants as critical audit matter as auditing the warrant valuation involves significant judgment, including the selection of valuation models (e.g., Monte Carlo), and the determination of key inputs such as expected volatility,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rates, and expected term and the complexity involved in determining the accounting classification.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terms of the warrant agreements and management’s accounting assessment for the classification of the warrants (liability or equity).</w:t>
      </w:r>
    </w:p>
    <w:p>
      <w:pPr>
        <w:spacing w:after="0" w:line="27"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valuation model used by management to estimate the fair value of the warrants.</w:t>
      </w:r>
    </w:p>
    <w:p>
      <w:pPr>
        <w:spacing w:after="0" w:line="9" w:lineRule="exact"/>
        <w:rPr>
          <w:rFonts w:ascii="Times New Roman" w:cs="Times New Roman" w:eastAsia="Times New Roman" w:hAnsi="Times New Roman"/>
          <w:sz w:val="18"/>
          <w:szCs w:val="18"/>
          <w:color w:val="auto"/>
        </w:rPr>
      </w:pPr>
    </w:p>
    <w:p>
      <w:pPr>
        <w:ind w:left="460" w:hanging="30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accuracy and completeness of the underlying data used in the valuations, including key terms of the warrant agreements.</w:t>
      </w:r>
    </w:p>
    <w:p>
      <w:pPr>
        <w:spacing w:after="0" w:line="9" w:lineRule="exact"/>
        <w:rPr>
          <w:rFonts w:ascii="Times New Roman" w:cs="Times New Roman" w:eastAsia="Times New Roman" w:hAnsi="Times New Roman"/>
          <w:sz w:val="18"/>
          <w:szCs w:val="18"/>
          <w:color w:val="auto"/>
        </w:rPr>
      </w:pPr>
    </w:p>
    <w:p>
      <w:pPr>
        <w:ind w:left="460" w:right="20" w:hanging="30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reasonableness of significant assumptions, such as volatility, risk-free rate, and expected term, by comparing them to observable market data and company-specific factors.</w:t>
      </w:r>
    </w:p>
    <w:p>
      <w:pPr>
        <w:ind w:left="460" w:right="20" w:hanging="30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internal valuation specialist in evaluating the appropriateness of the valuation methodologies and reasonableness of the key assumptions.</w:t>
      </w:r>
    </w:p>
    <w:p>
      <w:pPr>
        <w:ind w:left="460" w:right="20" w:hanging="302"/>
        <w:spacing w:after="0" w:line="26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financial statement disclosures related to warrant fair value, including description of the valuation techniques and significant assumptions.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 CPAs P.C.</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Plus Therapeutics, Inc. (the “Company”) as of December 31, 2024, the related consolidated statement of operations, stockholders’ equity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Uncertainty</w:t>
      </w:r>
    </w:p>
    <w:p>
      <w:pPr>
        <w:spacing w:after="0" w:line="22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from 2016 to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8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 receivable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r>
      <w:tr>
        <w:trPr>
          <w:trHeight w:val="249"/>
        </w:trPr>
        <w:tc>
          <w:tcPr>
            <w:tcW w:w="78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8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6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Investor liability pursuant to Letter Agreement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grant liability</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Line of credit</w:t>
            </w: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0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12,329</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86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1,952</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as of December 31, 2025 and 2024</w:t>
            </w:r>
          </w:p>
        </w:tc>
        <w:tc>
          <w:tcPr>
            <w:tcW w:w="3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6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2,000,000,000 shares authorized; 138,934,281 shares issued and</w:t>
            </w: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138,675,856 outstanding as of December 31, 2025, 100,000,000 shares authorized; 6,154,758 shares</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5,896,333 outstanding as of December 31, 2024, respectively</w:t>
            </w:r>
          </w:p>
        </w:tc>
        <w:tc>
          <w:tcPr>
            <w:tcW w:w="3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258,425 shares as of December 31, 2025 and 2024, respectively</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520,222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485,024</w:t>
            </w:r>
          </w:p>
        </w:tc>
        <w:tc>
          <w:tcPr>
            <w:tcW w:w="100" w:type="dxa"/>
            <w:vAlign w:val="bottom"/>
            <w:shd w:val="clear" w:color="auto" w:fill="CFF0FC"/>
          </w:tcPr>
          <w:p>
            <w:pPr>
              <w:spacing w:after="0"/>
              <w:rPr>
                <w:sz w:val="18"/>
                <w:szCs w:val="18"/>
                <w:color w:val="auto"/>
              </w:rPr>
            </w:pPr>
          </w:p>
        </w:tc>
      </w:tr>
      <w:tr>
        <w:trPr>
          <w:trHeight w:val="216"/>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(515,865)</w:t>
            </w:r>
          </w:p>
        </w:tc>
        <w:tc>
          <w:tcPr>
            <w:tcW w:w="5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(493,479)</w:t>
            </w:r>
          </w:p>
        </w:tc>
      </w:tr>
      <w:tr>
        <w:trPr>
          <w:trHeight w:val="20"/>
        </w:trPr>
        <w:tc>
          <w:tcPr>
            <w:tcW w:w="7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(8,949)</w:t>
            </w:r>
          </w:p>
        </w:tc>
      </w:tr>
      <w:tr>
        <w:trPr>
          <w:trHeight w:val="210"/>
        </w:trPr>
        <w:tc>
          <w:tcPr>
            <w:tcW w:w="78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Borders>
              <w:top w:val="single" w:sz="8" w:color="CFF0FC"/>
            </w:tcBorders>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-4765675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-4765675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-3651250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-3634105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-2527935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-170815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6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tcPr>
          <w:p>
            <w:pPr>
              <w:spacing w:after="0"/>
              <w:rPr>
                <w:sz w:val="18"/>
                <w:szCs w:val="18"/>
                <w:color w:val="auto"/>
              </w:rPr>
            </w:pPr>
          </w:p>
        </w:tc>
      </w:tr>
      <w:tr>
        <w:trPr>
          <w:trHeight w:val="216"/>
        </w:trPr>
        <w:tc>
          <w:tcPr>
            <w:tcW w:w="65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00" w:type="dxa"/>
            <w:vAlign w:val="bottom"/>
          </w:tcPr>
          <w:p>
            <w:pPr>
              <w:spacing w:after="0"/>
              <w:rPr>
                <w:sz w:val="18"/>
                <w:szCs w:val="18"/>
                <w:color w:val="auto"/>
              </w:rPr>
            </w:pPr>
          </w:p>
        </w:tc>
      </w:tr>
      <w:tr>
        <w:trPr>
          <w:trHeight w:val="210"/>
        </w:trPr>
        <w:tc>
          <w:tcPr>
            <w:tcW w:w="6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Operating loss</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(14,695)</w:t>
            </w:r>
          </w:p>
        </w:tc>
      </w:tr>
      <w:tr>
        <w:trPr>
          <w:trHeight w:val="209"/>
        </w:trPr>
        <w:tc>
          <w:tcPr>
            <w:tcW w:w="658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expense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(3,545)</w:t>
            </w:r>
          </w:p>
        </w:tc>
      </w:tr>
      <w:tr>
        <w:trPr>
          <w:trHeight w:val="216"/>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(2,631)</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issuance costs</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6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6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(7,088)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FF0FC"/>
          </w:tcPr>
          <w:p>
            <w:pPr>
              <w:spacing w:after="0"/>
              <w:rPr>
                <w:sz w:val="18"/>
                <w:szCs w:val="18"/>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(22,386)</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(12,978)</w:t>
            </w:r>
          </w:p>
        </w:tc>
      </w:tr>
      <w:tr>
        <w:trPr>
          <w:trHeight w:val="20"/>
        </w:trPr>
        <w:tc>
          <w:tcPr>
            <w:tcW w:w="6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Per share information:</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15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basic</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77,804,612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6,640,251</w:t>
            </w:r>
          </w:p>
        </w:tc>
        <w:tc>
          <w:tcPr>
            <w:tcW w:w="100" w:type="dxa"/>
            <w:vAlign w:val="bottom"/>
          </w:tcPr>
          <w:p>
            <w:pPr>
              <w:spacing w:after="0"/>
              <w:rPr>
                <w:sz w:val="18"/>
                <w:szCs w:val="18"/>
                <w:color w:val="auto"/>
              </w:rPr>
            </w:pPr>
          </w:p>
        </w:tc>
      </w:tr>
      <w:tr>
        <w:trPr>
          <w:trHeight w:val="216"/>
        </w:trPr>
        <w:tc>
          <w:tcPr>
            <w:tcW w:w="65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 - diluted</w:t>
            </w:r>
          </w:p>
        </w:tc>
        <w:tc>
          <w:tcPr>
            <w:tcW w:w="1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77,804,612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7,700,774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-1130935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nal</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440" w:type="dxa"/>
            <w:vAlign w:val="bottom"/>
          </w:tcPr>
          <w:p>
            <w:pPr>
              <w:spacing w:after="0"/>
              <w:rPr>
                <w:sz w:val="13"/>
                <w:szCs w:val="13"/>
                <w:color w:val="auto"/>
              </w:rPr>
            </w:pPr>
          </w:p>
        </w:tc>
        <w:tc>
          <w:tcPr>
            <w:tcW w:w="84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3"/>
                <w:szCs w:val="13"/>
                <w:color w:val="auto"/>
              </w:rPr>
            </w:pPr>
          </w:p>
        </w:tc>
        <w:tc>
          <w:tcPr>
            <w:tcW w:w="122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Accumula</w:t>
            </w:r>
          </w:p>
        </w:tc>
        <w:tc>
          <w:tcPr>
            <w:tcW w:w="880" w:type="dxa"/>
            <w:vAlign w:val="bottom"/>
            <w:gridSpan w:val="3"/>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640" w:type="dxa"/>
            <w:vAlign w:val="bottom"/>
            <w:gridSpan w:val="3"/>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ted</w:t>
            </w:r>
          </w:p>
        </w:tc>
        <w:tc>
          <w:tcPr>
            <w:tcW w:w="16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rs’</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4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Share</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w:t>
            </w:r>
          </w:p>
        </w:tc>
        <w:tc>
          <w:tcPr>
            <w:tcW w:w="100" w:type="dxa"/>
            <w:vAlign w:val="bottom"/>
          </w:tcPr>
          <w:p>
            <w:pPr>
              <w:spacing w:after="0"/>
              <w:rPr>
                <w:sz w:val="10"/>
                <w:szCs w:val="10"/>
                <w:color w:val="auto"/>
              </w:rPr>
            </w:pPr>
          </w:p>
        </w:tc>
        <w:tc>
          <w:tcPr>
            <w:tcW w:w="640" w:type="dxa"/>
            <w:vAlign w:val="bottom"/>
            <w:tcBorders>
              <w:top w:val="single" w:sz="8" w:color="auto"/>
            </w:tcBorders>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vMerge w:val="restart"/>
          </w:tcPr>
          <w:p>
            <w:pPr>
              <w:spacing w:after="0"/>
              <w:rPr>
                <w:sz w:val="10"/>
                <w:szCs w:val="10"/>
                <w:color w:val="auto"/>
              </w:rPr>
            </w:pPr>
          </w:p>
        </w:tc>
        <w:tc>
          <w:tcPr>
            <w:tcW w:w="3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Amou</w:t>
            </w:r>
          </w:p>
        </w:tc>
        <w:tc>
          <w:tcPr>
            <w:tcW w:w="100" w:type="dxa"/>
            <w:vAlign w:val="bottom"/>
          </w:tcPr>
          <w:p>
            <w:pPr>
              <w:spacing w:after="0"/>
              <w:rPr>
                <w:sz w:val="10"/>
                <w:szCs w:val="10"/>
                <w:color w:val="auto"/>
              </w:rPr>
            </w:pPr>
          </w:p>
        </w:tc>
        <w:tc>
          <w:tcPr>
            <w:tcW w:w="920" w:type="dxa"/>
            <w:vAlign w:val="bottom"/>
            <w:gridSpan w:val="4"/>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Treasury</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vMerge w:val="restart"/>
          </w:tcPr>
          <w:p>
            <w:pPr>
              <w:spacing w:after="0"/>
              <w:rPr>
                <w:sz w:val="10"/>
                <w:szCs w:val="10"/>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4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w:t>
            </w:r>
          </w:p>
        </w:tc>
        <w:tc>
          <w:tcPr>
            <w:tcW w:w="100" w:type="dxa"/>
            <w:vAlign w:val="bottom"/>
          </w:tcPr>
          <w:p>
            <w:pPr>
              <w:spacing w:after="0"/>
              <w:rPr>
                <w:sz w:val="15"/>
                <w:szCs w:val="15"/>
                <w:color w:val="auto"/>
              </w:rPr>
            </w:pPr>
          </w:p>
        </w:tc>
        <w:tc>
          <w:tcPr>
            <w:tcW w:w="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1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nt</w:t>
            </w:r>
          </w:p>
        </w:tc>
        <w:tc>
          <w:tcPr>
            <w:tcW w:w="100" w:type="dxa"/>
            <w:vAlign w:val="bottom"/>
          </w:tcPr>
          <w:p>
            <w:pPr>
              <w:spacing w:after="0"/>
              <w:rPr>
                <w:sz w:val="15"/>
                <w:szCs w:val="15"/>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4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 at December 31, 2023</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1,95</w:t>
            </w:r>
          </w:p>
        </w:tc>
        <w:tc>
          <w:tcPr>
            <w:tcW w:w="24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4,522,6</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(78,5</w:t>
            </w:r>
          </w:p>
        </w:tc>
        <w:tc>
          <w:tcPr>
            <w:tcW w:w="16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479,27</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 (480,501)</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(1,348)</w:t>
            </w:r>
          </w:p>
        </w:tc>
        <w:tc>
          <w:tcPr>
            <w:tcW w:w="0" w:type="dxa"/>
            <w:vAlign w:val="bottom"/>
          </w:tcPr>
          <w:p>
            <w:pPr>
              <w:spacing w:after="0"/>
              <w:rPr>
                <w:sz w:val="1"/>
                <w:szCs w:val="1"/>
                <w:color w:val="auto"/>
              </w:rPr>
            </w:pPr>
          </w:p>
        </w:tc>
      </w:tr>
      <w:tr>
        <w:trPr>
          <w:trHeight w:val="211"/>
        </w:trPr>
        <w:tc>
          <w:tcPr>
            <w:tcW w:w="444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right w:val="single" w:sz="8" w:color="CFF0FC"/>
            </w:tcBorders>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59) $ 26)</w:t>
            </w:r>
          </w:p>
        </w:tc>
        <w:tc>
          <w:tcPr>
            <w:tcW w:w="16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44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Issuance of common stock</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tcBorders>
          </w:tcPr>
          <w:p>
            <w:pPr>
              <w:spacing w:after="0"/>
              <w:rPr>
                <w:sz w:val="9"/>
                <w:szCs w:val="9"/>
                <w:color w:val="auto"/>
              </w:rPr>
            </w:pPr>
          </w:p>
        </w:tc>
        <w:tc>
          <w:tcPr>
            <w:tcW w:w="6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1,439,9</w:t>
            </w: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FF0FC"/>
            </w:tcBorders>
          </w:tcPr>
          <w:p>
            <w:pPr>
              <w:spacing w:after="0"/>
              <w:rPr>
                <w:sz w:val="9"/>
                <w:szCs w:val="9"/>
                <w:color w:val="auto"/>
              </w:rPr>
            </w:pP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tcBorders>
            <w:vMerge w:val="restart"/>
          </w:tcPr>
          <w:p>
            <w:pPr>
              <w:spacing w:after="0"/>
              <w:rPr>
                <w:sz w:val="9"/>
                <w:szCs w:val="9"/>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tcBorders>
            <w:vMerge w:val="restart"/>
          </w:tcPr>
          <w:p>
            <w:pPr>
              <w:spacing w:after="0"/>
              <w:rPr>
                <w:sz w:val="9"/>
                <w:szCs w:val="9"/>
                <w:color w:val="auto"/>
              </w:rPr>
            </w:pP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FF0FC"/>
            </w:tcBorders>
            <w:vMerge w:val="restart"/>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192,114</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4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Purchase of treasury stock</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(179,</w:t>
            </w:r>
          </w:p>
        </w:tc>
        <w:tc>
          <w:tcPr>
            <w:tcW w:w="160" w:type="dxa"/>
            <w:vAlign w:val="bottom"/>
          </w:tcPr>
          <w:p>
            <w:pPr>
              <w:spacing w:after="0"/>
              <w:rPr>
                <w:sz w:val="10"/>
                <w:szCs w:val="10"/>
                <w:color w:val="auto"/>
              </w:rPr>
            </w:pPr>
          </w:p>
        </w:tc>
        <w:tc>
          <w:tcPr>
            <w:tcW w:w="18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866)</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 of warrants to equity</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(12,978)</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(12,978)</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4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Balance at December 31, 2024</w:t>
            </w:r>
          </w:p>
        </w:tc>
        <w:tc>
          <w:tcPr>
            <w:tcW w:w="4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1,95</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6,154,7</w:t>
            </w:r>
          </w:p>
        </w:tc>
        <w:tc>
          <w:tcPr>
            <w:tcW w:w="10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4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(258,</w:t>
            </w:r>
          </w:p>
        </w:tc>
        <w:tc>
          <w:tcPr>
            <w:tcW w:w="160" w:type="dxa"/>
            <w:vAlign w:val="bottom"/>
          </w:tcPr>
          <w:p>
            <w:pPr>
              <w:spacing w:after="0"/>
              <w:rPr>
                <w:sz w:val="10"/>
                <w:szCs w:val="10"/>
                <w:color w:val="auto"/>
              </w:rPr>
            </w:pPr>
          </w:p>
        </w:tc>
        <w:tc>
          <w:tcPr>
            <w:tcW w:w="18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485,02</w:t>
            </w:r>
          </w:p>
        </w:tc>
        <w:tc>
          <w:tcPr>
            <w:tcW w:w="100" w:type="dxa"/>
            <w:vAlign w:val="bottom"/>
          </w:tcPr>
          <w:p>
            <w:pPr>
              <w:spacing w:after="0"/>
              <w:rPr>
                <w:sz w:val="10"/>
                <w:szCs w:val="10"/>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(493,479)</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(8,949)</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color w:val="auto"/>
              </w:rPr>
              <w:t>425) $ 00)</w:t>
            </w:r>
          </w:p>
        </w:tc>
        <w:tc>
          <w:tcPr>
            <w:tcW w:w="16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1"/>
                <w:szCs w:val="11"/>
                <w:color w:val="auto"/>
              </w:rPr>
            </w:pPr>
          </w:p>
        </w:tc>
        <w:tc>
          <w:tcPr>
            <w:tcW w:w="740" w:type="dxa"/>
            <w:vAlign w:val="bottom"/>
            <w:tcBorders>
              <w:right w:val="single" w:sz="8" w:color="CFF0FC"/>
            </w:tcBorders>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1"/>
                <w:szCs w:val="11"/>
                <w:color w:val="auto"/>
              </w:rPr>
            </w:pPr>
          </w:p>
        </w:tc>
        <w:tc>
          <w:tcPr>
            <w:tcW w:w="3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1,540</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1,540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26,185,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(26)</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Exercise or exchange of March 2025 Series A and B Warrants</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57,018,</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0"/>
                <w:szCs w:val="10"/>
                <w:color w:val="auto"/>
              </w:rPr>
            </w:pPr>
          </w:p>
        </w:tc>
        <w:tc>
          <w:tcPr>
            <w:tcW w:w="6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0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Series B Warrants from May 2024 PIPE</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497,824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Exchange of warrants for notes payable</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(3,694)</w:t>
            </w:r>
          </w:p>
        </w:tc>
        <w:tc>
          <w:tcPr>
            <w:tcW w:w="0" w:type="dxa"/>
            <w:vAlign w:val="bottom"/>
          </w:tcPr>
          <w:p>
            <w:pPr>
              <w:spacing w:after="0"/>
              <w:rPr>
                <w:sz w:val="1"/>
                <w:szCs w:val="1"/>
                <w:color w:val="auto"/>
              </w:rPr>
            </w:pPr>
          </w:p>
        </w:tc>
      </w:tr>
      <w:tr>
        <w:trPr>
          <w:trHeight w:val="126"/>
        </w:trPr>
        <w:tc>
          <w:tcPr>
            <w:tcW w:w="4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pre-funded warrants and warrants for debt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4,069,7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5,369</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repayment</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4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Cancellation of common stock</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(5,211,8</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640" w:type="dxa"/>
            <w:vAlign w:val="bottom"/>
            <w:tcBorders>
              <w:right w:val="single" w:sz="8" w:color="CFF0FC"/>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7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44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84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640" w:type="dxa"/>
            <w:vAlign w:val="bottom"/>
            <w:tcBorders>
              <w:right w:val="single" w:sz="8" w:color="CFF0FC"/>
            </w:tcBorders>
            <w:gridSpan w:val="2"/>
            <w:vMerge w:val="continue"/>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 Lincoln Park Purchase Agreement, net of</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22,550</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20"/>
                <w:szCs w:val="20"/>
                <w:color w:val="auto"/>
              </w:rPr>
            </w:pPr>
            <w:r>
              <w:rPr>
                <w:rFonts w:ascii="Times New Roman" w:cs="Times New Roman" w:eastAsia="Times New Roman" w:hAnsi="Times New Roman"/>
                <w:sz w:val="14"/>
                <w:szCs w:val="14"/>
                <w:color w:val="auto"/>
              </w:rPr>
              <w:t>issuance costs</w:t>
            </w:r>
          </w:p>
        </w:tc>
        <w:tc>
          <w:tcPr>
            <w:tcW w:w="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2025 Series B warrant liability to equity</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10,967</w:t>
            </w:r>
          </w:p>
        </w:tc>
        <w:tc>
          <w:tcPr>
            <w:tcW w:w="1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10,967</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warrants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Investor fees pursuant to Support Letters</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2"/>
                <w:szCs w:val="12"/>
                <w:color w:val="auto"/>
              </w:rPr>
            </w:pPr>
          </w:p>
        </w:tc>
        <w:tc>
          <w:tcPr>
            <w:tcW w:w="740" w:type="dxa"/>
            <w:vAlign w:val="bottom"/>
            <w:tcBorders>
              <w:right w:val="single" w:sz="8" w:color="CFF0FC"/>
            </w:tcBorders>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(2,250)</w:t>
            </w:r>
          </w:p>
        </w:tc>
        <w:tc>
          <w:tcPr>
            <w:tcW w:w="0" w:type="dxa"/>
            <w:vAlign w:val="bottom"/>
          </w:tcPr>
          <w:p>
            <w:pPr>
              <w:spacing w:after="0"/>
              <w:rPr>
                <w:sz w:val="1"/>
                <w:szCs w:val="1"/>
                <w:color w:val="auto"/>
              </w:rPr>
            </w:pPr>
          </w:p>
        </w:tc>
      </w:tr>
      <w:tr>
        <w:trPr>
          <w:trHeight w:val="148"/>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Liability to investors pursuant to Letter Agreement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(7,746)</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(7,746)</w:t>
            </w:r>
          </w:p>
        </w:tc>
        <w:tc>
          <w:tcPr>
            <w:tcW w:w="0" w:type="dxa"/>
            <w:vAlign w:val="bottom"/>
          </w:tcPr>
          <w:p>
            <w:pPr>
              <w:spacing w:after="0"/>
              <w:rPr>
                <w:sz w:val="1"/>
                <w:szCs w:val="1"/>
                <w:color w:val="auto"/>
              </w:rPr>
            </w:pPr>
          </w:p>
        </w:tc>
      </w:tr>
      <w:tr>
        <w:trPr>
          <w:trHeight w:val="148"/>
        </w:trPr>
        <w:tc>
          <w:tcPr>
            <w:tcW w:w="4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 vesting</w:t>
            </w:r>
          </w:p>
        </w:tc>
        <w:tc>
          <w:tcPr>
            <w:tcW w:w="4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219,193</w:t>
            </w:r>
          </w:p>
        </w:tc>
        <w:tc>
          <w:tcPr>
            <w:tcW w:w="10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CFF0FC"/>
            </w:tcBorders>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5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(22,386)</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(22,386)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44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Balance at December 31, 2025</w:t>
            </w:r>
          </w:p>
        </w:tc>
        <w:tc>
          <w:tcPr>
            <w:tcW w:w="4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1,95</w:t>
            </w:r>
          </w:p>
        </w:tc>
        <w:tc>
          <w:tcPr>
            <w:tcW w:w="24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2"/>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138,934</w:t>
            </w:r>
          </w:p>
        </w:tc>
        <w:tc>
          <w:tcPr>
            <w:tcW w:w="100" w:type="dxa"/>
            <w:vAlign w:val="bottom"/>
            <w:tcBorders>
              <w:right w:val="single" w:sz="8" w:color="CFF0FC"/>
            </w:tcBorders>
            <w:shd w:val="clear" w:color="auto" w:fill="CFF0FC"/>
          </w:tcPr>
          <w:p>
            <w:pPr>
              <w:spacing w:after="0"/>
              <w:rPr>
                <w:sz w:val="10"/>
                <w:szCs w:val="10"/>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(258,</w:t>
            </w:r>
          </w:p>
        </w:tc>
        <w:tc>
          <w:tcPr>
            <w:tcW w:w="16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520,22</w:t>
            </w:r>
          </w:p>
        </w:tc>
        <w:tc>
          <w:tcPr>
            <w:tcW w:w="10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 (515,865)</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3,996</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44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40" w:type="dxa"/>
            <w:vAlign w:val="bottom"/>
            <w:gridSpan w:val="2"/>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2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425) $ 00)</w:t>
            </w:r>
          </w:p>
        </w:tc>
        <w:tc>
          <w:tcPr>
            <w:tcW w:w="160" w:type="dxa"/>
            <w:vAlign w:val="bottom"/>
            <w:vMerge w:val="continue"/>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-3016885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-2999740</wp:posOffset>
            </wp:positionV>
            <wp:extent cx="603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-3016885</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-2999740</wp:posOffset>
            </wp:positionV>
            <wp:extent cx="6032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-3016885</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-2999740</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-3016885</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-2999740</wp:posOffset>
            </wp:positionV>
            <wp:extent cx="59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-3016885</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-2999740</wp:posOffset>
            </wp:positionV>
            <wp:extent cx="603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-3016885</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-2999740</wp:posOffset>
            </wp:positionV>
            <wp:extent cx="59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-3016885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-2999740</wp:posOffset>
            </wp:positionV>
            <wp:extent cx="596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-3016885</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-2999740</wp:posOffset>
            </wp:positionV>
            <wp:extent cx="603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-3016885</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-2999740</wp:posOffset>
            </wp:positionV>
            <wp:extent cx="5969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-2236470</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-2236470</wp:posOffset>
            </wp:positionV>
            <wp:extent cx="603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-2236470</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-2236470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-2236470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-2236470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-2236470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-2236470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-2236470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-24765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-7620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596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596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-24765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117"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513"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2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98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(22,386)</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(12,978)</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Accretion of discount on short-term investments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financing expenses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(5,654)</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Gain on sale of assets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Increases (decreases) in cash caused by changes in operating assets and liabilities: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Grant receivable</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(571)</w:t>
            </w:r>
          </w:p>
        </w:tc>
      </w:tr>
      <w:tr>
        <w:trPr>
          <w:trHeight w:val="203"/>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(5,620)</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Change in operating lease liabilities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(130)</w:t>
            </w:r>
          </w:p>
        </w:tc>
      </w:tr>
      <w:tr>
        <w:trPr>
          <w:trHeight w:val="203"/>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grant liability</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(997)</w:t>
            </w: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(20,775)</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(10,554)</w:t>
            </w:r>
          </w:p>
        </w:tc>
      </w:tr>
      <w:tr>
        <w:trPr>
          <w:trHeight w:val="196"/>
        </w:trPr>
        <w:tc>
          <w:tcPr>
            <w:tcW w:w="674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(146)</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(545)</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(9,353)</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(15,590)</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redemption of short-term investments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4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(4,111)</w:t>
            </w:r>
          </w:p>
        </w:tc>
      </w:tr>
      <w:tr>
        <w:trPr>
          <w:trHeight w:val="196"/>
        </w:trPr>
        <w:tc>
          <w:tcPr>
            <w:tcW w:w="67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Principal payments of term loan obligation</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(3,996)</w:t>
            </w:r>
          </w:p>
        </w:tc>
      </w:tr>
      <w:tr>
        <w:trPr>
          <w:trHeight w:val="202"/>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credit facility</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(3,292)</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of notes payable and warrants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(3,703)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sale of common stock, pre-funded warrants, and warrants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7,265</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common stock under Lincoln Park Purchase Agreement</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to investors pursuant to Letter Agreement</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(3,242)</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Offering costs for sale of common stock</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(374)</w:t>
            </w:r>
          </w:p>
        </w:tc>
      </w:tr>
      <w:tr>
        <w:trPr>
          <w:trHeight w:val="196"/>
        </w:trPr>
        <w:tc>
          <w:tcPr>
            <w:tcW w:w="6740" w:type="dxa"/>
            <w:vAlign w:val="bottom"/>
            <w:tcBorders>
              <w:top w:val="single" w:sz="8" w:color="CFF0FC"/>
            </w:tcBorders>
          </w:tcPr>
          <w:p>
            <w:pPr>
              <w:ind w:left="4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0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30,311</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6,187</w:t>
            </w:r>
          </w:p>
        </w:tc>
        <w:tc>
          <w:tcPr>
            <w:tcW w:w="100" w:type="dxa"/>
            <w:vAlign w:val="bottom"/>
            <w:tcBorders>
              <w:top w:val="single" w:sz="8" w:color="CFF0FC"/>
            </w:tcBorders>
          </w:tcPr>
          <w:p>
            <w:pPr>
              <w:spacing w:after="0"/>
              <w:rPr>
                <w:sz w:val="17"/>
                <w:szCs w:val="17"/>
                <w:color w:val="auto"/>
              </w:rPr>
            </w:pPr>
          </w:p>
        </w:tc>
      </w:tr>
      <w:tr>
        <w:trPr>
          <w:trHeight w:val="196"/>
        </w:trPr>
        <w:tc>
          <w:tcPr>
            <w:tcW w:w="67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(8,478)</w:t>
            </w: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00" w:type="dxa"/>
            <w:vAlign w:val="bottom"/>
          </w:tcPr>
          <w:p>
            <w:pPr>
              <w:spacing w:after="0"/>
              <w:rPr>
                <w:sz w:val="17"/>
                <w:szCs w:val="17"/>
                <w:color w:val="auto"/>
              </w:rPr>
            </w:pPr>
          </w:p>
        </w:tc>
      </w:tr>
      <w:tr>
        <w:trPr>
          <w:trHeight w:val="23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8,758</w:t>
            </w: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FF0FC"/>
          </w:tcPr>
          <w:p>
            <w:pPr>
              <w:spacing w:after="0"/>
              <w:rPr>
                <w:sz w:val="20"/>
                <w:szCs w:val="20"/>
                <w:color w:val="auto"/>
              </w:rPr>
            </w:pPr>
          </w:p>
        </w:tc>
      </w:tr>
      <w:tr>
        <w:trPr>
          <w:trHeight w:val="183"/>
        </w:trPr>
        <w:tc>
          <w:tcPr>
            <w:tcW w:w="674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flows information:</w:t>
            </w:r>
          </w:p>
        </w:tc>
        <w:tc>
          <w:tcPr>
            <w:tcW w:w="1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during period for:</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1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Unpaid offering cost</w:t>
            </w:r>
          </w:p>
        </w:tc>
        <w:tc>
          <w:tcPr>
            <w:tcW w:w="1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Unpaid liability to investors pursuant to Letter Agreement</w:t>
            </w:r>
          </w:p>
        </w:tc>
        <w:tc>
          <w:tcPr>
            <w:tcW w:w="198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Exchange of warrants for notes payable</w:t>
            </w:r>
          </w:p>
        </w:tc>
        <w:tc>
          <w:tcPr>
            <w:tcW w:w="1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Redemption of notes by issuance of common stock, pre-funded warrants and warrants</w:t>
            </w:r>
          </w:p>
        </w:tc>
        <w:tc>
          <w:tcPr>
            <w:tcW w:w="1980" w:type="dxa"/>
            <w:vAlign w:val="bottom"/>
            <w:gridSpan w:val="2"/>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160" w:type="dxa"/>
            <w:vAlign w:val="bottom"/>
          </w:tcPr>
          <w:p>
            <w:pPr>
              <w:spacing w:after="0"/>
              <w:rPr>
                <w:sz w:val="17"/>
                <w:szCs w:val="17"/>
                <w:color w:val="auto"/>
              </w:rPr>
            </w:pP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Right-of-use assets acquired by assuming operating lease liabilities</w:t>
            </w:r>
          </w:p>
        </w:tc>
        <w:tc>
          <w:tcPr>
            <w:tcW w:w="19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-4705350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-3668395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-3668395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-1851025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-1310640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-1293495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ectPr>
          <w:pgSz w:w="11900" w:h="16838" w:orient="portrait"/>
          <w:cols w:equalWidth="0" w:num="1">
            <w:col w:w="11240"/>
          </w:cols>
          <w:pgMar w:left="320" w:top="513"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right="8460" w:hanging="512"/>
        <w:spacing w:after="0" w:line="378" w:lineRule="auto"/>
        <w:tabs>
          <w:tab w:leader="none" w:pos="5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 The Company</w:t>
      </w: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Plus Therapeutics, Inc. (the “Company”) is a clinical-stage pharmaceutical company focused on the development, manufacture and commercialization of complex and innovative treatments for patients battling cancer and other life-threatening diseases. CNSide Diagnostics, LLC is a wholly owned subsidiary of Plus Therapeutics, Inc. that develops and commercializes proprietary laboratory-developed tests, such as the CNSide Test, designed to identify tumor cells that have metastasized to the central nervous system in patients with carcinomas and melanomas.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Certain Risks and Uncertainties</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Company’s prospects are subject to the risks and uncertainties frequently encountered by companies in the early stages of development and commercialization, especially those companies in rapidly evolving and technologically advanced industries such as the biotech and medical device field. The Company’s future viability largely depends on its ability to complete development of new products and receive regulatory approvals for those products. No assurance can be given that the Company’s new products will be successfully developed, regulatory approvals will be granted, or acceptance of these products will be achieved.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Company incurred net losses of $22.4 million for the year ended December 31, 2025, and as of December 31, 2025, the Company had an accumulated deficit of $515.9 million and cash, cash equivalents, restricted cash, and short-term investments of $13.1 million. The Company includes restricted cash and cash equivalents in its liquidity assessment because the restrictions are expected to be released within one year after the date that the financial statements in this Form 10-K are issued, at which time the funds will be available to support working capital requirements. Additionally, the Company used net cash of $20.8 million to fund its operating activities for the year ended December 31, 2025. The Company expects that its research and development expenditures will increase in absolute dollars in 2026 and beyond. These factors raise substantial doubt about the Company’s ability to continue as a going concern.</w:t>
      </w:r>
    </w:p>
    <w:p>
      <w:pPr>
        <w:spacing w:after="0" w:line="8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As disclosed in more detail in Note 15, the Company has entered into various financing agreements and raised capital by issuing its common stock. Additionally, in January 2026, the Company entered into an underwriting agreement in which it raised net proceeds of approximately $13.3 million after deducting the underwriting discounts and commissions and other estimated offering expenses payable by the Company.</w:t>
      </w:r>
    </w:p>
    <w:p>
      <w:pPr>
        <w:spacing w:after="0" w:line="68"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Company continues to seek additional capital from other financing alternatives and other sources in order to ensure adequate funding is available to allow the Company to continue research and product development activities. If sufficient capital is not raised, the Company will at a minimum need to significantly reduce or curtail its research and development and other operations, and this would negatively affect its ability to achieve corporate growth goals.</w:t>
      </w:r>
    </w:p>
    <w:p>
      <w:pPr>
        <w:spacing w:after="0" w:line="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Should the Company fail to raise additional cash, it would have a material adverse impact on its operations.</w:t>
      </w:r>
    </w:p>
    <w:p>
      <w:pPr>
        <w:spacing w:after="0" w:line="117"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the Company will continue to operate as a going concern, which contemplates the realization of assets and settlement of liabilities in the normal course of business, and do not include any adjustments to reflect the possible future effects on the recoverability and classification of assets or the amounts and classifications of liabilities that may result from uncertainty related to its ability to continue as a going concern.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Nasdaq Listing Compliance</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Minimum Stockholders’ Equity Requirement</w:t>
      </w:r>
    </w:p>
    <w:p>
      <w:pPr>
        <w:spacing w:after="0" w:line="119"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In March 2024, the Company received notice from the Listing Qualifications staff of Nasdaq (the “Staff”), notifying it that it no longer maintained at least $2.5 million in stockholders’ equity, as required under Nasdaq Listing Rule 5550(b)(1) (the “Minimum Stockholders’ Equity Requirement”), and also did not meet any other alternative standard. On October 22, 2024, the Company held its first hearing before a Nasdaq panel, as a result of which it received additional time, or until March 4, 2025, to regain compliance. A second hearing was held on July 15, 2025. On July 22, 2025, the panel for its second hearing issued a decision granting its request for continued listing on Nasdaq, subject to the Company demonstrating compliance with (1) the Minimum Stockholders’ Equity Requirement by August 14, 2025; and (2) the Minimum Bid Requirement (as defined below) by September 8, 2025. On August 22, 2025, the Company received a letter (the “August 2025 Letter”) from Nasdaq confirming its compliance with Nasdaq Listing Rule 5550(b). Specifically, the August 2025 Letter confirmed that the Company was in compliance with both</w:t>
      </w:r>
    </w:p>
    <w:p>
      <w:pPr>
        <w:spacing w:after="0" w:line="1" w:lineRule="exact"/>
        <w:rPr>
          <w:sz w:val="20"/>
          <w:szCs w:val="20"/>
          <w:color w:val="auto"/>
        </w:rPr>
      </w:pPr>
    </w:p>
    <w:p>
      <w:pPr>
        <w:jc w:val="both"/>
        <w:ind w:left="520" w:hanging="3"/>
        <w:spacing w:after="0" w:line="253" w:lineRule="auto"/>
        <w:tabs>
          <w:tab w:leader="none" w:pos="78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Listing Rule 5550(b)(2), which requires a market value of listed securities of at least $35 million and (2) the alternative stockholders’ equity threshold under Nasdaq Listing Rule 5550(b)(1), which is the Minimum Stockholders’ Equity Requirement. The August 2025 Letter also provided that, solely with respect to the Minimum Stockholders’ Equity Requirement, it remain subject to a one-year panel monitoring period, through August 22, 2026. If, within that one-year monitoring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spacing w:after="0" w:line="258" w:lineRule="auto"/>
        <w:rPr>
          <w:sz w:val="20"/>
          <w:szCs w:val="20"/>
          <w:color w:val="auto"/>
        </w:rPr>
      </w:pPr>
      <w:r>
        <w:rPr>
          <w:rFonts w:ascii="Times New Roman" w:cs="Times New Roman" w:eastAsia="Times New Roman" w:hAnsi="Times New Roman"/>
          <w:sz w:val="18"/>
          <w:szCs w:val="18"/>
          <w:color w:val="auto"/>
        </w:rPr>
        <w:t>period, the Staff determines that the Company no longer satisfies the Minimum Stockholders’ Equity Requirement (and it is not then in compliance with one of the alternative standards under Nasdaq Listing Rule 5550(b)), it will not be permitted to provide the Staff with a plan of compliance and the Staff is not permitted to grant additional time to regain compliance with the Minimum Stockholders’ Equity Requirement nor will it be afforded an applicable cure or compliance period. Instead, the Staff will issue a delist determination letter, and it will have an opportunity to request a new hearing before the Nasdaq Hearings Panel, which request would stay any further action by the Staff pending the ultimate outcome of the hearing.</w:t>
      </w:r>
    </w:p>
    <w:p>
      <w:pPr>
        <w:spacing w:after="0" w:line="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On May 16, 2025, the Company received notice from Nasdaq that, because the closing bid price for its common stock had fallen below $1.00 per share for 30 consecutive business days, it no longer complied with the minimum bid price requirement pursuant to Nasdaq Listing Rule 5550(a)</w:t>
      </w:r>
    </w:p>
    <w:p>
      <w:pPr>
        <w:jc w:val="both"/>
        <w:ind w:left="520" w:hanging="3"/>
        <w:spacing w:after="0" w:line="255" w:lineRule="auto"/>
        <w:tabs>
          <w:tab w:leader="none" w:pos="77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Bid Requirement”). The Company was provided an initial compliance period of 180 calendar days, or until November 12, 2025, to regain compliance with the Minimum Bid Requirement. To regain compliance, the closing bid price of its common stock must meet or exceed $1.00 per share for a minimum of 10 consecutive business days prior to November 12, 2025.</w:t>
      </w:r>
    </w:p>
    <w:p>
      <w:pPr>
        <w:spacing w:after="0" w:line="78"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On November 13, 2025, the Company received a second letter from the Nasdaq Staff advising that it had been granted an additional 180 calendar days, or until May 11, 2026, to regain compliance with the Minimum Bid Requirement, in accordance with Nasdaq Listing Rule 5810(c)(3) (A).</w:t>
      </w:r>
    </w:p>
    <w:p>
      <w:pPr>
        <w:spacing w:after="0" w:line="68"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Company intends to continue to actively monitor the closing bid price of its common stock and will evaluate available options to regain compliance with the Minimum Bid Requirement. Specifically, it has confirmed to Nasdaq that, if necessary, it will implement a reverse stock split of its outstanding common stock to attempt to regain compliance. If the Company does not regain compliance within the additional compliance period, Nasdaq will provide notice that its common stock will be subject to delisting. The Company would then be entitled to appeal that determination to a Nasdaq hearings panel. There can be no assurance that the Company will regain compliance with the Minimum Bid Requirement during the 180-day additional compliance period or maintain compliance with the other Nasdaq listing requirements.</w:t>
      </w:r>
    </w:p>
    <w:p>
      <w:pPr>
        <w:spacing w:after="0" w:line="200" w:lineRule="exact"/>
        <w:rPr>
          <w:sz w:val="20"/>
          <w:szCs w:val="20"/>
          <w:color w:val="auto"/>
        </w:rPr>
      </w:pPr>
    </w:p>
    <w:p>
      <w:pPr>
        <w:spacing w:after="0" w:line="307" w:lineRule="exact"/>
        <w:rPr>
          <w:sz w:val="20"/>
          <w:szCs w:val="20"/>
          <w:color w:val="auto"/>
        </w:rPr>
      </w:pPr>
    </w:p>
    <w:p>
      <w:pPr>
        <w:ind w:left="520" w:right="7340" w:hanging="512"/>
        <w:spacing w:after="0" w:line="378" w:lineRule="auto"/>
        <w:tabs>
          <w:tab w:leader="none" w:pos="5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most significant estimates and critical accounting policies involve reviewing assets for impairment, and determining the assumptions used in measuring share-based compensation expense and the fair value of warrants.</w:t>
      </w:r>
    </w:p>
    <w:p>
      <w:pPr>
        <w:spacing w:after="0" w:line="75"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Actual results could differ from these estimates. Management’s estimates and assumptions are reviewed regularly, and the effects of revisions are reflected in the financial statements in the periods they are determined to be necessary.</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w:t>
      </w:r>
    </w:p>
    <w:p>
      <w:pPr>
        <w:spacing w:after="0" w:line="117"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in readily available checking, savings accounts, money market accounts, and certain treasury bills. The Company maintains deposits in federally insured financial institutions in excess of federally insured limits. The Company has not experienced any losses in such accounts and believes it is not exposed to significant risk on its cash balances due to the financial position of the depository institution in which those deposits are held.</w:t>
      </w:r>
    </w:p>
    <w:p>
      <w:pPr>
        <w:spacing w:after="0" w:line="72"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Restricted cash and cash equivalents relates to the liability owed under the modified Letter Agreement (as described in Note 15, Stockholders’ Equity) pursuant to which the Company is required to retain sufficient funds in an interest bearing account to cover such repayment obligations and make such repayments upon request by any investor who executed the amendment agreement. The restriction will lapse when the related liability is satisfied either from the Company or from reselling securities acquired in the March 2025 Private Placement in an amount equal to 115% of the purchase price such purchaser paid in the March 2025 Private Placement. The Company includes restricted cash and cash equivalents in current assets because the restrictions are expected to be released within one year.</w:t>
      </w:r>
    </w:p>
    <w:p>
      <w:pPr>
        <w:spacing w:after="0" w:line="79"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components of cash, cash equivalents, and restricted cash reported in the consolidated balance sheets to the total amount presented in the consolidated statements of cash flows: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4,256</w:t>
            </w:r>
          </w:p>
        </w:tc>
        <w:tc>
          <w:tcPr>
            <w:tcW w:w="76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1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cash, cash equivalents, and restricted cash presented in the consolidated statements of cash</w:t>
            </w:r>
          </w:p>
        </w:tc>
        <w:tc>
          <w:tcPr>
            <w:tcW w:w="1000" w:type="dxa"/>
            <w:vAlign w:val="bottom"/>
            <w:gridSpan w:val="2"/>
            <w:vMerge w:val="restart"/>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760" w:type="dxa"/>
            <w:vAlign w:val="bottom"/>
            <w:gridSpan w:val="2"/>
            <w:vMerge w:val="restart"/>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1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flows</w:t>
            </w:r>
          </w:p>
        </w:tc>
        <w:tc>
          <w:tcPr>
            <w:tcW w:w="1000" w:type="dxa"/>
            <w:vAlign w:val="bottom"/>
            <w:gridSpan w:val="2"/>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760" w:type="dxa"/>
            <w:vAlign w:val="bottom"/>
            <w:gridSpan w:val="2"/>
            <w:vMerge w:val="continue"/>
            <w:shd w:val="clear" w:color="auto" w:fill="CFF0FC"/>
          </w:tcPr>
          <w:p>
            <w:pPr>
              <w:spacing w:after="0"/>
              <w:rPr>
                <w:sz w:val="18"/>
                <w:szCs w:val="18"/>
                <w:color w:val="auto"/>
              </w:rPr>
            </w:pPr>
          </w:p>
        </w:tc>
        <w:tc>
          <w:tcPr>
            <w:tcW w:w="8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Financial instruments include cash equivalents, other current assets, and accounts payable. The carrying values of cash equivalents, other current assets, and accounts payable generally approximate fair value due to the short-term nature of these instruments.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Depreciation expense, which includes the amortization of capitalized leasehold improvements, is provided for on a straight-line basis over the estimated useful lives of the assets, or the life of the lease, whichever is shorter, and range from three to five years. When assets are sold or otherwise disposed of, the cost and related accumulated depreciation are removed from the accounts and the resulting gain or loss, if any, is included in operations. Maintenance and repairs are charged to operations as incurred.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assesses its property and equipment and intangible assets for potential impairment when there is a change in circumstances that indicates carrying values of assets may not be recoverable. Such long-lived assets are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The Company recognized no impairment losses during any of the periods presented in these financial statements.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Company’s goodwill represents the excess of the cost over the fair value of net assets acquired from its business combinations. The determination of the value of goodwill arising from business combinations requires extensive use of accounting estimates and judgments to allocate the purchase price to the fair value of the net tangible and intangible assets acquired.</w:t>
      </w:r>
    </w:p>
    <w:p>
      <w:pPr>
        <w:spacing w:after="0" w:line="68"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Goodwill is reviewed for impairment at least annually during the fourth quarter, or more frequently if an event occurs indicating the potential for impairment. Goodwill is considered to be impaired if the Company determines that the carrying value of the reporting unit exceeds its fair value. The Company performed its impairment test by comparing it’s estimated fair value, calculated from the Company’s market capitalization, to its carrying amount. There were no changes in the carrying amount of goodwill during the years ended December 31, 2025 and 2024.</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Grant Revenue Recognition</w:t>
      </w:r>
    </w:p>
    <w:p>
      <w:pPr>
        <w:spacing w:after="0" w:line="121"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is a collaboration arrangement in accordance with ASC Topic 808, Collaborative Arrangements (“ASC 808”). For grants outside the scope of ASC 808, the Company applies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8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72"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Deferred grant liability represents grant funds received or receivable for which the allowable expenses have not yet been incurred as of the balance sheet date. Grant receivable represents grant funds not yet received for which the allowable expenses have been incurred as of the balance sheet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expenditures, which are charged to operations in the period incurred, include costs associated with the design, development, testing and enhancement of the Company’s products, regulatory fees, the purchase of laboratory supplies, and preclinical and clinical studies as well as salaries and benefits for the Company's research and development employees.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 xml:space="preserve">Warrants are accounted for as either derivative liabilities or as equity instruments depending on the specific terms of the agreement in accordance with applicable accounting guidance provided in ASC Topic 815 -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Equity-classified instruments are recorded in additional paid-in capital at issuance and are not subject to remeasurement. Liability-classified warrants are recorded at fair value at each reporting period with any change in fair value recognized as a component of change in fair value of warrants in the consolidated statements of operations. The Company periodically evaluates changes in facts and circumstances that could impact the classification of warrants.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p>
      <w:pPr>
        <w:spacing w:after="0" w:line="121"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The Company’s available-for-sale securities consist of U.S. government and agency securities. Securities with maturities from the date of purchase of less than three months are included in cash equivalents. The Company classifies its marketable securities as available-for-sale and records such assets at estimated fair value in the consolidated balance sheets, with unrealized gains and losses, if any, reported as a component of other comprehensive income (loss) within the consolidated statements of operations and comprehensive income/loss and as a separate component of stockholders’ equity. Realized gains and losses are calculated on the specific identification method and recorded as interest income (loss). At each balance sheet date, the Company assesses available-for-sale securities in an unrealized loss position to determine whether the decline in fair value below amortized cost is a result of credit losses or other factors, whether the Company expects to recover the amortized cost of the security, the Company’s intent to sell and if it is more likely than not that the Company will be required to sell the securities before the recovery of amortized cost. The Company records changes in allowance for expected credit loss in other income (expense). There has been no allowance for expected credit losses recorded during any of the periods presented.</w:t>
      </w:r>
    </w:p>
    <w:p>
      <w:pPr>
        <w:spacing w:after="0" w:line="86"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Any premium arising at purchase is amortized to the earliest call date and any discount arising at purchase is accreted to maturity. Accretion of discounts are recorded in interest income in the consolidated statements of operations and comprehensive income/loss.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(loss) in the years in which those temporary differences are expected to be recovered or settled. Due to our history of losses, a full valuation allowance has been recognized against our deferred tax assets.</w:t>
      </w:r>
    </w:p>
    <w:p>
      <w:pPr>
        <w:spacing w:after="0" w:line="75"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For the years ended December 31, 2025 and 2024, the Company has not recorded any interest or penalties related to income tax matters.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The Company recognizes the fair value of all share-based payment awards in its statements of operations over the requisite vesting period of each award, which approximates the period during which the employee and non-employee director is required to provide service in exchange for the award. The Company estimates the fair value of these options using the Black-Scholes option pricing model using assumptions for expected volatility, expected term, and risk-free interest rate. Expected volatility is based primarily on historical volatility and is computed using daily pricing observations for recent periods that correspond to the expected term of the options. The expected term represents the period of time that options are expected to be outstanding. Because the Company does not have historical exercise behavior, it determines the expected life assumption using the simplified method which is an average of the contractual term of the option and its vesting period. The risk-free interest rate is the interest rate for treasury instruments with maturities that approximate the expected term.</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is managed as a single operating segment, and therefore reports its results in one operating segment.</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to include, if dilutive, the number of additional common shares that would have been outstanding as calculated using the treasury stock method. Potential common shares were related entirely to outstanding but unexercised options, restricted stock units, warrants and convertible preferred stocks for all periods presented.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Concentration Risk</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Although the Company’s contracts with its vendors are not exclusive, the Company currently uses sole source providers for core materials used in its clinical trials.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 This ASU includes amendments that further enhance income tax disclosures, primarily through standardization and disaggregation of rate reconciliation categories and income taxes paid by jurisdiction. The Company adopted this ASU prospectively as of January 1, 2025, and the impact is included in the consolidated financial statements and related disclosures.</w:t>
      </w:r>
    </w:p>
    <w:p>
      <w:pPr>
        <w:spacing w:after="0" w:line="72"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(Topic 220): Reporting Comprehensive Income - Expense Disaggregation Disclosures,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the annual period starting on January 1, 2027 and interim periods starting on January 1, 2028. The Company is in the process of analyzing the impact that the adoption of ASU 2024-03 will have on its disclosures.</w:t>
      </w:r>
    </w:p>
    <w:p>
      <w:pPr>
        <w:spacing w:after="0" w:line="395"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72"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Valuations derived from valuation techniques in which one or more significant inputs are unobservable in active markets.</w:t>
      </w:r>
    </w:p>
    <w:p>
      <w:pPr>
        <w:spacing w:after="0" w:line="239"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The Company has investments in money market accounts, which are included in cash and cash equivalents on the balance sheets. Certain treasury bills are also considered cash equivalents if their maturities are three months or less at the time of purchase. Fair value inputs for these investments are considered Level 1 measurements within the fair value hierarchy since money market account and treasury bill fair values are known and observable through daily published floating net asset values. The Company obtains the fair value of its Level 2 financial instruments from third-party pricing services. The pricing services utilize industry standard valuation models whereby all significant inputs are observable. The Company validates the prices provided by the third-party pricing services by reviewing their pricing methods and matrices and obtaining market values from other pricing sources. The Company did not adjust or override any fair value measurements as of December 31, 2025 or December 31, 2024. The Company does not have any investments classified as Level 3 and no investment transferred between classification levels during the year ended December 31, 2025.</w:t>
      </w:r>
    </w:p>
    <w:p>
      <w:pPr>
        <w:spacing w:after="0" w:line="80"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fair value hierarchy for its financial assets measured at fair value on a recurring basis as of December 31, 2025 and 2024, respectively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Treasury bills</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bills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Government agency bonds</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Treasury bills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3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Government agency bonds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Money market</w:t>
            </w: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investments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-2459355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-2459355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-2459355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-2459355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-1782445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-1782445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-1782445</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-1782445</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-830580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-814070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-830580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-814070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-830580</wp:posOffset>
            </wp:positionV>
            <wp:extent cx="6032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-814070</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-830580</wp:posOffset>
            </wp:positionV>
            <wp:extent cx="596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-814070</wp:posOffset>
            </wp:positionV>
            <wp:extent cx="596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-162560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-162560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603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-162560</wp:posOffset>
            </wp:positionV>
            <wp:extent cx="596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Liabilities recorded at fair value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119"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convertible notes (consisting of funding notes and exchange notes) issued on February 13, 2025 at fair value as of the issuance date and immediately before their settlement date of March 4, 2025. The convertible notes are valued using the binomial lattice model with the following key level 3 inputs: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- 4.28%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26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following table provides a roll forward of the fair value of the convertible notes during the year ended December 31, 2025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Funding Notes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Exchange Notes</w:t>
            </w:r>
          </w:p>
        </w:tc>
        <w:tc>
          <w:tcPr>
            <w:tcW w:w="100" w:type="dxa"/>
            <w:vAlign w:val="bottom"/>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2200" w:type="dxa"/>
            <w:vAlign w:val="bottom"/>
            <w:gridSpan w:val="2"/>
            <w:shd w:val="clear" w:color="auto" w:fill="CFF0FC"/>
          </w:tcPr>
          <w:p>
            <w:pPr>
              <w:ind w:left="19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(3,512)</w:t>
            </w:r>
          </w:p>
        </w:tc>
      </w:tr>
      <w:tr>
        <w:trPr>
          <w:trHeight w:val="20"/>
        </w:trPr>
        <w:tc>
          <w:tcPr>
            <w:tcW w:w="4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2200" w:type="dxa"/>
            <w:vAlign w:val="bottom"/>
            <w:gridSpan w:val="2"/>
            <w:shd w:val="clear" w:color="auto" w:fill="CFF0FC"/>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-24765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-7620</wp:posOffset>
            </wp:positionV>
            <wp:extent cx="603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-7620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Company issued March 2025 Series A and March 2025 Series B common stock warrants in connection with the March 2025 Private Placement. The March 2025 Series A and March 2025 Series B common stock warrants are accounted for as liabilities at fair value at issuance date, and immediately prior to their extinguishment and modification, respectively, on June 17, 2025. The March 2025 Series A common stock warrants were valued using the Monte Carlo simulation, with the following key level 3 inputs: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2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At modification and</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extinguishment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3.98%</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123.7%</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March 2025 Series B Warrants were valued immediately prior to exercise, using the Monte Carlo simulation with the following inputs for the exercises that occurred before the modification on June 17, 2025:</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21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At exercise</w:t>
            </w:r>
          </w:p>
        </w:tc>
      </w:tr>
      <w:tr>
        <w:trPr>
          <w:trHeight w:val="209"/>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 - 4.06%</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4.9 - 5.0</w:t>
            </w:r>
          </w:p>
        </w:tc>
      </w:tr>
      <w:tr>
        <w:trPr>
          <w:trHeight w:val="216"/>
        </w:trPr>
        <w:tc>
          <w:tcPr>
            <w:tcW w:w="8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 - 135.8%</w:t>
            </w:r>
          </w:p>
        </w:tc>
      </w:tr>
    </w:tbl>
    <w:p>
      <w:pPr>
        <w:spacing w:after="0" w:line="306"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In addition, the February 2025 Warrants issued in connection with the Funding Notes were required to be classified as liabilities and recorded at fair value. The Company estimated the fair value of the February 2025 Warrants using the Black Scholes model at issuance as of February 13, 2025 and as of their redemption date of March 4, 2025, using the following level 3 inputs: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At issuance</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At settlement</w:t>
            </w:r>
          </w:p>
        </w:tc>
        <w:tc>
          <w:tcPr>
            <w:tcW w:w="180" w:type="dxa"/>
            <w:vAlign w:val="bottom"/>
          </w:tcPr>
          <w:p>
            <w:pPr>
              <w:spacing w:after="0"/>
              <w:rPr>
                <w:sz w:val="15"/>
                <w:szCs w:val="15"/>
                <w:color w:val="auto"/>
              </w:rPr>
            </w:pPr>
          </w:p>
        </w:tc>
      </w:tr>
      <w:tr>
        <w:trPr>
          <w:trHeight w:val="209"/>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(years)</w:t>
            </w:r>
          </w:p>
        </w:tc>
        <w:tc>
          <w:tcPr>
            <w:tcW w:w="2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r>
      <w:tr>
        <w:trPr>
          <w:trHeight w:val="216"/>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2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r>
      <w:tr>
        <w:trPr>
          <w:trHeight w:val="234"/>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362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tcPr>
          <w:p>
            <w:pPr>
              <w:spacing w:after="0"/>
              <w:rPr>
                <w:sz w:val="20"/>
                <w:szCs w:val="20"/>
                <w:color w:val="auto"/>
              </w:rPr>
            </w:pPr>
          </w:p>
        </w:tc>
      </w:tr>
    </w:tbl>
    <w:p>
      <w:pPr>
        <w:spacing w:after="0" w:line="28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table below provides a summary of the fair value of the Company’s warrant liability during year ended December 31, 2024 (in thousands):</w:t>
      </w:r>
    </w:p>
    <w:p>
      <w:pPr>
        <w:spacing w:after="0" w:line="314"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 December</w:t>
            </w:r>
          </w:p>
        </w:tc>
        <w:tc>
          <w:tcPr>
            <w:tcW w:w="0" w:type="dxa"/>
            <w:vAlign w:val="bottom"/>
          </w:tcPr>
          <w:p>
            <w:pPr>
              <w:spacing w:after="0"/>
              <w:rPr>
                <w:sz w:val="1"/>
                <w:szCs w:val="1"/>
                <w:color w:val="auto"/>
              </w:rPr>
            </w:pPr>
          </w:p>
        </w:tc>
      </w:tr>
      <w:tr>
        <w:trPr>
          <w:trHeight w:val="190"/>
        </w:trPr>
        <w:tc>
          <w:tcPr>
            <w:tcW w:w="7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 liability</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31, 2024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8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2024</w:t>
            </w:r>
          </w:p>
        </w:tc>
        <w:tc>
          <w:tcPr>
            <w:tcW w:w="6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66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fair value of liability classified common stock warrants during the year ended December 31, 2025 (in thousands):</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February 2025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12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2025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 as of January 1, 2025</w:t>
            </w:r>
          </w:p>
        </w:tc>
        <w:tc>
          <w:tcPr>
            <w:tcW w:w="1380" w:type="dxa"/>
            <w:vAlign w:val="bottom"/>
            <w:gridSpan w:val="2"/>
            <w:shd w:val="clear" w:color="auto" w:fill="CFF0FC"/>
          </w:tcPr>
          <w:p>
            <w:pPr>
              <w:ind w:left="1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Settlement</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Modification and extinguishment</w:t>
            </w: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(6,801)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balance as of December 31, 2025</w:t>
            </w: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596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596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5969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-24765</wp:posOffset>
            </wp:positionV>
            <wp:extent cx="596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Investor Liability Pursuant to Letter Agreement and Support Letters</w:t>
      </w:r>
    </w:p>
    <w:p>
      <w:pPr>
        <w:spacing w:after="0" w:line="119"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repayment obligation owed to certain March 2025 Private Placement Purchasers pursuant to the amended Letter Agreement and Support Letters is accounted for at fair value as a financial liability in accordance with ASC 480. The Company measures the fair value of the repayment obligation using Level 3 inputs. As of December 31, 2025, the Company had a liability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spacing w:after="0" w:line="282" w:lineRule="auto"/>
        <w:rPr>
          <w:sz w:val="20"/>
          <w:szCs w:val="20"/>
          <w:color w:val="auto"/>
        </w:rPr>
      </w:pPr>
      <w:r>
        <w:rPr>
          <w:rFonts w:ascii="Times New Roman" w:cs="Times New Roman" w:eastAsia="Times New Roman" w:hAnsi="Times New Roman"/>
          <w:sz w:val="18"/>
          <w:szCs w:val="18"/>
          <w:color w:val="auto"/>
        </w:rPr>
        <w:t>of approximately $4.5 million on its consolidated balance sheet related to this repayment obligation. Refer to Note 15 Stockholders’ Equity for further details.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Nonfinancial Assets and Liabilities</w:t>
      </w:r>
    </w:p>
    <w:p>
      <w:pPr>
        <w:spacing w:after="0" w:line="121"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applies fair value techniques on a non-recurring basis, if and when necessary, associated with: (1) valuing potential impairment losses related to goodwill and intangible assets which are accounted for pursuant to the authoritative guidance for intangibles—goodwill and other; and (2) valuing potential impairment losses related to long-lived assets which are accounted for pursuant to the authoritative guidance for property, plant and equipment. There was no impairment related to long lived assets, intangible assets, or goodwill during the years ended December 31, 2025 or 2024.</w:t>
      </w:r>
    </w:p>
    <w:p>
      <w:pPr>
        <w:spacing w:after="0" w:line="287" w:lineRule="exact"/>
        <w:rPr>
          <w:sz w:val="20"/>
          <w:szCs w:val="20"/>
          <w:color w:val="auto"/>
        </w:rPr>
      </w:pPr>
    </w:p>
    <w:p>
      <w:pPr>
        <w:ind w:left="420" w:hanging="412"/>
        <w:spacing w:after="0"/>
        <w:tabs>
          <w:tab w:leader="none" w:pos="4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classified short-term investments as available-for-sale securities, as the sale of such investments may be required prior to maturity to facilitate the execution of management strategies. During the year ended December 31, 2025, the unrealized gain on the Company's available-for-sale securities was immaterial, and not presented separately in the consolidated statements of operations.</w:t>
      </w:r>
    </w:p>
    <w:p>
      <w:pPr>
        <w:spacing w:after="0" w:line="68"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classified all investments with maturities longer than three months from the date of purchase as short-term investments in the consolidated balance sheets, reflecting its intent and ability to use these assets to meet the liquidity requirements of current operations. The following table summarizes contractual maturities of available-for-sale securities as of December 31, 2025 (in thousands):</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840" w:type="dxa"/>
            <w:vAlign w:val="bottom"/>
            <w:gridSpan w:val="2"/>
            <w:shd w:val="clear" w:color="auto" w:fill="CFF0FC"/>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1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Investments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84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-170815</wp:posOffset>
            </wp:positionV>
            <wp:extent cx="603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-170815</wp:posOffset>
            </wp:positionV>
            <wp:extent cx="596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21"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or if-converted method, as applicable. The Pre-Funded Warrants were included in the weighted average shares outstanding calculation (as of the beginning of the period or the date of the grant, whichever was earlier) for basic and dilutive earnings per share given their nominal exercise price.</w:t>
      </w:r>
    </w:p>
    <w:p>
      <w:pPr>
        <w:spacing w:after="0" w:line="7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March 2025 Series A Warrants and March 2025 Series B Warrants (and for the period in which the February 2025 Warrants, Funding Notes, and Exchange Notes, were outstanding) were participating securities because holders of such instruments would participate in the event a dividend is paid on common stock, however such holders did not have a contractual obligation to share in the Company’s losses. As such, losses were attributed entirely to common stockholders.</w:t>
      </w:r>
    </w:p>
    <w:p>
      <w:pPr>
        <w:spacing w:after="0" w:line="72"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common stock for the periods indicated, in thousands except share and per share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434"/>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7"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 of common stock calculation:</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(22,386)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77,804,612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6,640,251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 basic</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77,804,612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7,700,774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 diluted</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-1005205</wp:posOffset>
            </wp:positionV>
            <wp:extent cx="514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-1005205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75"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following table provides a summary of instruments where underlying shares issuable upon exercise or conversion were excluded from the diluted loss per share calculation for the periods presented because their effect would be anti-dilutive. Additionally, the shares underlying the February 2025 Warrants, Funding Notes and Exchange Notes, each outstanding during the year ended December 31, 2025, were excluded from diluted loss per share as their effect would be anti-dilutive.</w:t>
      </w:r>
    </w:p>
    <w:p>
      <w:pPr>
        <w:spacing w:after="0" w:line="308"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3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55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r>
      <w:tr>
        <w:trPr>
          <w:trHeight w:val="214"/>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11,646,927</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8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2,637,588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28,190</w:t>
            </w:r>
          </w:p>
        </w:tc>
        <w:tc>
          <w:tcPr>
            <w:tcW w:w="8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3,141,993</w:t>
            </w:r>
          </w:p>
        </w:tc>
        <w:tc>
          <w:tcPr>
            <w:tcW w:w="1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7,183,064</w:t>
            </w:r>
          </w:p>
        </w:tc>
        <w:tc>
          <w:tcPr>
            <w:tcW w:w="80" w:type="dxa"/>
            <w:vAlign w:val="bottom"/>
          </w:tcPr>
          <w:p>
            <w:pPr>
              <w:spacing w:after="0"/>
              <w:rPr>
                <w:sz w:val="18"/>
                <w:szCs w:val="18"/>
                <w:color w:val="auto"/>
              </w:rPr>
            </w:pPr>
          </w:p>
        </w:tc>
      </w:tr>
      <w:tr>
        <w:trPr>
          <w:trHeight w:val="250"/>
        </w:trPr>
        <w:tc>
          <w:tcPr>
            <w:tcW w:w="5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17,454,698</w:t>
            </w:r>
          </w:p>
        </w:tc>
        <w:tc>
          <w:tcPr>
            <w:tcW w:w="1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7,809,794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431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520" w:right="6640" w:hanging="512"/>
        <w:spacing w:after="0" w:line="385" w:lineRule="auto"/>
        <w:tabs>
          <w:tab w:leader="none" w:pos="461"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Certain Financial Statement Captions Other Current Assets</w:t>
      </w:r>
    </w:p>
    <w:p>
      <w:pPr>
        <w:spacing w:after="0" w:line="1" w:lineRule="exact"/>
        <w:rPr>
          <w:rFonts w:ascii="Times New Roman" w:cs="Times New Roman" w:eastAsia="Times New Roman" w:hAnsi="Times New Roman"/>
          <w:sz w:val="18"/>
          <w:szCs w:val="18"/>
          <w:b w:val="1"/>
          <w:bCs w:val="1"/>
          <w:color w:val="auto"/>
        </w:rPr>
      </w:pPr>
    </w:p>
    <w:p>
      <w:pPr>
        <w:ind w:left="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2025 and 2024, other current assets were comprised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services</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costs (Note 7)</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1,734</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2025 and 2024, property and equipment, net, were comprised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1,782</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1,778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1,810</w:t>
            </w:r>
          </w:p>
        </w:tc>
        <w:tc>
          <w:tcPr>
            <w:tcW w:w="3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1,810</w:t>
            </w: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3,592</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3,588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(3,335)</w:t>
            </w:r>
          </w:p>
        </w:tc>
        <w:tc>
          <w:tcPr>
            <w:tcW w:w="3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r>
      <w:tr>
        <w:trPr>
          <w:trHeight w:val="20"/>
        </w:trPr>
        <w:tc>
          <w:tcPr>
            <w:tcW w:w="5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257</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448</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431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431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Depreciation expense totaled $0.2 million and $0.6 million for each of the years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As of December 31, 2025, intangible assets included the net book value of costs incurred for the purchase of Biocept intellectual properties (Note 12) and software upgrades. Amortization expenses totaled $0.1 million for each of the years ended December 31, 2025 and 2024.</w:t>
      </w:r>
    </w:p>
    <w:p>
      <w:pPr>
        <w:spacing w:after="0" w:line="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2025 intangible assets, net, were comprised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720" w:type="dxa"/>
            <w:vAlign w:val="bottom"/>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7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7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49"/>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720" w:type="dxa"/>
            <w:vAlign w:val="bottom"/>
            <w:tcBorders>
              <w:top w:val="single" w:sz="8" w:color="auto"/>
              <w:bottom w:val="single" w:sz="8" w:color="auto"/>
            </w:tcBorders>
            <w:shd w:val="clear" w:color="auto" w:fill="CFF0FC"/>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2025, future amortization expense on intangible assets is estimated to be as follows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future amortization expense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2025 and 2024, accounts payable and accrued expenses were comprised of the following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3,276</w:t>
            </w:r>
          </w:p>
        </w:tc>
        <w:tc>
          <w:tcPr>
            <w:tcW w:w="5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9,474</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bonus</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compensation</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studies</w:t>
            </w:r>
          </w:p>
        </w:tc>
        <w:tc>
          <w:tcPr>
            <w:tcW w:w="70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7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7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70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5,920</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8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-170815</wp:posOffset>
            </wp:positionV>
            <wp:extent cx="431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ind w:left="520" w:right="8280" w:hanging="512"/>
        <w:spacing w:after="0" w:line="378" w:lineRule="auto"/>
        <w:tabs>
          <w:tab w:leader="none" w:pos="416"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Leases</w:t>
      </w: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the lease term when it is reasonably certain that the Company will exercise such options.</w:t>
      </w:r>
    </w:p>
    <w:p>
      <w:pPr>
        <w:spacing w:after="0" w:line="75"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Company records lease liabilities within current liabilities or long-term liabilities based upon the length of time associated with the lease payments. The Company records its operating lease right-of-use assets as long-term assets. Leases with an initial term of 12 months or less are not recorded on the balance sheets. Instead, the Company recognizes lease expense for these leases on a straight-line basis over the lease term in the statements of operations.</w:t>
      </w:r>
    </w:p>
    <w:p>
      <w:pPr>
        <w:spacing w:after="0" w:line="72"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spacing w:after="0" w:line="68"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On October 16, 2025, the Company entered into a lease (the “Houston Lease”) with LG 1 Property Owner LP, pursuant to which the Company agreed to lease approximately 11,370 rentable square feet of space located at 6420 Levit Green Boulevard, Houston, Texas 77021. The Houston Lease is expected to commence on or about November 1, 2026. The Houston Lease provides for a monthly base rent of $58,745, which increases annually by approximately 3%, plus the Company’s share of the building’s direct expenses. The Houston Lease has an initial term of 120 calendar months. While the premises under the Houston Lease is constructed and designed to fit the Company's business needs and intended purpose, the Company leased temporary space of approximately 11,370 rentable square feet (separate from the premises under the Houston Lease) for a monthly base rent of $58,745. The Company expects to be in the temporary space until leasehold improvements are completed. The Company recognizes lease expense for the short-term temporary space on a straight-line basis over the expected lease term. The deferred rent balance of $159,000 representing the difference between the cash payments made and the straight-line lease expense is recorded to "Other liabilities" on the consolidated balance sheets.</w:t>
      </w:r>
    </w:p>
    <w:p>
      <w:pPr>
        <w:spacing w:after="0" w:line="86" w:lineRule="exact"/>
        <w:rPr>
          <w:sz w:val="20"/>
          <w:szCs w:val="20"/>
          <w:color w:val="auto"/>
        </w:rPr>
      </w:pP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Company’s future minimum annual lease payments under the Houston Lease, including the temporary space, at December 31, 2025 are as follows (in thousands):</w:t>
      </w:r>
    </w:p>
    <w:p>
      <w:pPr>
        <w:spacing w:after="0" w:line="74"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Houston Lease</w:t>
            </w:r>
          </w:p>
        </w:tc>
      </w:tr>
      <w:tr>
        <w:trPr>
          <w:trHeight w:val="214"/>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shd w:val="clear" w:color="auto" w:fill="CFF0FC"/>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18"/>
                <w:szCs w:val="18"/>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FF0FC"/>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Pr>
          <w:p>
            <w:pPr>
              <w:spacing w:after="0"/>
              <w:rPr>
                <w:sz w:val="18"/>
                <w:szCs w:val="18"/>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FF0FC"/>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8"/>
                <w:szCs w:val="18"/>
                <w:color w:val="auto"/>
              </w:rPr>
            </w:pPr>
          </w:p>
        </w:tc>
      </w:tr>
      <w:tr>
        <w:trPr>
          <w:trHeight w:val="236"/>
        </w:trPr>
        <w:tc>
          <w:tcPr>
            <w:tcW w:w="64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1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Company leases certain office space in Charlottesville, Virginia (the “Charlottesville Lease”). The Charlottesville Lease expires on March 31, 2027.</w:t>
      </w:r>
    </w:p>
    <w:p>
      <w:pPr>
        <w:spacing w:after="0" w:line="54"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Company’s operating lease liabilities and corresponding right-of-use assets are included in the balance sheets. As of December 31, 2025, the weighted average discount rate used to measure operating lease liabilities and the operating leases remaining term were 12.7% and 1.25 years, respectively.</w:t>
      </w:r>
    </w:p>
    <w:p>
      <w:pPr>
        <w:spacing w:after="0" w:line="68"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operating lease costs from its statements of operations, and cash payments from its statements of cash flows (in thousands).</w:t>
      </w: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expense:</w:t>
            </w: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lease expense</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payment information: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cash used for operating leases</w:t>
            </w:r>
          </w:p>
        </w:tc>
        <w:tc>
          <w:tcPr>
            <w:tcW w:w="280" w:type="dxa"/>
            <w:vAlign w:val="bottom"/>
            <w:shd w:val="clear" w:color="auto" w:fill="CFF0FC"/>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Total cash paid for amounts included in the measurement of lease liabilities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-590550</wp:posOffset>
            </wp:positionV>
            <wp:extent cx="514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-574040</wp:posOffset>
            </wp:positionV>
            <wp:extent cx="514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-590550</wp:posOffset>
            </wp:positionV>
            <wp:extent cx="514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-574040</wp:posOffset>
            </wp:positionV>
            <wp:extent cx="514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-162560</wp:posOffset>
            </wp:positionV>
            <wp:extent cx="5143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-162560</wp:posOffset>
            </wp:positionV>
            <wp:extent cx="514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86" w:lineRule="exact"/>
        <w:rPr>
          <w:sz w:val="20"/>
          <w:szCs w:val="20"/>
          <w:color w:val="auto"/>
        </w:rPr>
      </w:pPr>
    </w:p>
    <w:p>
      <w:pPr>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Total rent expenses for each of the years ended December 31, 2025 and 2024 was $0.4 million and $0.2 million, respectively, which includes leases in the table above, month-to-month operating leases, and common area maintenance charges.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future minimum annual lease payments under operating leases at December 31, 2025 are as follows (in thousands):</w:t>
      </w:r>
    </w:p>
    <w:p>
      <w:pPr>
        <w:spacing w:after="0" w:line="354" w:lineRule="exact"/>
        <w:rPr>
          <w:sz w:val="20"/>
          <w:szCs w:val="20"/>
          <w:color w:val="auto"/>
        </w:rPr>
      </w:pPr>
    </w:p>
    <w:tbl>
      <w:tblPr>
        <w:tblLayout w:type="fixed"/>
        <w:tblInd w:w="17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8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7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obligations under leases</w:t>
            </w:r>
          </w:p>
        </w:tc>
        <w:tc>
          <w:tcPr>
            <w:tcW w:w="17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lease obligations</w:t>
            </w:r>
          </w:p>
        </w:tc>
        <w:tc>
          <w:tcPr>
            <w:tcW w:w="17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-591185</wp:posOffset>
            </wp:positionV>
            <wp:extent cx="5143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-299720</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Agreement with SpectronRX</w:t>
      </w:r>
    </w:p>
    <w:p>
      <w:pPr>
        <w:spacing w:after="0" w:line="119"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On November 5, 2024, the Company entered into a manufacturing services agreement with SpectronRx for drug product development and manufacturing, which includes an initial commitment fee of $0.3 million. Under this agreement, the Company will own all rights to intellectual property related to the products developed, while SpectronRx retains rights to its own technology. SpectronRx is required to negotiate a commercial supply agreement upon six months' written notice before the Company's first commercial manufacturing needs. The agreement will remain in place for five years, automatically renewing for successive one-year terms unless terminated with six months' notice. During the year ended December 31, 2025 and 2024, the Company did not recognize any expenses related to this agreement.</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December 31, 2025, the Company did not have any clinical research study obligations.</w:t>
      </w:r>
    </w:p>
    <w:p>
      <w:pPr>
        <w:spacing w:after="0" w:line="75"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 has entered into service and subscription-based agreements, which are recorded in accounts payable and accrued expenses, with an offsetting amount included in deferred costs within other current assets (see Note 6).</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4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280" w:lineRule="exact"/>
        <w:rPr>
          <w:sz w:val="20"/>
          <w:szCs w:val="20"/>
          <w:color w:val="auto"/>
        </w:rPr>
      </w:pPr>
    </w:p>
    <w:p>
      <w:pPr>
        <w:ind w:left="420" w:hanging="412"/>
        <w:spacing w:after="0"/>
        <w:tabs>
          <w:tab w:leader="none" w:pos="4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UT Health Science Center at San Antonio (“UTHSCSA”) License Agreement</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On December 31, 2021, the Company entered into a Patent and Know-How License Agreement (the “UTHSCSA License Agreement”) with UTHSCSA, pursuant to which UTHSCSA granted the Company an irrevocable, perpetual, exclusive, fully paid-up license, with the right to sublicense and to make, develop, commercialize and otherwise exploit certain patents, know-how and technology related to the development of biodegradable alginate microspheres containing nanoliposomes loaded with imaging and/or therapeutic payloads.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NanoTx License Agreement</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72"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transaction terms included an upfront payment of $0.4 million in cash and $0.3 million in the Company's voting stock. The transaction terms also included success-based milestone and royalty payments contingent on key clinical, regulatory and sales milestones, as well as the requirement to pay 15% of any non-dilutive monetary awards or grants received from external agencies to support product development of the nanoliposome encapsulated BMEDA-chelated radioisotope, which includes grants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from the Cancer Prevention &amp; Research Institute of Texas ("CPRIT"). As of December 31, 2025, there were no accrued payments due to NanoTx as a result of the CPRIT grant received (Note 11).</w:t>
      </w:r>
    </w:p>
    <w:p>
      <w:pPr>
        <w:spacing w:after="0" w:line="158" w:lineRule="exact"/>
        <w:rPr>
          <w:sz w:val="20"/>
          <w:szCs w:val="20"/>
          <w:color w:val="auto"/>
        </w:rPr>
      </w:pPr>
    </w:p>
    <w:p>
      <w:pPr>
        <w:ind w:left="360" w:hanging="352"/>
        <w:spacing w:after="0"/>
        <w:tabs>
          <w:tab w:leader="none" w:pos="36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 Obligations</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w:t>
      </w:r>
    </w:p>
    <w:p>
      <w:pPr>
        <w:spacing w:after="0" w:line="68"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Pursuant to the Loan and Security Agreement, as amended, the Company made interest only payments through May 1, 2021, and thereafter was required to make payments of principal and accrued interest in equal monthly installments sufficient to amortize the Term Loan through June 1, 2024, the maturity date. On June 3, 2024, the Company paid off the Term Loan by making a final payment in an aggregate amount equal to approximately $3.3 million</w:t>
      </w:r>
      <w:r>
        <w:rPr>
          <w:rFonts w:ascii="Times New Roman" w:cs="Times New Roman" w:eastAsia="Times New Roman" w:hAnsi="Times New Roman"/>
          <w:sz w:val="18"/>
          <w:szCs w:val="18"/>
          <w:color w:val="231F20"/>
        </w:rPr>
        <w:t>, which included both the balance of outstanding principal and interest and the final payment fee due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The repayment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full of the Term Loan terminated Oxford’s security interest in the </w:t>
      </w:r>
      <w:r>
        <w:rPr>
          <w:rFonts w:ascii="Times New Roman" w:cs="Times New Roman" w:eastAsia="Times New Roman" w:hAnsi="Times New Roman"/>
          <w:sz w:val="18"/>
          <w:szCs w:val="18"/>
          <w:color w:val="000000"/>
        </w:rPr>
        <w:t>Company’s</w:t>
      </w:r>
      <w:r>
        <w:rPr>
          <w:rFonts w:ascii="Times New Roman" w:cs="Times New Roman" w:eastAsia="Times New Roman" w:hAnsi="Times New Roman"/>
          <w:sz w:val="18"/>
          <w:szCs w:val="18"/>
          <w:color w:val="231F20"/>
        </w:rPr>
        <w:t xml:space="preserve"> existing and after-acquired assets, as well as all other restrictions and covenants under the Term Loan.</w:t>
      </w:r>
    </w:p>
    <w:p>
      <w:pPr>
        <w:spacing w:after="0" w:line="291"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 Facility</w:t>
      </w:r>
    </w:p>
    <w:p>
      <w:pPr>
        <w:spacing w:after="0" w:line="12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231F20"/>
        </w:rPr>
        <w:t xml:space="preserve">On May 31, 2024, the Company drew down $3.3 million on a margin loan facility under a line of credit (the “Pershing Credit Facility”) with Pershing LLC (“Pershing”), an affiliate of The Bank of New York Mellon Corporation. </w:t>
      </w:r>
      <w:r>
        <w:rPr>
          <w:rFonts w:ascii="Times New Roman" w:cs="Times New Roman" w:eastAsia="Times New Roman" w:hAnsi="Times New Roman"/>
          <w:sz w:val="18"/>
          <w:szCs w:val="18"/>
          <w:color w:val="000000"/>
        </w:rPr>
        <w:t>On January 3, 2025, the Pershing Credit Facility was fully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repaid and the collateralized marketable securities were fully redeemed. </w:t>
      </w:r>
      <w:r>
        <w:rPr>
          <w:rFonts w:ascii="Times New Roman" w:cs="Times New Roman" w:eastAsia="Times New Roman" w:hAnsi="Times New Roman"/>
          <w:sz w:val="18"/>
          <w:szCs w:val="18"/>
          <w:color w:val="231F20"/>
        </w:rPr>
        <w:t>On December 22, 2025, the Company drew down $0.8 million under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Pershing Credit Facility.</w:t>
      </w:r>
    </w:p>
    <w:p>
      <w:pPr>
        <w:spacing w:after="0" w:line="72"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231F20"/>
        </w:rPr>
        <w:t>The available credit line limit under the Pershing Credit Facility fluctuates based on the Company’s request for extensions from time to time, subject to the value of the collateralized marketable securities the Company holds with Pershing, provided that the amount available to draw under the Pershing Credit Facility cannot exceed 91.5% of the value of the collateralized marketable securities deposited with Pershing. Depending on the value of the marketable securities the Company held with Pershing, Pershing could require the Company from time-to-time to deposit additional funds or marketable securities in order to restore the level of collateral to an acceptable level. The amounts borrowed under the Pershing Credit Facility are due on demand.</w:t>
      </w:r>
    </w:p>
    <w:p>
      <w:pPr>
        <w:spacing w:after="0" w:line="79"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231F20"/>
        </w:rPr>
        <w:t>Borrowings under the Pershing Credit Facility bear interest at the target interest rate set by the Federal Open Market Committee, subject to a floor of 5.5%, plus a spread of 1.75% and applicable fees of 0.5%, subject to a maximum interest rate of the then applicable Prime Rate as published in The Wall Street Journal plus 3.0%. Interest payments thereunder are calculated on a monthly basis and, unless paid, are added to the outstanding balance under the Pershing Credit Facility. The proceeds under the Pershing Credit Facility are available for working capital needs and other general corporate purposes. Volatility in the global markets could cause the interest rate to fluctuate from time to time increasing the Company’s costs, or could cause Pershing to terminate the Company’s ability to borrow funds. In addition, borrowings under the Pershing Credit Facility have the effect of limiting the Company’s use of cash and marketable securities.</w:t>
      </w:r>
    </w:p>
    <w:p>
      <w:pPr>
        <w:spacing w:after="0" w:line="8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231F20"/>
        </w:rPr>
        <w:t>As of December 31, 2025 and 2024, the Company held collateralized marketable securities with Pershing with a total value of $0.8 million and $3.5 million, respectively.</w:t>
      </w:r>
    </w:p>
    <w:p>
      <w:pPr>
        <w:spacing w:after="0" w:line="266" w:lineRule="exact"/>
        <w:rPr>
          <w:sz w:val="20"/>
          <w:szCs w:val="20"/>
          <w:color w:val="auto"/>
        </w:rPr>
      </w:pPr>
    </w:p>
    <w:p>
      <w:pPr>
        <w:ind w:left="520" w:right="9600" w:hanging="512"/>
        <w:spacing w:after="0" w:line="378" w:lineRule="auto"/>
        <w:tabs>
          <w:tab w:leader="none" w:pos="461"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Grant Revenue </w:t>
      </w:r>
      <w:r>
        <w:rPr>
          <w:rFonts w:ascii="Times New Roman" w:cs="Times New Roman" w:eastAsia="Times New Roman" w:hAnsi="Times New Roman"/>
          <w:sz w:val="18"/>
          <w:szCs w:val="18"/>
          <w:i w:val="1"/>
          <w:iCs w:val="1"/>
          <w:color w:val="auto"/>
        </w:rPr>
        <w:t>CPRIT Grant</w:t>
      </w:r>
    </w:p>
    <w:p>
      <w:pPr>
        <w:jc w:val="both"/>
        <w:ind w:left="520" w:firstLine="299"/>
        <w:spacing w:after="0" w:line="235" w:lineRule="auto"/>
        <w:rPr>
          <w:sz w:val="20"/>
          <w:szCs w:val="20"/>
          <w:color w:val="auto"/>
        </w:rPr>
      </w:pPr>
      <w:r>
        <w:rPr>
          <w:rFonts w:ascii="Times New Roman" w:cs="Times New Roman" w:eastAsia="Times New Roman" w:hAnsi="Times New Roman"/>
          <w:sz w:val="18"/>
          <w:szCs w:val="18"/>
          <w:color w:val="auto"/>
        </w:rPr>
        <w:t xml:space="preserve">On September 19, 2022, the Company entered into that certain </w:t>
      </w:r>
      <w:r>
        <w:rPr>
          <w:rFonts w:ascii="Times New Roman" w:cs="Times New Roman" w:eastAsia="Times New Roman" w:hAnsi="Times New Roman"/>
          <w:sz w:val="18"/>
          <w:szCs w:val="18"/>
          <w:color w:val="231F20"/>
        </w:rPr>
        <w:t>Cancer Research Grant Contract (the “CPRIT Contract”), effective as of August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31, 2022, </w:t>
      </w:r>
      <w:r>
        <w:rPr>
          <w:rFonts w:ascii="Times New Roman" w:cs="Times New Roman" w:eastAsia="Times New Roman" w:hAnsi="Times New Roman"/>
          <w:sz w:val="18"/>
          <w:szCs w:val="18"/>
          <w:color w:val="000000"/>
        </w:rPr>
        <w:t>with the</w:t>
      </w:r>
      <w:r>
        <w:rPr>
          <w:rFonts w:ascii="Times New Roman" w:cs="Times New Roman" w:eastAsia="Times New Roman" w:hAnsi="Times New Roman"/>
          <w:sz w:val="18"/>
          <w:szCs w:val="18"/>
          <w:color w:val="231F20"/>
        </w:rPr>
        <w:t xml:space="preserve"> Cancer Prevention and Research Institute of Texas (“CPRIT”)</w:t>
      </w:r>
      <w:r>
        <w:rPr>
          <w:rFonts w:ascii="Times New Roman" w:cs="Times New Roman" w:eastAsia="Times New Roman" w:hAnsi="Times New Roman"/>
          <w:sz w:val="18"/>
          <w:szCs w:val="18"/>
          <w:color w:val="000000"/>
        </w:rPr>
        <w:t>, pursuant to which CPRIT provides the Company with a CPRIT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grant (“CPRIT Grant”) over a three-year period to fund the continued development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for the treatment of patients with leptomeningeal metastases. The CPRIT Grant is subject to customary CPRIT funding conditions, including, but not limited to, a matching fund requirement (one dollar for every two dollars awarded by CPRIT), revenue sharing obligations upon commercialization of rhenium (</w:t>
      </w:r>
      <w:r>
        <w:rPr>
          <w:rFonts w:ascii="Times New Roman" w:cs="Times New Roman" w:eastAsia="Times New Roman" w:hAnsi="Times New Roman"/>
          <w:sz w:val="24"/>
          <w:szCs w:val="24"/>
          <w:color w:val="000000"/>
          <w:vertAlign w:val="superscript"/>
        </w:rPr>
        <w:t>186</w:t>
      </w:r>
      <w:r>
        <w:rPr>
          <w:rFonts w:ascii="Times New Roman" w:cs="Times New Roman" w:eastAsia="Times New Roman" w:hAnsi="Times New Roman"/>
          <w:sz w:val="18"/>
          <w:szCs w:val="18"/>
          <w:color w:val="000000"/>
        </w:rPr>
        <w:t>Re) obisbemeda based on specific dollar thresholds and tiered low single digit royalty rates until CPRIT receives the aggregate amount of 400% of the proceeds awarded under the CPRIT Grant, and certain reporting requirements.</w:t>
      </w:r>
    </w:p>
    <w:p>
      <w:pPr>
        <w:spacing w:after="0" w:line="93"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CPRIT Contract will terminate on August 28, 2026,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 or if the Company relocates its principal place of business outside of the state of Texas during the CPRIT Contract term or within three years after the final payment of the grant funds.</w:t>
      </w:r>
    </w:p>
    <w:p>
      <w:pPr>
        <w:sectPr>
          <w:pgSz w:w="11900" w:h="16838" w:orient="portrait"/>
          <w:cols w:equalWidth="0" w:num="1">
            <w:col w:w="11240"/>
          </w:cols>
          <w:pgMar w:left="320" w:top="513"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retains ownership over any intellectual property developed under the CPRIT Contract (each, a “Project Result”). With respect to non-commercial use of any Project Result, the Company granted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75"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recognized $5.2 million and $5.8 million in grant revenue from the CPRIT Contract during the years ended December 31, 2025 and 2024, respectively. The grant revenue receivable balance related to the CPRIT Grant on the consolidated balance sheet as of December 31, 2025 and December 31, 2024 was $0.3 million and $0.6 million, respectively.</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Department of Defense Award</w:t>
      </w:r>
    </w:p>
    <w:p>
      <w:pPr>
        <w:spacing w:after="0" w:line="11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Effective September 1, 2024, the Company entered into an agreement with the Department of Defense office of the Congressionally Directed Medical Research Programs to receive a $3.0 million award for research and development purposes (“DoD Award”) over a three year period. The DoD Award will be used to support the planned expansion of the Company’s clinical trial for pediatric brain cancer. On October 4, 2024, the Company received its first payment under the DoD Award in the amount of $0.9 million, which was recorded as deferred grant liability as of December 31, 2025. As of December 31, 2025, no grant revenue was recognized related to the DoD Award.</w:t>
      </w:r>
    </w:p>
    <w:p>
      <w:pPr>
        <w:spacing w:after="0" w:line="287" w:lineRule="exact"/>
        <w:rPr>
          <w:sz w:val="20"/>
          <w:szCs w:val="20"/>
          <w:color w:val="auto"/>
        </w:rPr>
      </w:pPr>
    </w:p>
    <w:p>
      <w:pPr>
        <w:ind w:left="460" w:hanging="452"/>
        <w:spacing w:after="0"/>
        <w:tabs>
          <w:tab w:leader="none" w:pos="4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Biocept Asset Acquisitions</w:t>
      </w:r>
    </w:p>
    <w:p>
      <w:pPr>
        <w:spacing w:after="0" w:line="121"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On April 26, 2024, the Company, after having its bid accepted by the United States Bankruptcy Court for the District of Delaware, acquired from Biocept, for a total cash payment of $400,000, substantially all of the right, title and interest in a cerebrospinal fluid cancer diagnostic portfolio (the “CNSide Platform”), including (i) intellectual property, (ii) inventory and raw materials, and (iii) data, information, results and reports pertaining to the completed and on-going clinical studies involving the use of the CNSide Platform (including, but not limited to, the FORESEE clinical study that was being conducted by Biocept), related to the development, making, selling, and exporting or importing of the CNSide proprietary cell enumeration test (the “CNSide Test”).</w:t>
      </w:r>
    </w:p>
    <w:p>
      <w:pPr>
        <w:spacing w:after="0" w:line="7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acquisition of the Biocept assets was not a business combination, as Biocept did not meet the definition of a business in ASC 805, Business Combination. The Company accounted for the asset purchase transaction under the authoritative guidance for asset acquisitions, and allocated the costs of acquisitions of approximately $45,000 among the assets acquired based on the relative fair value of such assets, which is predominately concentrated in the intellectual property acquired including patents and trademarks. The intangible assets acquired from Biocept are capitalized and amortized over a useful life of four years.</w:t>
      </w:r>
    </w:p>
    <w:p>
      <w:pPr>
        <w:spacing w:after="0" w:line="71" w:lineRule="exact"/>
        <w:rPr>
          <w:sz w:val="20"/>
          <w:szCs w:val="20"/>
          <w:color w:val="auto"/>
        </w:rPr>
      </w:pPr>
    </w:p>
    <w:p>
      <w:pPr>
        <w:ind w:left="460" w:hanging="452"/>
        <w:spacing w:after="0"/>
        <w:tabs>
          <w:tab w:leader="none" w:pos="4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Pursuant to the Internal Revenue Code (“IRC”) of 1986, as amended, specifically IRC §382 (“Section 382”) and IRC §383, the Company’s ability to use net operating loss (“NOLs”) and R&amp;D tax credit carry forwards (“tax attribute carry forwards”) to offset future taxable income is limited if the Company experiences a cumulative change in ownership of more than 50% within a three-year testing period. The Company's use of federal and state NOLs and research credits could be limited further by the provisions of Section 382 depending upon the timing and amount of additional equity securities that the Company has issued or will issue. State NOL carryforwards may be similarly limited. If a change in ownership were to have occurred,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the Company’s effective tax rate.</w:t>
      </w:r>
    </w:p>
    <w:p>
      <w:pPr>
        <w:spacing w:after="0" w:line="84"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 has recorded a full valuation allowance against its net deferred tax assets and due to our net losses for the years ended December 31, 2025 and 2024, there was no provision or benefit for income taxes recorded.</w:t>
      </w:r>
    </w:p>
    <w:p>
      <w:pPr>
        <w:spacing w:after="0" w:line="54"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net loss before income tax provision for the years ended December 31, 2025 and 2024 (in thousands):</w:t>
      </w:r>
    </w:p>
    <w:p>
      <w:pPr>
        <w:spacing w:after="0" w:line="4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(22,386)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(12,978)</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(22,386)</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(12,978)</w:t>
            </w:r>
          </w:p>
        </w:tc>
      </w:tr>
      <w:tr>
        <w:trPr>
          <w:trHeight w:val="20"/>
        </w:trPr>
        <w:tc>
          <w:tcPr>
            <w:tcW w:w="5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5143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0"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In accordance with the updated disclosure requirements of ASU 2023-09 for the year ended December 31, 2025, the reconciliation of the income tax benefit at the U.S. federal statutory rate to the provision for income taxes is as follows (in thousands):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Pre-tax book income - worldwide: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(22,386)</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Tax at statutory rate:</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effect:(1)</w:t>
            </w: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 border tax laws</w:t>
            </w: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R&amp;D Credits</w:t>
            </w: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Permanent differences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FIN48</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0"/>
        </w:trPr>
        <w:tc>
          <w:tcPr>
            <w:tcW w:w="5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30"/>
        </w:trPr>
        <w:tc>
          <w:tcPr>
            <w:tcW w:w="5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-24765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51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-170815</wp:posOffset>
            </wp:positionV>
            <wp:extent cx="514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460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460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1460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4" w:lineRule="exact"/>
        <w:rPr>
          <w:sz w:val="20"/>
          <w:szCs w:val="20"/>
          <w:color w:val="auto"/>
        </w:rPr>
      </w:pPr>
    </w:p>
    <w:p>
      <w:pPr>
        <w:ind w:left="1020" w:hanging="503"/>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Texas state taxes comprised the majority (greater than 50 percent) of the tax effect in this category.</w:t>
      </w:r>
    </w:p>
    <w:p>
      <w:pPr>
        <w:spacing w:after="0" w:line="200" w:lineRule="exact"/>
        <w:rPr>
          <w:sz w:val="20"/>
          <w:szCs w:val="20"/>
          <w:color w:val="auto"/>
        </w:rPr>
      </w:pPr>
    </w:p>
    <w:p>
      <w:pPr>
        <w:spacing w:after="0" w:line="246"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 ended December 31, 2024 and prior to the adoption of ASU 2023-09, the reconciliation of income tax benefit at the U.S. federal statutory rate to the provision for income taxes is as follows:</w:t>
      </w:r>
    </w:p>
    <w:p>
      <w:pPr>
        <w:spacing w:after="0" w:line="37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state statutory rate</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NOLs expiring and adjustments to NOL</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credit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460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460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7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Income taxes paid, net of refunds received, for the year ended December 31, 2025 was negligible.</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our deferred tax assets and deferred tax liabilities as of</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December 31, 2025 and 2024 are as follows (in thousands):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19,275</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credit carryforwards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Capitalized R&amp;D</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25,925</w:t>
            </w:r>
          </w:p>
        </w:tc>
        <w:tc>
          <w:tcPr>
            <w:tcW w:w="20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(25,910)</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 tax assets, net of allowance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3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-599440</wp:posOffset>
            </wp:positionV>
            <wp:extent cx="514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-599440</wp:posOffset>
            </wp:positionV>
            <wp:extent cx="514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-316230</wp:posOffset>
            </wp:positionV>
            <wp:extent cx="514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-316230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514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Company has established a valuation allowance against its net deferred tax assets due to the uncertainty surrounding the realization of such assets. The Company periodically evaluates the recoverability of the deferred tax assets. At such time as it is determined that it is more likely than not that deferred tax assets are realizable, the valuation allowance will be reduced. The Company has recorded a full valuation allowance of $25.9 million as of December 31, 2025 as it does not believe it is more likely than not the net deferred tax assets will be realized. The Company increased its valuation allowance by approximately $3.3 million during the year ended December 31, 2025.</w:t>
      </w:r>
    </w:p>
    <w:p>
      <w:pPr>
        <w:spacing w:after="0" w:line="75"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At December 31, 2025, the Company had federal and state tax loss carry forwards of approximately $90.7 million and $4.8 million, respectively. The federal and state net operating loss carry forwards begin to expire in 2037 and 2044, if unused, respectively. The federal net operating loss carryover includes $87.3 million of net operating losses generated after 2017. Federal net operating losses generated from 2018 onwards carryover indefinitely and may generally be used to offset up to 80% of future taxable income. At December 31, 2025, the Company had federal tax credit carry forwards of approximately $2.3 million, before reduction for uncertain tax positions. The federal credits will begin to expire in 2039, if unused. In addition, at December 31, 2025, the Company had state tax credit carry forwards of approximately $0.4 million, before reduction for uncertain tax positions. The state credits will begin to expire in 2039, if unused.</w:t>
      </w:r>
    </w:p>
    <w:p>
      <w:pPr>
        <w:spacing w:after="0" w:line="81"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Company follows the provisions of income tax guidance which provides recognition criteria and a related measurement model for uncertain tax positions taken or expected to be taken in income tax returns. The guidance requires that a position taken or expected to be taken in a tax return be recognized in the financial statements when it is more likely than not that the position would be sustained upon examination by tax authorities. Tax positions that meet the more likely than not threshold are then measured using a probability weighted approach recognizing the largest amount of tax benefit that is greater than 50% likely of being realized upon ultimate settlement. The Company has not recognized any liability for uncertain tax positions as of December 31, 2025 and 2024.</w:t>
      </w:r>
    </w:p>
    <w:p>
      <w:pPr>
        <w:spacing w:after="0" w:line="79"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Following is a tabular reconciliation of the unrecognized tax benefits activity during the years ended December 31, 2025 and 2024 (in thousands):</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 Beginning</w:t>
            </w:r>
          </w:p>
        </w:tc>
        <w:tc>
          <w:tcPr>
            <w:tcW w:w="148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40" w:type="dxa"/>
            <w:vAlign w:val="bottom"/>
            <w:gridSpan w:val="2"/>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decreases – tax positions in prior period</w:t>
            </w:r>
          </w:p>
        </w:tc>
        <w:tc>
          <w:tcPr>
            <w:tcW w:w="10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Gross increase – current-period tax positions</w:t>
            </w:r>
          </w:p>
        </w:tc>
        <w:tc>
          <w:tcPr>
            <w:tcW w:w="10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r>
      <w:tr>
        <w:trPr>
          <w:trHeight w:val="250"/>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 Ending</w:t>
            </w:r>
          </w:p>
        </w:tc>
        <w:tc>
          <w:tcPr>
            <w:tcW w:w="10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431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431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514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unrecognized tax benefit amounts are reflected in the determination of the Company’s deferred tax assets. If recognized, none of these amounts would affect the Company’s effective tax rate, since it would be offset by an equal reduction in the deferred tax asset valuation allowance.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Company did not recognize interest related to unrecognized tax benefits in interest expense and penalties in operating expenses for the year ended December 31, 2025.</w:t>
      </w:r>
    </w:p>
    <w:p>
      <w:pPr>
        <w:spacing w:after="0" w:line="54"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with the United States and various state jurisdictions. The Company is currently not under examination by the Internal Revenue Service or any other taxing authority.</w:t>
      </w:r>
    </w:p>
    <w:p>
      <w:pPr>
        <w:spacing w:after="0" w:line="54"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With few exceptions, the Company’s tax years prior to 2021 are no longer open to examination by the taxing authority. While not open to examination, the tax attributes generated in tax years prior to 2021 remain subject to adjustment by the taxing authorities if utilized in tax years which are still open to examination.</w:t>
      </w:r>
    </w:p>
    <w:p>
      <w:pPr>
        <w:spacing w:after="0" w:line="68"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current deduction of domestic research expenses, increasing the limit of the deduction of interest expense deduction to thirty percent of EBITDA, and one hundred percent bonus depreciation on eligible property acquired after January 19, 2025. The Company has evaluated the impact the new tax law had on its financial condition and results of operations. OBBBA had no impact on the Company's effective income tax rate, its net deferred federal income tax liability, or current taxes payables. The impact of the tax law changes from the OBBBA is included in the Company’s financial statements.</w:t>
      </w:r>
    </w:p>
    <w:p>
      <w:pPr>
        <w:spacing w:after="0" w:line="291"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Company implemented a 401(k) retirement savings and profit sharing plan (the “Plan”) effective January 1, 1999. During 2022, the Company commenced safe harbor matching contribution for up to 4% of eligible employee contributions. Total matching contribution under the Plan amounted to approximately $0.1 million for the years ended December 31, 2025 and 2024.</w:t>
      </w:r>
    </w:p>
    <w:p>
      <w:pPr>
        <w:spacing w:after="0" w:line="172" w:lineRule="exact"/>
        <w:rPr>
          <w:sz w:val="20"/>
          <w:szCs w:val="20"/>
          <w:color w:val="auto"/>
        </w:rPr>
      </w:pPr>
    </w:p>
    <w:p>
      <w:pPr>
        <w:ind w:left="520" w:right="9200" w:hanging="512"/>
        <w:spacing w:after="0" w:line="400" w:lineRule="auto"/>
        <w:tabs>
          <w:tab w:leader="none" w:pos="416"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b w:val="1"/>
          <w:bCs w:val="1"/>
          <w:i w:val="1"/>
          <w:iCs w:val="1"/>
          <w:color w:val="auto"/>
        </w:rPr>
        <w:t>Preferred Stock</w:t>
      </w: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Series B and C Preferred Stock</w:t>
      </w:r>
    </w:p>
    <w:p>
      <w:pPr>
        <w:spacing w:after="0" w:line="119"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938 outstanding shares of Series C Preferred Stock that can be converted into an aggregate of 27,792 shares of common stock, and 1,014 shares of Series B Convertible Preferred Stock that can be converted into an aggregate of 398 shares of common stock.</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February 2025 SPEA Agreements</w:t>
      </w:r>
    </w:p>
    <w:p>
      <w:pPr>
        <w:spacing w:after="0" w:line="119"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On February 13, 2025 (the “February 2025 Closing Date”), the Company entered into a Securities Purchase and Exchange Agreement (the “February 2025 SPEA”) with certain existing accredited investors (the “February 2025 Purchasers”). Pursuant to the February 2025 SPEA, on the February 2025 Closing Date the Company issued secured convertible promissory notes (the “Funding Notes”) in the aggregate principal amount of $3.3 million together with common stock purchase warrants (the “February 2025 Warrants”) to purchase 3,002,009 shares of the Company common stock, par value $0.001 and exercise price of $1.12 per share (the “February 2025 Warrant Exercise Price”). The aggregate purchase price for the Funding Notes and the February 2025 Warrants was approximately $3.7 million (the “Aggregate Purchase Price”) and included proceeds from the February 2025 Purchasers of $0.125 per February 2025 Warrant in accordance with Nasdaq listing rules. The Funding Notes would mature on February 13, 2026, and bore interest at a rate of 10% per annum, subject to increase upon events of default. The February 2025 Warrants were exercisable for five-years from the date of issuance.</w:t>
      </w:r>
    </w:p>
    <w:p>
      <w:pPr>
        <w:spacing w:after="0" w:line="80"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Funding Notes, accrued interest and February 2025 warrants were repurchased by the Company subsequent to consummation of the March 2025 Private Placement for an aggregate repurchase price of $4.2 million.</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Security Interest</w:t>
      </w:r>
    </w:p>
    <w:p>
      <w:pPr>
        <w:spacing w:after="0" w:line="119"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obligations of the Company under the February 2025 SPEA, Funding Notes and Exchange Notes (as defined below) were secured by a pledge of substantially all of the assets of the Company pursuant to a security agreement, dated as of the February 2025 Closing Date, among the Company, CNSide Diagnostics, LLC (a subsidiary of the Company, “CNSide Diagnostics”), and Iroquois Master Fund Ltd., as collateral agent for the February 2025 Purchasers (the “Security Agreement”), subject to certain exceptions. The Security Agreement contained certain customary affirmative and negative covenants, including limitations on the Company’s and CNSide Diagnostic’s ability to dispose of assets, subject to customary exceptions. The repayment of the Company’s obligations under the February 2025 SPEA and Notes were guaranteed pursuant to a subsidiary guarantee, dated as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of the February 2025 Closing Date (the “Subsidiary Guarantee”), by and among CNSide Diagnostics and the February 2025 Purchasers. The Security Agreement and the Subsidiary Guarantee were subsequently terminated after the closing of the private placement pursuant to the March 2025 SPA (as defined below).</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Exchange Notes</w:t>
      </w:r>
    </w:p>
    <w:p>
      <w:pPr>
        <w:spacing w:after="0" w:line="119"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As disclosed below, the Company entered into the May 2024 Purchase Agreement (defined below), with the May 2024 Purchasers for the private placement of securities, including the May 2024 Series A Warrants to purchase an aggregate of up to 3,591,532 shares of common stock. The May 2024 Purchase Agreement included certain limitations and restrictions on the Company’s ability to issue securities and provided the May 2024 Purchasers and the other investors signatories to the May 2024 Purchase Agreement participation rights in future equity and equity-linked offerings of securities, subject to certain limited exceptions (the “Financing Restrictions”). On the February 2025 Closing Date, pursuant to the February 2025 SPEA, the Company issued to the May 2024 Purchasers secured convertible promissory notes in the aggregate amount of $3.2 million (the “Exchange Notes”) in exchange for cancellation of the May 2024 Series A Warrants held by the May 2024 Purchasers, and the May 2024 Purchasers entered into a second amendment to the May 2024 Purchase Agreement to eliminate the Financing Restrictions. The terms and conditions of the Exchange Notes were substantially identical in all material respects to the Funding Notes. The Security Agreement and Subsidiary Guarantee also applied to the obligations under the Exchange Notes. The Exchange Notes were exchanged after the closing of the March 2025 Private Placement as defined below.</w:t>
      </w:r>
    </w:p>
    <w:p>
      <w:pPr>
        <w:spacing w:after="0" w:line="84"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Both the Funding Notes and the Exchange Notes contained embedded conversion features that were required to be bifurcated and accounted for as derivative liabilities. The Company evaluated authoritative guidance for accounting for convertible debt instruments and elected to account for the Funding Notes and Exchange Notes at fair value. Consequently, the Company recorded the Funding Notes and Exchange Notes in their entirety at fair value at issuance and immediately before settlement, with changes in fair value recorded as change in fair value of derivative instruments in the consolidated statements of operations between the issuance date and the settlement date.</w:t>
      </w:r>
    </w:p>
    <w:p>
      <w:pPr>
        <w:spacing w:after="0" w:line="75"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Company entered into the transaction due to immediate funding requirements.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Exchange Notes, Funding Notes and associated warrants were recorded at fair value on the issuance date at $3.8 million, $4.0 million and $2.7 million, respectively. The excess of the fair value of the instruments issued over cash received of $3.7 million and the carrying value of the May 2024 Series A Warrants exchanged of $3.7 million, in the amount of $3.1 million was recorded as a financing expense in the statement of operations for the year ended December 31, 2025.</w:t>
      </w:r>
    </w:p>
    <w:p>
      <w:pPr>
        <w:spacing w:after="0" w:line="81" w:lineRule="exact"/>
        <w:rPr>
          <w:sz w:val="20"/>
          <w:szCs w:val="20"/>
          <w:color w:val="auto"/>
        </w:rPr>
      </w:pPr>
    </w:p>
    <w:p>
      <w:pPr>
        <w:jc w:val="both"/>
        <w:ind w:left="520" w:right="20" w:firstLine="299"/>
        <w:spacing w:after="0" w:line="266" w:lineRule="auto"/>
        <w:rPr>
          <w:sz w:val="20"/>
          <w:szCs w:val="20"/>
          <w:color w:val="auto"/>
        </w:rPr>
      </w:pPr>
      <w:r>
        <w:rPr>
          <w:rFonts w:ascii="Times New Roman" w:cs="Times New Roman" w:eastAsia="Times New Roman" w:hAnsi="Times New Roman"/>
          <w:sz w:val="18"/>
          <w:szCs w:val="18"/>
          <w:color w:val="auto"/>
        </w:rPr>
        <w:t>Changes in the fair value of Exchange Notes, Funding Notes and February 2025 Warrants between issuance date and settlement date, in the amount of a gain of $0.3 million, a gain of $0.3 million and a gain of $2.2 million, respectively, were recorded as change in the fair value of derivative instruments in the statement of operations for the year ended December 31,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March 2025 Private Placement</w:t>
      </w:r>
    </w:p>
    <w:p>
      <w:pPr>
        <w:spacing w:after="0" w:line="119" w:lineRule="exact"/>
        <w:rPr>
          <w:sz w:val="20"/>
          <w:szCs w:val="20"/>
          <w:color w:val="auto"/>
        </w:rPr>
      </w:pPr>
    </w:p>
    <w:p>
      <w:pPr>
        <w:jc w:val="both"/>
        <w:ind w:left="520" w:firstLine="299"/>
        <w:spacing w:after="0" w:line="268" w:lineRule="auto"/>
        <w:rPr>
          <w:sz w:val="20"/>
          <w:szCs w:val="20"/>
          <w:color w:val="auto"/>
        </w:rPr>
      </w:pPr>
      <w:r>
        <w:rPr>
          <w:rFonts w:ascii="Times New Roman" w:cs="Times New Roman" w:eastAsia="Times New Roman" w:hAnsi="Times New Roman"/>
          <w:sz w:val="17"/>
          <w:szCs w:val="17"/>
          <w:color w:val="auto"/>
        </w:rPr>
        <w:t>On March 4, 2025, the Company entered into a securities purchase agreement (the “March 2025 SPA”) with accredited investors, including certain existing stockholders of the Company (collectively, the “March 2025 Private Placement Purchasers”) for a private placement of securities (the “March 2025 Private Placement”). The March 2025 SPA, provided for the sale and issuance by the Company of an aggregate of 28,042,140 shares (the “March 2025 Private Placement Shares”) of the Company’s common stock, or, at the election of each March 2025 Private Placement Purchaser, pre-funded warrants to purchase Common Stock (the “March 2025 Pre-Funded Warrants”), exercisable immediately at an exercise price of $0.001 per share (the “March 2025 Pre-Funded Warrant Shares”), with each March 2025 Private Placement Share or March 2025 Pre-Funded Warrant accompanied by (i) a Series A common warrant (the “March 2025 Series A Warrants”) to purchase one share of common stock (the “March 2025 Series A Warrant Shares”), and (ii) one Series B common warrant (the “March 2025 Series B Warrants”) to purchase one share of common stock (see below for additional details on the Series B Warrants cashless exercise provisions) (the “March 2025 Series B Warrant Shares,” and together with the March 2025 Series A Warrant Shares, the “March 2025 Common Warrant Shares”). The March 2025 Private Placement Shares, March 2025 Pre-Funded Warrants, March 2025 Pre-Funded Warrant Shares, March 2025 Series A Warrants, March 2025 Series B Warrants, and the March 2025 Common Warrant Shares are collectively referred to herein as the “March 2025 Securities.” Pursuant to the March 2025 SPA, the Company issued to the March 2025 Private Placement Purchasers 4,069,738 March 2025 Private Placement Shares, 23,972,400 March 2025 Pre-Funded Warrants, 28,042,138 March 2025 Series A Warrants and 28,042,138 March 2025 Series B Warrants. As of December 31, 2025, all March 2025 Series A Warrants and March 2025 Series B Warrants were settled as a result of cancellation, exchanges or exercises as detailed below.</w:t>
      </w:r>
    </w:p>
    <w:p>
      <w:pPr>
        <w:spacing w:after="0" w:line="74"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combined purchase price of $0.66 for each March 2025 Private Placement Share or $0.659 for each March 2025 Pre-Funded Warrant in the March 2025 Private Placement, together with one accompanying March 2025 Series A Warrant and one accompanying March 2025 Series B Warrant, represents the applicable “Minimum Price” in accordance with Nasdaq Rule 5635(d).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initial exercise price of each March 2025 Series A Warrant issued in the March 2025 Private Placement was $1.32 per share of common stock. The March 2025 Series A Warrants were exercisable only following stockholder approval and expire five (5) years thereafter. The March 2025 Series A Warrants were subject to certain price reset, share combination event and anti-dilution provisions which, if triggered, provided that the number of shares issuable upon exercise of the March 2025 Series A Warrants would downward adjust, subject to a floor price of $0.132 (the “Floor Price”), and the number of shares issuable upon exercise therefor would increase such that the aggregate exercise price remained unchanged. The March 2025 Series A Warrants were extinguished as part of the Letter Agreement on June 17, 2025 as discussed below.</w:t>
      </w:r>
    </w:p>
    <w:p>
      <w:pPr>
        <w:spacing w:after="0" w:line="79"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initial exercise price of each March 2025 Series B Warrant issued in the March 2025 Private Placement was $1.98 per share of common stock. The March 2025 Series B Warrants were exercisable only following stockholder approval and expire two and one-half (2.5) years thereafter. The March 2025 Series B Warrants were subject to certain price reset and share combination event provisions which, if triggered, provided that the number of shares issuable upon exercise of the March 2025 Series B Warrants would downward adjust, subject to the Floor Price, and the number of shares issuable upon exercise therefor would increase such that the aggregate exercise price remained unchanged. In addition, the March 2025 Series B Warrant alternative cashless exercise provision provided that the March 2025 Series B Warrant could be exercised without further payment to the Company and for three times the number of shares of common stock then subject to the March 2025 Series B Warrant.</w:t>
      </w:r>
    </w:p>
    <w:p>
      <w:pPr>
        <w:spacing w:after="0" w:line="8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March 2025 Pre-Funded Warrants will be exercisable from the date of issuance until exercised in full. The March 2025 Pre-Funded Warrants, March 2025 Series A Warrants and March 2025 Series B Warrants may not be exercised to the extent that immediately following such exercise, the holder would beneficially own greater than 4.99% (or, at the election of the holder, greater than 9.99%) of the Company’s outstanding common stock.</w:t>
      </w:r>
    </w:p>
    <w:p>
      <w:pPr>
        <w:spacing w:after="0" w:line="72"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Private Placement, the Company issued 3,077,270 shares of common stock, 19,650,000 shares of March 2025 Pre-Funded Warrants in lieu thereof, and accompanying 22,727,270 March 2025 Series A Warrants and 22,727,270 March 2025 Series B Warrants in consideration of new capital subscriptions. In addition, the Company issued 992,468 shares of common stock, 4,322,400 March 2025 Pre-Funded Warrants in lieu thereof, and accompanying 5,314,870 March 2025 Series A Warrants and 5,314,870 March 2025 Series B Warrants, were issued in exchange for the cancelation of approximately $3.2 million in aggregate principal amount of the Exchange Notes.</w:t>
      </w:r>
    </w:p>
    <w:p>
      <w:pPr>
        <w:spacing w:after="0" w:line="75"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Company evaluated the terms of the February 2025 Warrants, March 2025 Series A Warrants and March 2025 Series B Warrants under authoritative guidance and concluded that each of the instruments should be accounted for as a liability instrument at fair value at issuance and each subsequent balance sheet date until settlement, with changes in the fair value recorded in the consolidated statement of operations. The March 2025 Pre-Funded Warrants meet the criteria to be recorded as equity in the Company's consolidated balance sheet.</w:t>
      </w:r>
    </w:p>
    <w:p>
      <w:pPr>
        <w:spacing w:after="0" w:line="72"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The March 2025 Private Placement closed on March 7, 2025 (the “March 2025 Closing Date”). The aggregate gross proceeds at the March 2025 Closing Date totaled approximately $15.0 million. The gross proceeds, along with the fair value of the February 2025 Warrants of $0.5 million and Exchange Notes of $3.5 million as of the settlement date of March 4, 2025, were first allocated to the warrant liability instruments at their full fair value, totaling $13.2 million, with the remainder of $5.8 million recorded to common stock and additional paid-in capital in equity of the consolidated balance sheet. Total offering expenses of $1.4 million were allocated based on the allocated amount of proceeds to warrant liabilities and equity, with $1.0 million recorded as warrant issuance expenses and expensed as incurred, and the remaining $0.4 million recorded as common stock issuance costs in additional paid-in capital.</w:t>
      </w:r>
    </w:p>
    <w:p>
      <w:pPr>
        <w:spacing w:after="0" w:line="81"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On May 2, 2025, our stockholders approved, among other things, the March 2025 Series A Warrants and March 2025 Series B Warrants and an amendment of our Certificate of Incorporation, as amended, to increase the authorized share capital to an amount sufficient to cover the shares of common stock issuable upon the exercise of the March 2025 Series A Warrants and March 2025 Series B Warrants. As part of the March 2025 Series A Warrants and March 2025 Series B Warrants agreement, the exercise price of the March 2025 Series A Warrants and March 2025 Series B Warrants were reset on May 19, 2025 to $0.4373 per share. Prior to modification of the March 2025 Series B Warrants as part of the Letter Agreement (as further described below), certain March 2025 Series B Warrants were cashless exercised for the issuance of 21,482,492 shares of common stock. The liability classified March 2025 Series B Warrants were remeasured immediately prior to exercise, which resulted in a $3.8 million gain on the change in fair value for the year ended December 31, 2025, and a $0.8 million credit to additional paid-in-capital.</w:t>
      </w:r>
    </w:p>
    <w:p>
      <w:pPr>
        <w:spacing w:after="0" w:line="84"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57,018,872 March 2025 Series A Warrants and March 2025 Series B Warrants were exercised or exchanged.</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On June 17, 2025, the Company and the March 2025 Private Placement Purchasers entered into a letter agreement (the “Letter Agreement”) with each of the March 2025 Private Placement Purchasers in an effort to, among other items, minimize the dilutive impact of the March 2025 Private Placement. The Letter Agreement extinguished the March 2025 Series A Warrants, modified the March 2025 Series B Warrants, and provided for the return and cancellation of Private Placement Shares and Pre-Funded Warrants, as further discussed in the following paragraphs.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As part of the Letter Agreement, all March 2025 Series A Warrants were cancelled. As of March 31, 2025, the fair value of the March 2025 Series A Warrant liability was $5.0 million. On June 17, 2025, the March 2025 Series A Warrants were immediately remeasured to fair value prior to their cancellation, which resulted in a $0.3 million loss on change in fair value attributable to the March 2025 Series A Warrants for the year ended December 31, 2025. The extinguishment of the March 2025 Series A Warrants was recognized as a $2.3 million capital contribution and recorded to additional paid-in capital, as the extinguishment was deemed equivalent to a capital contribution by existing shareholders of the Company.</w:t>
      </w:r>
    </w:p>
    <w:p>
      <w:pPr>
        <w:spacing w:after="0" w:line="79"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As part of the same transaction, the March 2025 Series B Warrants were amended (the "Amended March 2025 Series B Warrants"), to (a) reduce the overall number of March 2025 Series B Warrant Shares issuable upon exercise of the Series B Warrants to an aggregate of up to 35,536,380 Series B Warrant Shares, (b) reduce the alternative cashless exercise ratio in such March 2025 Series B Warrants from 3:1 to 1:1, (c) remove provisions contained in the March 2025 Series B Warrants that would otherwise reduce the Company’s stockholders’ equity, and (d) reset the exercise price of the Amended March 2025 Series B Warrants back to $1.98 per share. As a result of the Letter Agreement, the Amended March 2025 Series B Warrants no longer fail the indexation guidance under ASC 815, Derivatives and Hedging, resulting in a reclassification from liability to equity. Immediately prior to reclassification, the March 2025 Series B Warrant liability was remeasured, and $4.5 million was recognized as a capital contribution and recorded to additional paid-in capital, as the modification of the March 2025 Series B Warrants was deemed equivalent to a capital contribution by existing shareholders of the Company. The remeasured fair value of the March 2025 Series B warrant liability, in the amount of $11.0 million was reclassified to equity. After the June 17, 2025 modification, 34,794,540 of the Amended March 2025 Series B Warrants were cashless exercised resulting in the issuance of 34,794,540 shares of common stock.</w:t>
      </w:r>
    </w:p>
    <w:p>
      <w:pPr>
        <w:spacing w:after="0" w:line="84"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Lastly, in conjunction with the Letter Agreement, each of the March 2025 Private Placement Purchasers agreed to return an aggregate of 12,241,986 Private Placement Shares and Pre-Funded Warrants issuable for an aggregate of 10,633,650 Pre-Funded Warrant Shares, held by them as of the date of the Letter Agreement, upon request of the Company (the "Letter Agreement Repurchase Option"), which were issued pursuant to the March 2025 Private Placement Purchase Agreement for a value of $0.66 per Private Placement Share and $0.659 per Pre-Funded Warrant. In exchange therefor, the Company agreed to repay the March 2025 Private Placement Purchasers holding such securities 115% of such value, using 90% of the proceeds from any capital raised by the Company subsequent to July 1, 2025. The Company and each of the March 2025 Private Placement Purchasers also agreed to waive any restrictions on subsequent equity sales and variable rate transactions contained in March 2025 Private Placement Purchase Agreement to allow for such repayment. During the year ended December 31, 2025, the Company paid the March 2025 Private Placement Purchasers $3.2 million and 5,211,835 shares were returned and cancelled under the terms of the Letter Agreement.</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Support Letters</w:t>
      </w:r>
    </w:p>
    <w:p>
      <w:pPr>
        <w:spacing w:after="0" w:line="119" w:lineRule="exact"/>
        <w:rPr>
          <w:sz w:val="20"/>
          <w:szCs w:val="20"/>
          <w:color w:val="auto"/>
        </w:rPr>
      </w:pPr>
    </w:p>
    <w:p>
      <w:pPr>
        <w:jc w:val="both"/>
        <w:ind w:left="520" w:firstLine="299"/>
        <w:spacing w:after="0" w:line="252" w:lineRule="auto"/>
        <w:rPr>
          <w:sz w:val="20"/>
          <w:szCs w:val="20"/>
          <w:color w:val="auto"/>
        </w:rPr>
      </w:pPr>
      <w:r>
        <w:rPr>
          <w:rFonts w:ascii="Times New Roman" w:cs="Times New Roman" w:eastAsia="Times New Roman" w:hAnsi="Times New Roman"/>
          <w:sz w:val="18"/>
          <w:szCs w:val="18"/>
          <w:color w:val="auto"/>
        </w:rPr>
        <w:t>On July 11, 2025, the Company and certain March 2025 Private Placement Purchasers party to the Letter Agreement entered into that certain letter of support (the “Support Letters”) to modify certain portions of the Letter Agreement as between the Company and each of such March 2025 Private Placement Purchasers. In the event that the Company reasonably believes that, within the 30 days (the “Modification Period”) prior to the end of any fiscal quarter, the Company will have stockholders’ equity in an amount below $3.0 million as of the end of such fiscal quarter (the “Potential Equity Deficiency”), the Subsequent Financing Percentage (as defined in the Letter Agreement) shall be modified from 90% to 50% for any Subsequent Financing (as defined in the Letter Agreement) that occurs during the Modification Period pursuant to the Lincoln Park Purchase Agreement. Upon the end of the Modification Period, the Subsequent Financing Percentage shall be reverted to 90%, and such percentage shall apply to all Subsequent Financings, including all Subsequent Financings pursuant to the Lincoln Park Purchase Agreement. In the event the Company desires to trigger the modification of the Subsequent Financing Percentage, the Company agrees to supply the purchaser who executed a Support Letter with a pro forma balance sheet to evidence its reasonable belief of the Potential Equity Deficiency approximately 30 days prior to each end of fiscal quarter once the books for prior months are closed. In accordance with the Support Letters, the Company made a cash payment of $0.5 million to such purchasers for a total cash payment of $2.3 million, which was recorded as a reduction to additional paid-in capital in the consolidated balance sheet as of December 31, 2025. Such payment counted as cash received by the purchaser towards its Maximum Amount. Each Support Letter also granted the purchaser party to the letter a participation right in certain future financings of the Company for a period of 12 months.</w:t>
      </w:r>
    </w:p>
    <w:p>
      <w:pPr>
        <w:spacing w:after="0" w:line="88"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On October 28, 2025, the Company entered into an amendment to the Letter Agreement and the Support Letters with certain March 2025 Private Placement Purchasers (the “Amendment Agreement”), pursuant to which (a) the Support Letters were terminated other than with respect to the participation rights granted therein, and (b) the repayment mechanism under the Letter Agreement was modified. As modified, the Company is no longer required to use 90% of the proceeds from any subsequent financing to repay the March 2025 Private Placement Purchasers. Instead, the Company is only required to retain sufficient funds in an interest bearing account to cover such repayment obligations and make such repayments upon request by any March 2025 Private Placement Purchaser who executed the Amendment Agreement until each such purchaser has received cash either from the Company or from reselling securities acquired in the March 2025 Private Placement in an amount equal to 115% of the purchase price such purchaser paid in the March 2025 Private Placement. If such requests are made, the requesting purchaser must return shares acquired in the March 2025 Private Placement at a value of $0.66 per share.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repayment obligation owed under the Amendment Agreement is accounted for at fair value as a financial liability in accordance with ASC</w:t>
      </w:r>
    </w:p>
    <w:p>
      <w:pPr>
        <w:spacing w:after="0" w:line="27" w:lineRule="exact"/>
        <w:rPr>
          <w:sz w:val="20"/>
          <w:szCs w:val="20"/>
          <w:color w:val="auto"/>
        </w:rPr>
      </w:pPr>
    </w:p>
    <w:p>
      <w:pPr>
        <w:jc w:val="both"/>
        <w:ind w:left="520" w:right="20" w:hanging="3"/>
        <w:spacing w:after="0" w:line="255" w:lineRule="auto"/>
        <w:tabs>
          <w:tab w:leader="none" w:pos="90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is remeasured each period, with changes to fair value recorded in the statement of operations. As of December 31, 2025, the Company had a remaining liability of approximately $4.5 million included in investor liability pursuant to the letter agreement on its consolidated balance sheet.</w:t>
      </w:r>
    </w:p>
    <w:p>
      <w:pPr>
        <w:spacing w:after="0" w:line="78"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recorded $7.7 million as a reduction of additional paid in capital representing the total investor liability pursuant to the letter agreement. This reduction in additional paid in capital is net of $0.9 million as a result of the reselling of securities acquired in the March 2025 Private Placement by certain March 2025 Private Placement Purchasers, which was recorded as a reduction of the liability that would have been settled in cash, with a corresponding increase to stockholders’ equity.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First Amendment to the February 2025 SPEA</w:t>
      </w:r>
    </w:p>
    <w:p>
      <w:pPr>
        <w:spacing w:after="0" w:line="119"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In connection with entering into the March 2025 SPA, the Company entered into that certain First Amendment to the February 2025 SPEA (the “First Amendment”). The February 2025 SPEA included certain limitations and restrictions on the Company’s ability to issue securities and provided the investors with participation rights in future equity and equity-linked offerings of securities, subject to certain limited exceptions (the “New Financing Restrictions”). Pursuant to the First Amendment, subject to consummation of the March 2025 Private Placement, the Company agreed to repurchase from the Investors $3.4 million in principal amount of the Company’s Funding Notes and accrued interest, along with the February 2025 Warrants issued pursuant to the February 2025 SPEA for an aggregate purchase price of $4.2 million. In exchange for the repurchase by the Company of the Funding Notes and SPEA Warrants, the February 2025 Purchasers agreed to consent to the March 2025 Private Placement and eliminate the New Financing Restrictions.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May 2024 Private Placement</w:t>
      </w:r>
    </w:p>
    <w:p>
      <w:pPr>
        <w:spacing w:after="0" w:line="119"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On May 5, 2024, the Company entered into a securities purchase agreement (the “Securities Purchase Agreement”) with certain investors, including certain of the Company’s directors and executive officers (“Company Insiders”) (collectively, the “Purchasers”), for the sale and issuance by the Company of its securities (the “Initial Subscription”). On May 8, 2024, the Company entered into a first amendment to the Securities Purchase Agreement (together with the Securities Purchase Agreement, the “Purchase Agreement”), for the sale and issuance by the Company of additional securities to two of the Purchasers (the “Additional Subscription,” and together with the Initial Subscription, the “May 2024 Private Placement”). The Purchase Agreement provides for the sale and issuance by the Company of an aggregate of 3,591,532 shares (the “Private Placement Shares”) of the Company’s common stock or, at the election of each Purchaser, pre-funded warrants (the “Pre-Funded Warrants”), exercisable immediately at an exercise price of $0.001 per share, with each Private Placement Share or Pre-Funded Warrant accompanied by (i) a Series A common warrant (“Series A Warrants”) to purchase one share of common stock, for an aggregate of 3,591,532 Series A Warrants, and (ii) one Series B common warrant (“Series B Warrants”) to purchase one share of common stock, for an aggregate of 3,591,532 Series B Warrants.</w:t>
      </w:r>
    </w:p>
    <w:p>
      <w:pPr>
        <w:spacing w:after="0" w:line="86"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combined purchase price for each Private Placement Share and Pre-Funded Warrant from the Initial Subscription was $2.022, and $2.158 from the Additional Subscription, in each case together with one accompanying Series A Warrant and one accompanying Series B Warrant provided, that the Company Insiders participated in the Initial Subscription at an offering price of $2.04 per Private Placement Share and accompanying Series A Warrant and Series B Warrant.</w:t>
      </w:r>
    </w:p>
    <w:p>
      <w:pPr>
        <w:spacing w:after="0" w:line="72"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exercise price of May 2024 Series A Warrants and Series B Warrants from the Initial Subscription is $1.772 per share from the Initial Subscription and $1.908 per share from the Additional Subscription, provided that the exercise price for the May 2024 Series A Warrants and Series B Warrants issued to the Company Insiders is $1.79 per share. Subject to certain ownership limitations, the May 2024 Series A Warrants will be exercisable until May 9, 2029, which is the five-year anniversary of issuance. Subject to certain ownership limitations, the May 2024 Series B Warrants will be exercisable until June 24, 2025. The Pre-Funded Warrant will not expire until exercised in full.</w:t>
      </w:r>
    </w:p>
    <w:p>
      <w:pPr>
        <w:spacing w:after="0" w:line="75"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Prior to the Amendment and Restatements (as defined below), if a holder of a May 2024 Series A Warrant or a Series B Warrant was unable to exercise the warrant due to the limitation contained in the warrant that restricts the holder from owning above a specified beneficial ownership level (generally 4.99% or 9.99%) as the result of exercise of the warrant, then the holder had the right to elect upon exercise of the warrant to receive a Pre-Funded Warrant for the same number of shares of common stock that would otherwise have been received upon exercise of the warrant. In addition, prior to the Amendment and Restatements, the May 2024 Series A Warrants and Series B Warrants provided for a call right starting June 24, 2025, in favor of the Company, if the volume-weighted average price of the shares of common stock exceeds specified prices.</w:t>
      </w:r>
    </w:p>
    <w:p>
      <w:pPr>
        <w:spacing w:after="0" w:line="79"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May 2024 Private Offering closed on May 9, 2024. The Company issued 1,439,988 shares of common stock, 2,151,544 Pre-Funded Warrants, 3,591,532 Series A Warrants and 3,591,532 Series B Warrants to purchase shares of its common stock in connection with the May 2024 Private Placement. The net proceeds from the May 2024 Private Placement were approximately $7.3 million.</w:t>
      </w:r>
    </w:p>
    <w:p>
      <w:pPr>
        <w:spacing w:after="0" w:line="68" w:lineRule="exact"/>
        <w:rPr>
          <w:sz w:val="20"/>
          <w:szCs w:val="20"/>
          <w:color w:val="auto"/>
        </w:rPr>
      </w:pP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The Company reviewed the terms of the May 2024 Pre-Funded Warrants, Series A Warrants and Series B Warrants under the authoritative accounting guidance as of the issuance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18515" cy="8890"/>
                    </a:xfrm>
                    <a:prstGeom prst="rect">
                      <a:avLst/>
                    </a:prstGeom>
                    <a:noFill/>
                  </pic:spPr>
                </pic:pic>
              </a:graphicData>
            </a:graphic>
          </wp:anchor>
        </w:drawing>
      </w:r>
    </w:p>
    <w:p>
      <w:pPr>
        <w:spacing w:after="0" w:line="313" w:lineRule="exact"/>
        <w:rPr>
          <w:sz w:val="20"/>
          <w:szCs w:val="20"/>
          <w:color w:val="auto"/>
        </w:rPr>
      </w:pPr>
    </w:p>
    <w:p>
      <w:pPr>
        <w:jc w:val="both"/>
        <w:ind w:left="520" w:firstLine="347"/>
        <w:spacing w:after="0" w:line="254" w:lineRule="auto"/>
        <w:rPr>
          <w:sz w:val="20"/>
          <w:szCs w:val="20"/>
          <w:color w:val="auto"/>
        </w:rPr>
      </w:pPr>
      <w:r>
        <w:rPr>
          <w:rFonts w:ascii="Times New Roman" w:cs="Times New Roman" w:eastAsia="Times New Roman" w:hAnsi="Times New Roman"/>
          <w:sz w:val="18"/>
          <w:szCs w:val="18"/>
          <w:color w:val="auto"/>
        </w:rPr>
        <w:t>As described above, the May 2024 Series A Warrants and Series B Warrants were initially classified as liabilities for the reason that they could have been exercised into either shares of common stock or May 2024 Pre-Funded Warrants at the holder’s option and thus failed the indexation guidance under ASC 815, Derivatives and Hedging. The May 2024 Series A Warrant and Series B Warrant liability were initially recorded at fair value as of the issuance date, and under the terms of the May 2024 Series A Warrants and Series B Warrants when issued that liability was subject to adjustment to estimated fair value at each balance sheet date until the warrants were settled. Refer below for additional information regarding the amendment of the May 2024 Series A Warrants and Series B Warrants that eliminated the ability of the May 2024 Series A Warrants and Series B Warrants to be exercised into Pre-Funded Warrants, and as a result, the reclassification of the May 2024 Series A and B Warrants from liability to equity section of the consolidated balance sheet.</w:t>
      </w:r>
    </w:p>
    <w:p>
      <w:pPr>
        <w:spacing w:after="0" w:line="84"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The May 2024 Pre-Funded Warrants are equity classified because they (1) are freestanding financial instruments that are legally detachable and separately exercisable from the common stock, (2) are immediately exercisable, (3) do not embody an obligation for the Company to repurchase its shares, (4) permit the holder to receive a fixed number of shares of common stock upon exercise, (5) are indexed to the Company’s common stock and (6) meet the equity classification criteria.</w:t>
      </w:r>
    </w:p>
    <w:p>
      <w:pPr>
        <w:spacing w:after="0" w:line="72" w:lineRule="exact"/>
        <w:rPr>
          <w:sz w:val="20"/>
          <w:szCs w:val="20"/>
          <w:color w:val="auto"/>
        </w:rPr>
      </w:pPr>
    </w:p>
    <w:p>
      <w:pPr>
        <w:jc w:val="both"/>
        <w:ind w:left="520" w:firstLine="299"/>
        <w:spacing w:after="0" w:line="253" w:lineRule="auto"/>
        <w:rPr>
          <w:sz w:val="20"/>
          <w:szCs w:val="20"/>
          <w:color w:val="auto"/>
        </w:rPr>
      </w:pPr>
      <w:r>
        <w:rPr>
          <w:rFonts w:ascii="Times New Roman" w:cs="Times New Roman" w:eastAsia="Times New Roman" w:hAnsi="Times New Roman"/>
          <w:sz w:val="18"/>
          <w:szCs w:val="18"/>
          <w:color w:val="auto"/>
        </w:rPr>
        <w:t>The proceeds from the May 2024 Private Placement were first allocated to the full fair value of the May 2024 Series A Warrants and Series B Warrants due to the initial liability classification. As disclosed in Note 3, Fair Value Measurements, the fair value of the May 2024 Series A Warrants and Series B Warrants at issuance was $10.9 million. Under authoritative guidance, if the fair value of a warrant liability exceeds the proceeds received in an arm’s length transaction with no rights or privileges that require separate accounting recognition as an asset identified, then the warrant liability is recorded at fair value with the excess of fair value over proceeds recognized as a loss in earnings. The Company recognized approximately $3.5 million in financing expense in the consolidated statement of operations during year ended December 31, 2024, which represents the excess of the fair value of the Series A Warrants and Series B Warrants at issuance over the proceeds. During the year ended December 31, 2024, the Company recognized a fair value gain on warrant liability of $5.7 million. Proceeds from the May 2024 Private Placement are shown as cash from financing transactions and the gain on warrant liability is included as an adjustment to reconcile the net loss to net cash used in operating activities in the statements of cash flows for the year ended December 31, 2024.</w:t>
      </w:r>
    </w:p>
    <w:p>
      <w:pPr>
        <w:spacing w:after="0" w:line="86"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In addition, total offering expenses related to the May 2024 Private Placement of $0.4 million were recorded as a component of other expenses as the entire proceeds were allocated to the warrant liability, which, prior to the amendment described below, could be settled with either the Company’s shares of common stock or May 2024 Pre-Funded Warrants, which are exercisable into the Company’s shares of common stock at any time at the holders’ option, but not in cash payment to the holders.</w:t>
      </w:r>
    </w:p>
    <w:p>
      <w:pPr>
        <w:spacing w:after="0" w:line="7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During the year ended December 31, 2025, 497,824 May 2024 Series B Warrants were exercised.</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of May 2024 Series A Warrants and Series B Warrants</w:t>
      </w:r>
    </w:p>
    <w:p>
      <w:pPr>
        <w:spacing w:after="0" w:line="11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On August 9, 2024, the Company amended and restated the May 2024 Series A Warrants and Series B Warrants (the “Amendment and Restatements”) issued in the May 2024 Private Placement. The Amendment and Restatements eliminated the ability of the holders of the May 2024 Series A Warrants and Series B Warrants to elect to purchase Pre-Funded Warrants upon exercise of the May 2024 Series A Warrants and Series B Warrants in lieu of shares of common stock if the holder would have been restricted because of the specified beneficial ownership level in the May 2024 Series A Warrants and Series B Warrants.</w:t>
      </w:r>
    </w:p>
    <w:p>
      <w:pPr>
        <w:spacing w:after="0" w:line="75"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In addition, the Amendment and Restatements eliminated the Company’s call right under the terms of the May 2024 Series A Warrants to call the May 2024 Series A Warrants after June 24, 2025, if the volume-weighted average price of shares of common stock exceeded specified prices. There were no other changes in the terms of the May 2024 Series A Warrants and Series B Warrants.</w:t>
      </w:r>
    </w:p>
    <w:p>
      <w:pPr>
        <w:spacing w:after="0" w:line="68"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As a result of the Amendment and Restatements, the May 2024 Series A Warrants and Series B Warrants, as amended, no longer failed the indexation guidance under ASC 815, Derivatives and Hedging, and the fair value of the warrant liability at the amendment date, in the amount of $5.2 million, was reclassified to equity.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Lincoln Park Purchase Agreement</w:t>
      </w:r>
    </w:p>
    <w:p>
      <w:pPr>
        <w:spacing w:after="0" w:line="187" w:lineRule="exact"/>
        <w:rPr>
          <w:sz w:val="20"/>
          <w:szCs w:val="20"/>
          <w:color w:val="auto"/>
        </w:rPr>
      </w:pPr>
    </w:p>
    <w:p>
      <w:pPr>
        <w:jc w:val="both"/>
        <w:ind w:left="520" w:firstLine="299"/>
        <w:spacing w:after="0" w:line="255" w:lineRule="auto"/>
        <w:rPr>
          <w:sz w:val="20"/>
          <w:szCs w:val="20"/>
          <w:color w:val="auto"/>
        </w:rPr>
      </w:pPr>
      <w:r>
        <w:rPr>
          <w:rFonts w:ascii="Times New Roman" w:cs="Times New Roman" w:eastAsia="Times New Roman" w:hAnsi="Times New Roman"/>
          <w:sz w:val="18"/>
          <w:szCs w:val="18"/>
          <w:color w:val="auto"/>
        </w:rPr>
        <w:t>On June 17, 2025, the Company entered into a purchase agreement (the “Lincoln Park Purchase Agreement”) and a registration rights agreement (the “Registration Rights Agreement”) with Lincoln Park Capital Fund, LLC (“Lincoln Park”), pursuant to which the Company has the right, but not the obligation, to sell to Lincoln Park, and Lincoln Park committed to purchase up to $50.0 million of shares of the Company’s common stock, $0.001 par value per share. Such sales of common stock by the Company are subject to certain limitations and conditions set forth in the Lincoln Park Purchase Agreement including, but not limited to, the filing and effectiveness of a registration statement (a “Lincoln Park Registration Statement”). As of December 31, 2025, under the Lincoln Park Registration Statements, the resale of up to a total of 50,000,000 shares are reserved for issuance and sale under the Lincoln Park Purchase Agreement.</w:t>
      </w:r>
    </w:p>
    <w:p>
      <w:pPr>
        <w:spacing w:after="0" w:line="8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Under the Lincoln Park Purchase Agreement, on any business day selected by the Company over the 36-month period commencing on June 23, 2025 (the "Purchase Date"), the Company may direct Lincoln Park to purchase up to 300,000 shares of common stock on such Purchase Date, so long as the closing stock price on The Nasdaq Capital Market is not below $0.10 on the</w:t>
      </w:r>
    </w:p>
    <w:p>
      <w:pPr>
        <w:sectPr>
          <w:pgSz w:w="11900" w:h="16838" w:orient="portrait"/>
          <w:cols w:equalWidth="0" w:num="1">
            <w:col w:w="11240"/>
          </w:cols>
          <w:pgMar w:left="320" w:top="513"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520"/>
        <w:spacing w:after="0" w:line="254" w:lineRule="auto"/>
        <w:rPr>
          <w:sz w:val="20"/>
          <w:szCs w:val="20"/>
          <w:color w:val="auto"/>
        </w:rPr>
      </w:pPr>
      <w:r>
        <w:rPr>
          <w:rFonts w:ascii="Times New Roman" w:cs="Times New Roman" w:eastAsia="Times New Roman" w:hAnsi="Times New Roman"/>
          <w:sz w:val="18"/>
          <w:szCs w:val="18"/>
          <w:color w:val="auto"/>
        </w:rPr>
        <w:t>applicable Purchase Date (a “Regular Purchase”); provided, however, that (i) a Regular Purchase may be increased to up to 400,000 shares, if the closing sale price per share of the common stock on The Nasdaq Capital Market is not below $0.50 on the applicable Purchase Date; and (ii) a Regular Purchase may be increased to up to 500,000 shares, if the closing sale price per share of the common stock on The Nasdaq Capital Market is not below $0.75 on the applicable Purchase Date. In any case, Lincoln Park’s maximum obligation under any single Regular Purchase will not exceed $1.0 million. The above-referenced share amount limitations and closing sale price thresholds are subject to adjustment for any reorganization, recapitalization, non-cash dividend, stock split, reverse stock split or other similar transaction as provided in the Purchase Agreement. The purchase price per share for each such Regular Purchase will be 97% of the lesser of: (i) the lowest sale price for the common stock on The Nasdaq Capital Market on the date of sale, and (ii) the average of the three lowest closing sale prices for the common stock on The Nasdaq Capital Market during the 10 consecutive business days ending on the business day immediately preceding the purchase date.</w:t>
      </w:r>
    </w:p>
    <w:p>
      <w:pPr>
        <w:spacing w:after="0" w:line="80"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Company also has the right to direct Lincoln Park, on any business day on which the Company has properly submitted a Regular Purchase notice for the maximum amount the Company is then permitted to sell to Lincoln Park in such Regular Purchase, to purchase an additional amount of the common stock (an “Accelerated Purchase”) of additional shares based on criteria established in the Lincoln Park Purchase Agreement. The purchase price per share for each such Accelerated Purchase will be 96.5% of the lesser of: (i) the volume weighted average price (“VWAP”) during a specific time window on the Accelerated Purchase date as defined in the Lincoln Park Purchase Agreement, and (ii) the closing sale price of the Company’s common stock on The Nasdaq Capital Market on the same Accelerated Purchase date.</w:t>
      </w:r>
    </w:p>
    <w:p>
      <w:pPr>
        <w:spacing w:after="0" w:line="7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 addition to the Regular Purchase and Accelerated Purchase, the Company can sell to Lincoln Park an additional amount of common stock (an “Additional Accelerated Purchases”), which can be initiated multiple times on the same Additional Accelerated Purchase date. The purchase price per share for each such Additional Accelerated Purchase will be 96.5% of the lesser of: (i) the VWAP during a specific time windows on the Additional Accelerated Purchase date as defined in the Lincoln Park Purchase Agreement, and (ii) the closing sale price of the Company’s common stock on The Nasdaq Capital Market on the same Additional Accelerated Purchase date.</w:t>
      </w:r>
    </w:p>
    <w:p>
      <w:pPr>
        <w:spacing w:after="0" w:line="75"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The sales of shares of common stock to Lincoln Park through a Regular Purchase, an Accelerated Purchase and an Additional Accelerated Purchases, depend upon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Lincoln Park Purchase Agreement to the Company depend on the frequency and prices at which the Company sells shares of its stock to Lincoln Park.</w:t>
      </w:r>
    </w:p>
    <w:p>
      <w:pPr>
        <w:spacing w:after="0" w:line="75"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 accordance with the Lincoln Park Purchase Agreement, the Company was required to pay Lincoln Park an initial commitment fee of $0.5 million, which was paid through the issuance of 1,612,903 shares of common stock on August 14, 2025. The initial commitment fee was recorded as a reduction to additional paid-in capital in the consolidated balance sheet as of December 31, 2025. The Company agreed to pay an additional commitment fee of $0.5 million, which it elected to pay in shares of its common stock, upon receipt of $25.0 million aggregate gross proceeds from sales of common stock to Lincoln Park under the Lincoln Park Purchase Agreement.</w:t>
      </w:r>
    </w:p>
    <w:p>
      <w:pPr>
        <w:spacing w:after="0" w:line="75"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As of the year ended December 31, 2025, the Company issued 50,000,000 shares under the Lincoln Park Purchase Agreement for gross proceeds of approximately $22.6 million. The Company incurred approximately $50,000 for legal fees in connection with the Lincoln Park Purchase Agreement. There are no shares available for resale under the Company's Second Registration Statement in respect of the Lincoln Park Purchase Agreement.</w:t>
      </w:r>
    </w:p>
    <w:p>
      <w:pPr>
        <w:spacing w:after="0" w:line="3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1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2025 and 2024, the Company had the following warrants outstanding:</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7"/>
              </w:rPr>
              <w:t>May 2024</w:t>
            </w:r>
          </w:p>
        </w:tc>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Series A Warrants</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48,285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3,591,532</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2024</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B Warrants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3,093,708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3,591,532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Pre-Funded Warrants</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1,959,430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3,141,993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9,142,494</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6032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One share of common stock is issuable for each warrant upon exercise.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 and Treasury Stock</w:t>
      </w:r>
    </w:p>
    <w:p>
      <w:pPr>
        <w:spacing w:after="0" w:line="119" w:lineRule="exact"/>
        <w:rPr>
          <w:sz w:val="20"/>
          <w:szCs w:val="20"/>
          <w:color w:val="auto"/>
        </w:rPr>
      </w:pPr>
    </w:p>
    <w:p>
      <w:pPr>
        <w:ind w:left="520" w:firstLine="360"/>
        <w:spacing w:after="0" w:line="282" w:lineRule="auto"/>
        <w:rPr>
          <w:sz w:val="20"/>
          <w:szCs w:val="20"/>
          <w:color w:val="auto"/>
        </w:rPr>
      </w:pPr>
      <w:r>
        <w:rPr>
          <w:rFonts w:ascii="Times New Roman" w:cs="Times New Roman" w:eastAsia="Times New Roman" w:hAnsi="Times New Roman"/>
          <w:sz w:val="18"/>
          <w:szCs w:val="18"/>
          <w:color w:val="auto"/>
        </w:rPr>
        <w:t>On October 31, 2023, the Company announced that its Board had approved a share repurchase program (the “Share Repurchase Program”), with authorization to repurchase up to $500,000 of the outstanding shares of the Company’s common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The Company funded repurchases under the Share Repurchase Program with available cash.</w:t>
      </w:r>
    </w:p>
    <w:p>
      <w:pPr>
        <w:spacing w:after="0" w:line="117" w:lineRule="exact"/>
        <w:rPr>
          <w:sz w:val="20"/>
          <w:szCs w:val="20"/>
          <w:color w:val="auto"/>
        </w:rPr>
      </w:pPr>
    </w:p>
    <w:p>
      <w:pPr>
        <w:ind w:left="520" w:firstLine="363"/>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purchased 179,866 shares of its common stock for approximately $0.4 million as treasury stock. As of December 31, 2024, no amount remained authorized for repurchase.</w:t>
      </w:r>
    </w:p>
    <w:p>
      <w:pPr>
        <w:spacing w:after="0" w:line="158" w:lineRule="exact"/>
        <w:rPr>
          <w:sz w:val="20"/>
          <w:szCs w:val="20"/>
          <w:color w:val="auto"/>
        </w:rPr>
      </w:pPr>
    </w:p>
    <w:p>
      <w:pPr>
        <w:ind w:left="460" w:hanging="452"/>
        <w:spacing w:after="0"/>
        <w:tabs>
          <w:tab w:leader="none" w:pos="4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December 31, 2025, there were 2,986,025 shares of common stock remaining and available for future issuances under the 2015 Plan.</w:t>
      </w:r>
    </w:p>
    <w:p>
      <w:pPr>
        <w:spacing w:after="0" w:line="72"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21,303,334 shares of common stock, plus the number of shares available for issuance is increased to the extent that awards granted under the 2020 Plan and the Company’s 2014 Equity Incentive Plan are forfeited or expire (except as otherwise provided in the 2020 Plan). As of December 31, 2025, there were 6,864,306 shares remaining and available for future issuances under the 2020 Plan.</w:t>
      </w:r>
    </w:p>
    <w:p>
      <w:pPr>
        <w:spacing w:after="0" w:line="79"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2025 is as follows:</w:t>
      </w:r>
    </w:p>
    <w:p>
      <w:pPr>
        <w:spacing w:after="0" w:line="3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1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vMerge w:val="restart"/>
          </w:tcPr>
          <w:p>
            <w:pPr>
              <w:spacing w:after="0"/>
              <w:rPr>
                <w:sz w:val="12"/>
                <w:szCs w:val="12"/>
                <w:color w:val="auto"/>
              </w:rPr>
            </w:pPr>
          </w:p>
        </w:tc>
        <w:tc>
          <w:tcPr>
            <w:tcW w:w="90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598,540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5"/>
              </w:rPr>
              <w:t>7.08</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11,174,201</w:t>
            </w:r>
          </w:p>
        </w:tc>
        <w:tc>
          <w:tcPr>
            <w:tcW w:w="9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0.61</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Cancelled/forfeited</w:t>
            </w:r>
          </w:p>
        </w:tc>
        <w:tc>
          <w:tcPr>
            <w:tcW w:w="1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(125,814)</w:t>
            </w:r>
          </w:p>
        </w:tc>
        <w:tc>
          <w:tcPr>
            <w:tcW w:w="9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5"/>
              </w:rPr>
              <w:t>4.50</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11,646,927</w:t>
            </w: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0.90</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3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10,559,625</w:t>
            </w:r>
          </w:p>
        </w:tc>
        <w:tc>
          <w:tcPr>
            <w:tcW w:w="900" w:type="dxa"/>
            <w:vAlign w:val="bottom"/>
            <w:shd w:val="clear" w:color="auto" w:fill="CFF0FC"/>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w w:val="95"/>
              </w:rPr>
              <w:t>0.93</w:t>
            </w:r>
          </w:p>
        </w:tc>
        <w:tc>
          <w:tcPr>
            <w:tcW w:w="12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1,683,986</w:t>
            </w:r>
          </w:p>
        </w:tc>
        <w:tc>
          <w:tcPr>
            <w:tcW w:w="220" w:type="dxa"/>
            <w:vAlign w:val="bottom"/>
          </w:tcPr>
          <w:p>
            <w:pPr>
              <w:spacing w:after="0"/>
              <w:rPr>
                <w:sz w:val="17"/>
                <w:szCs w:val="17"/>
                <w:color w:val="auto"/>
              </w:rPr>
            </w:pPr>
          </w:p>
        </w:tc>
        <w:tc>
          <w:tcPr>
            <w:tcW w:w="900" w:type="dxa"/>
            <w:vAlign w:val="bottom"/>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w w:val="95"/>
              </w:rPr>
              <w:t>2.51</w:t>
            </w:r>
          </w:p>
        </w:tc>
        <w:tc>
          <w:tcPr>
            <w:tcW w:w="12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-496570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-496570</wp:posOffset>
            </wp:positionV>
            <wp:extent cx="596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-187960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-170815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-187960</wp:posOffset>
            </wp:positionV>
            <wp:extent cx="596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-170815</wp:posOffset>
            </wp:positionV>
            <wp:extent cx="596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032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603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86"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Company settles exercises of stock options with newly issued shares of its common stock. There were no stock options exercised in 2025 or 2024.</w:t>
      </w:r>
    </w:p>
    <w:p>
      <w:pPr>
        <w:spacing w:after="0" w:line="54"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As of December 31, 2025, the total compensation cost related to non-vested stock options not yet recognized for all the Company’s plans is approximately $5.1 million, which is expected to be recognized as a result of vesting under service conditions over a weighted average period of 3.17 years.</w:t>
      </w:r>
    </w:p>
    <w:p>
      <w:pPr>
        <w:spacing w:after="0" w:line="68" w:lineRule="exact"/>
        <w:rPr>
          <w:sz w:val="20"/>
          <w:szCs w:val="20"/>
          <w:color w:val="auto"/>
        </w:rPr>
      </w:pPr>
    </w:p>
    <w:p>
      <w:pPr>
        <w:jc w:val="both"/>
        <w:ind w:left="520" w:right="20" w:firstLine="299"/>
        <w:spacing w:after="0" w:line="266" w:lineRule="auto"/>
        <w:rPr>
          <w:sz w:val="20"/>
          <w:szCs w:val="20"/>
          <w:color w:val="auto"/>
        </w:rPr>
      </w:pPr>
      <w:r>
        <w:rPr>
          <w:rFonts w:ascii="Times New Roman" w:cs="Times New Roman" w:eastAsia="Times New Roman" w:hAnsi="Times New Roman"/>
          <w:sz w:val="18"/>
          <w:szCs w:val="18"/>
          <w:color w:val="auto"/>
        </w:rPr>
        <w:t>The estimated fair value of options, including the effect of estimated forfeitures, is recognized over the requisite service period, which is typically the vesting period of each option. The fair value of each option awarded during the years ended December 31, 2025 and 2024 was estimated on the date of grant using the Black-Scholes-Merton option valuation model based on the following weighted-average assumptions:</w:t>
      </w:r>
    </w:p>
    <w:p>
      <w:pPr>
        <w:spacing w:after="0" w:line="26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7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Resulting fair value</w:t>
            </w:r>
          </w:p>
        </w:tc>
        <w:tc>
          <w:tcPr>
            <w:tcW w:w="2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The weighted average risk-free interest rate represents the interest rate for treasury constant maturity instruments published by the Federal Reserve Board. If the term of available treasury constant maturity instruments is not equal to the expected term of 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employee option, the Company uses the weighted average of the two Federal Reserve securities closest to the expected term of the employee option.</w:t>
      </w:r>
    </w:p>
    <w:p>
      <w:pPr>
        <w:spacing w:after="0" w:line="117"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dividend yield has been assumed to be zero as the Company (a) has never declared or paid any dividends and (b) does not currently anticipate paying any cash dividends on its outstanding shares of common stock in the foreseeable future.</w:t>
      </w:r>
    </w:p>
    <w:p>
      <w:pPr>
        <w:spacing w:after="0" w:line="54" w:lineRule="exact"/>
        <w:rPr>
          <w:sz w:val="20"/>
          <w:szCs w:val="20"/>
          <w:color w:val="auto"/>
        </w:rPr>
      </w:pPr>
    </w:p>
    <w:p>
      <w:pPr>
        <w:jc w:val="both"/>
        <w:ind w:left="520" w:right="20" w:firstLine="299"/>
        <w:spacing w:after="0" w:line="282" w:lineRule="auto"/>
        <w:rPr>
          <w:sz w:val="20"/>
          <w:szCs w:val="20"/>
          <w:color w:val="auto"/>
        </w:rPr>
      </w:pPr>
      <w:r>
        <w:rPr>
          <w:rFonts w:ascii="Times New Roman" w:cs="Times New Roman" w:eastAsia="Times New Roman" w:hAnsi="Times New Roman"/>
          <w:sz w:val="18"/>
          <w:szCs w:val="18"/>
          <w:color w:val="auto"/>
        </w:rPr>
        <w:t>Generally, restricted stock units represent the right to receive a certain number of shares of common stock subject to certain vesting conditions and other restrictions. The fair value of restricted stock units is determined by the closing market price on the grant date.</w:t>
      </w:r>
    </w:p>
    <w:p>
      <w:pPr>
        <w:spacing w:after="0" w:line="5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 summary of restricted stock unit activity for the year ended December 31, 2025 is as follows:</w:t>
      </w:r>
    </w:p>
    <w:p>
      <w:pPr>
        <w:spacing w:after="0" w:line="9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32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20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2,948,545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(219,193)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Cancelled/forfeited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(91,764)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2,637,588</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-25400</wp:posOffset>
            </wp:positionV>
            <wp:extent cx="603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Restricted stock units granted during the year ended December 31, 2025 generally vest over a 36-month period upon satisfaction of service conditions. As of December 31, 2025, the total compensation cost related to non-vested restricted stock units not yet recognized for all the Company’s plans is approximately $1.1 million, which is expected to be recognized as a result of vesting under service conditions over a weighted average period of 2.53 years.</w:t>
      </w:r>
    </w:p>
    <w:p>
      <w:pPr>
        <w:spacing w:after="0" w:line="72"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share-based compensation recognized during the years ended December 31, 2025 and 2024 in the statement of operations (in thousands):</w:t>
      </w:r>
    </w:p>
    <w:p>
      <w:pPr>
        <w:spacing w:after="0" w:line="263" w:lineRule="exact"/>
        <w:rPr>
          <w:sz w:val="20"/>
          <w:szCs w:val="20"/>
          <w:color w:val="auto"/>
        </w:rPr>
      </w:pPr>
    </w:p>
    <w:tbl>
      <w:tblPr>
        <w:tblLayout w:type="fixed"/>
        <w:tblInd w:w="10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2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8"/>
                <w:szCs w:val="18"/>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7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9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ind w:left="460" w:hanging="452"/>
        <w:spacing w:after="0"/>
        <w:tabs>
          <w:tab w:leader="none" w:pos="4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Company operates under one reportable business segment to advance the development, manufacturing and commercialization of complex and innovative treatments for patients battling cancer and other life-threatening diseases. The determination of a single reportable business segment is consistent with the consolidated financial information regularly provided to the Company’s CODM. All of the Company's long-term assets and operations are located in the United States. The Company’s CODM is its Chief Executive Officer, who reviews financial information presented on a consolidated basis for purposes of making operating decisions, allocating resources, and evaluating financial performance, including comparing actual results to budgets and forecasts to assess variances, identify trends, and guide strategic planning.</w:t>
      </w:r>
    </w:p>
    <w:p>
      <w:pPr>
        <w:spacing w:after="0" w:line="79" w:lineRule="exact"/>
        <w:rPr>
          <w:sz w:val="20"/>
          <w:szCs w:val="20"/>
          <w:color w:val="auto"/>
        </w:rPr>
      </w:pPr>
    </w:p>
    <w:p>
      <w:pPr>
        <w:jc w:val="both"/>
        <w:ind w:left="520" w:firstLine="299"/>
        <w:spacing w:after="0" w:line="258"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the consolidated statements of operations, the below disaggregated amounts comprise significant research and development and general and administrative expenses. These expenses consist of (1) clinical, manufacturing and research contracts for research and development programs, (2) personnel-related expenses, including salaries, benefits and share-based compensation, (3) professional fees, including third-party costs for goods and services such as lab supplies and contract research, and legal and other professional expenses, and (4) facility and other overhead expenses, including depreciation, occupancy, travel, insurance and other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8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Clinical, development and licensing expenses</w:t>
            </w: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5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1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8"/>
                <w:szCs w:val="18"/>
                <w:color w:val="auto"/>
              </w:rPr>
            </w:pPr>
          </w:p>
        </w:tc>
      </w:tr>
      <w:tr>
        <w:trPr>
          <w:trHeight w:val="209"/>
        </w:trPr>
        <w:tc>
          <w:tcPr>
            <w:tcW w:w="49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Personnel related expenses</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100" w:type="dxa"/>
            <w:vAlign w:val="bottom"/>
            <w:shd w:val="clear" w:color="auto" w:fill="CFF0FC"/>
          </w:tcPr>
          <w:p>
            <w:pPr>
              <w:spacing w:after="0"/>
              <w:rPr>
                <w:sz w:val="18"/>
                <w:szCs w:val="18"/>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expenses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Facility and other overhead expenses</w:t>
            </w:r>
          </w:p>
        </w:tc>
        <w:tc>
          <w:tcPr>
            <w:tcW w:w="16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12,132</w:t>
            </w:r>
          </w:p>
        </w:tc>
        <w:tc>
          <w:tcPr>
            <w:tcW w:w="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-156845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6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All of the Company's long-term assets and operations are located in the United States.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January 2026 Public Offering</w:t>
      </w:r>
    </w:p>
    <w:p>
      <w:pPr>
        <w:spacing w:after="0" w:line="119" w:lineRule="exact"/>
        <w:rPr>
          <w:sz w:val="20"/>
          <w:szCs w:val="20"/>
          <w:color w:val="auto"/>
        </w:rPr>
      </w:pPr>
    </w:p>
    <w:p>
      <w:pPr>
        <w:jc w:val="both"/>
        <w:ind w:left="520" w:firstLine="299"/>
        <w:spacing w:after="0" w:line="254" w:lineRule="auto"/>
        <w:rPr>
          <w:sz w:val="20"/>
          <w:szCs w:val="20"/>
          <w:color w:val="auto"/>
        </w:rPr>
      </w:pPr>
      <w:r>
        <w:rPr>
          <w:rFonts w:ascii="Times New Roman" w:cs="Times New Roman" w:eastAsia="Times New Roman" w:hAnsi="Times New Roman"/>
          <w:sz w:val="18"/>
          <w:szCs w:val="18"/>
          <w:color w:val="auto"/>
        </w:rPr>
        <w:t>On January 13, 2026, the Company entered into an underwriting agreement (the “Underwriting Agreement”) with Lake Street Capital Markets, LLC, as the underwriter (the “Underwriter”), pursuant to which the Company (a) agreed to issue and sell, in an underwritten public offering an aggregate of (i) 39,473,684 shares of common stock, par value $ 0.001 per share and (ii) warrants to purchase 39,473,684 shares of common stock, at a combined public offering price of $0.38 per share and warrant, and (b) granted the Underwriter a 30-day option to purchase up to an additional 5,921,052 shares of Common Stock, additional Warrants to purchase up to 5,921,052 shares of Common Stock or any combination thereof, at the public offering price, in each case less underwriting discounts and commissions. Each warrant is immediately exercisable, entitles the holder to purchase one share of common stock at an exercise price of $0.38 per share and expires five (5) years from the date of issuance. On January 14, 2026, the Underwriter exercised its over-allotment option with respect to additional warrants to purchase 5,921,052 shares of Common Stock.</w:t>
      </w:r>
    </w:p>
    <w:p>
      <w:pPr>
        <w:spacing w:after="0" w:line="84"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offering closed on January 15, 2026. Net proceeds from the offering were approximately $13.3 million after deducting the underwriting discounts and commissions and other estimated offering expenses payable by the Company. The Company intends to use the net proceeds of this offering for working capital and general corporate purposes.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Investor Liability Pursuant to Letter Agreement</w:t>
      </w:r>
    </w:p>
    <w:p>
      <w:pPr>
        <w:spacing w:after="0" w:line="119" w:lineRule="exact"/>
        <w:rPr>
          <w:sz w:val="20"/>
          <w:szCs w:val="20"/>
          <w:color w:val="auto"/>
        </w:rPr>
      </w:pPr>
    </w:p>
    <w:p>
      <w:pPr>
        <w:jc w:val="both"/>
        <w:ind w:left="520" w:firstLine="299"/>
        <w:spacing w:after="0" w:line="261" w:lineRule="auto"/>
        <w:rPr>
          <w:sz w:val="20"/>
          <w:szCs w:val="20"/>
          <w:color w:val="auto"/>
        </w:rPr>
      </w:pPr>
      <w:r>
        <w:rPr>
          <w:rFonts w:ascii="Times New Roman" w:cs="Times New Roman" w:eastAsia="Times New Roman" w:hAnsi="Times New Roman"/>
          <w:sz w:val="18"/>
          <w:szCs w:val="18"/>
          <w:color w:val="auto"/>
        </w:rPr>
        <w:t>Subsequent to December 31, 2025, the Company paid the March 2025 Private Placement Purchasers $4.5 million to fully satisfy the investor liability owed under the modified Letter Agreement, and 6.8 million shares were returned and cancelled under the terms of the Letter Agreement. Due to the $4.5 million payoff, there is no longer a requirement to retain sufficient funds in an interest bearing account to cover such repayment obligations, and as such, the restriction lapsed on the $4.5 million of restricted cash and cash equivalents.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ind w:right="37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rFonts w:ascii="Times New Roman" w:cs="Times New Roman" w:eastAsia="Times New Roman" w:hAnsi="Times New Roman"/>
          <w:sz w:val="18"/>
          <w:szCs w:val="18"/>
          <w:i w:val="1"/>
          <w:iCs w:val="1"/>
          <w:color w:val="auto"/>
        </w:rPr>
      </w:pPr>
    </w:p>
    <w:p>
      <w:pPr>
        <w:jc w:val="both"/>
        <w:ind w:left="102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furnished pursuant to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accounting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83" w:lineRule="exact"/>
        <w:rPr>
          <w:rFonts w:ascii="Times New Roman" w:cs="Times New Roman" w:eastAsia="Times New Roman" w:hAnsi="Times New Roman"/>
          <w:sz w:val="18"/>
          <w:szCs w:val="18"/>
          <w:i w:val="1"/>
          <w:iCs w:val="1"/>
          <w:color w:val="auto"/>
        </w:rPr>
      </w:pPr>
    </w:p>
    <w:p>
      <w:pPr>
        <w:jc w:val="both"/>
        <w:ind w:left="102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our disclosure controls and procedures, as such term is defined under Rule 13a-15(e) promulgated under the Exchange Act as of the end of the period covered by this Annual Report on Form 10-K. Based on the foregoing, our Chief Executive Officer and Chief Financial Officer concluded that our disclosure controls and procedures as of the end of the period covered by this Annual Report were effective.</w:t>
      </w:r>
    </w:p>
    <w:p>
      <w:pPr>
        <w:spacing w:after="0" w:line="289" w:lineRule="exact"/>
        <w:rPr>
          <w:rFonts w:ascii="Times New Roman" w:cs="Times New Roman" w:eastAsia="Times New Roman" w:hAnsi="Times New Roman"/>
          <w:sz w:val="18"/>
          <w:szCs w:val="18"/>
          <w:i w:val="1"/>
          <w:iCs w:val="1"/>
          <w:color w:val="auto"/>
        </w:rPr>
      </w:pPr>
    </w:p>
    <w:p>
      <w:pPr>
        <w:ind w:left="1020" w:hanging="503"/>
        <w:spacing w:after="0"/>
        <w:tabs>
          <w:tab w:leader="none" w:pos="102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rFonts w:ascii="Times New Roman" w:cs="Times New Roman" w:eastAsia="Times New Roman" w:hAnsi="Times New Roman"/>
          <w:sz w:val="18"/>
          <w:szCs w:val="18"/>
          <w:i w:val="1"/>
          <w:iCs w:val="1"/>
          <w:color w:val="auto"/>
        </w:rPr>
      </w:pPr>
    </w:p>
    <w:p>
      <w:pPr>
        <w:jc w:val="both"/>
        <w:ind w:left="102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 13a-15(f) or 15d-15(f) under the Exchange Act as a process designed by, or under the supervision of, our Chief Executive Officer (principal executive officer) and Chief Financial Officer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rFonts w:ascii="Times New Roman" w:cs="Times New Roman" w:eastAsia="Times New Roman" w:hAnsi="Times New Roman"/>
          <w:sz w:val="18"/>
          <w:szCs w:val="18"/>
          <w:i w:val="1"/>
          <w:iCs w:val="1"/>
          <w:color w:val="auto"/>
        </w:rPr>
      </w:pPr>
    </w:p>
    <w:p>
      <w:pPr>
        <w:ind w:left="1400" w:right="520" w:hanging="373"/>
        <w:spacing w:after="0" w:line="261"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jc w:val="both"/>
        <w:ind w:left="1400" w:hanging="373"/>
        <w:spacing w:after="0" w:line="250"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authorizations of management and our Board; and</w:t>
      </w:r>
    </w:p>
    <w:p>
      <w:pPr>
        <w:spacing w:after="0" w:line="1" w:lineRule="exact"/>
        <w:rPr>
          <w:rFonts w:ascii="Times New Roman" w:cs="Times New Roman" w:eastAsia="Times New Roman" w:hAnsi="Times New Roman"/>
          <w:sz w:val="18"/>
          <w:szCs w:val="18"/>
          <w:color w:val="auto"/>
        </w:rPr>
      </w:pPr>
    </w:p>
    <w:p>
      <w:pPr>
        <w:ind w:left="1400" w:hanging="373"/>
        <w:spacing w:after="0" w:line="260" w:lineRule="auto"/>
        <w:tabs>
          <w:tab w:leader="none" w:pos="14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73"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conducted an evaluation of the effectiveness of our internal control over financial reporting as of the end of the fiscal year covered by this Annual Report on Form 10-K based on the criteria set forth in Internal Control - Integrated Framework (2013) issued by the Committee of Sponsoring Organizations of the Treadway Commission (COSO). Based on our evaluation, management concluded that our internal control over financial reporting was effective as of December 31, 2025 based on the COSO criteria.</w:t>
      </w:r>
    </w:p>
    <w:p>
      <w:pPr>
        <w:spacing w:after="0" w:line="75" w:lineRule="exact"/>
        <w:rPr>
          <w:sz w:val="20"/>
          <w:szCs w:val="20"/>
          <w:color w:val="auto"/>
        </w:rPr>
      </w:pPr>
    </w:p>
    <w:p>
      <w:pPr>
        <w:jc w:val="both"/>
        <w:ind w:left="1020" w:right="20"/>
        <w:spacing w:after="0" w:line="282" w:lineRule="auto"/>
        <w:rPr>
          <w:sz w:val="20"/>
          <w:szCs w:val="20"/>
          <w:color w:val="auto"/>
        </w:rPr>
      </w:pPr>
      <w:r>
        <w:rPr>
          <w:rFonts w:ascii="Times New Roman" w:cs="Times New Roman" w:eastAsia="Times New Roman" w:hAnsi="Times New Roman"/>
          <w:sz w:val="18"/>
          <w:szCs w:val="18"/>
          <w:color w:val="auto"/>
        </w:rPr>
        <w:t>This report does not include an attestation report on internal control over financial reporting by the Company’s independent registered public accounting firm because the Company is a smaller reporting company under the rules of the SEC.</w:t>
      </w:r>
    </w:p>
    <w:p>
      <w:pPr>
        <w:spacing w:after="0" w:line="52" w:lineRule="exact"/>
        <w:rPr>
          <w:sz w:val="20"/>
          <w:szCs w:val="20"/>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rFonts w:ascii="Times New Roman" w:cs="Times New Roman" w:eastAsia="Times New Roman" w:hAnsi="Times New Roman"/>
          <w:sz w:val="18"/>
          <w:szCs w:val="18"/>
          <w:i w:val="1"/>
          <w:iCs w:val="1"/>
          <w:color w:val="auto"/>
        </w:rPr>
      </w:pPr>
    </w:p>
    <w:p>
      <w:pPr>
        <w:ind w:left="10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have been no changes in our internal control over financial reporting during the quarter ended December 31, 2025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1000" w:hanging="243"/>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Arrangements</w:t>
      </w:r>
    </w:p>
    <w:p>
      <w:pPr>
        <w:sectPr>
          <w:pgSz w:w="11900" w:h="16838" w:orient="portrait"/>
          <w:cols w:equalWidth="0" w:num="1">
            <w:col w:w="11240"/>
          </w:cols>
          <w:pgMar w:left="320" w:top="513" w:right="3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313"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For the quarter ended December 31, 2025, none of the Company’s directors or officers (as defined under SEC Rule 16a-1(f))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3" w:lineRule="exact"/>
        <w:rPr>
          <w:sz w:val="20"/>
          <w:szCs w:val="20"/>
          <w:color w:val="auto"/>
        </w:rPr>
      </w:pPr>
    </w:p>
    <w:p>
      <w:pPr>
        <w:jc w:val="both"/>
        <w:ind w:left="520" w:firstLine="299"/>
        <w:spacing w:after="0" w:line="25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“Corporate Governance – Director Candidates,” “Corporate Governance – Biographical Information About Our Director Nominees,” “Corporate Governance – Term of Office,” “Corporate Governance – Family Relationships,” “Executive Officers,” “Corporate Governance – Delinquent Section 16(a) Reports,” “Corporate Governance – Code of Business Conduct and Ethics,” “Corporate Governance – Board Committees” and “Corporate Governance – Insider Trading Policy” in our definitive proxy statement to be filed with the SEC, in connection with our 2026 annual meeting of stockholders (the “Proxy Statement”), which is expected to be filed not later than 120 days after the end of our fiscal year ended December 31, 2025, and is incorporated herein by reference.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left="520" w:firstLine="29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captions “Executive Compensation,” “Corporate Governance – Compensation Committee Interlocks and Insider Participation,” “Corporate Governance – Compensation Committee Report,” “Director Compensation” and “Pay Versus Performance” in the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“Security Ownership of Certain Beneficial Owners and Management” and “Executive Compensation — Equity Compensation Plan Information” in the Proxy Statement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“Certain Relationships and Related Transactions” and in the Proxy Statement and is incorporated herein by reference.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jc w:val="both"/>
        <w:ind w:left="520" w:firstLine="29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under the caption “Audit Matters”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21"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The responses to this portion of Item 15 are set forth under Part II, Item 8 above. The following documents statements are filed as part of this report:</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Balance Sheets — December 31, 2025 and 2024</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Statements of Operations — December 31, 2025 and 2024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Statements of Stockholders’ Equity (Deficit) — December 31, 2025 and 2024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Statements of Cash Flows — December 31, 2025 and 2024</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311" w:lineRule="exact"/>
        <w:rPr>
          <w:sz w:val="20"/>
          <w:szCs w:val="20"/>
          <w:color w:val="auto"/>
        </w:rPr>
      </w:pPr>
    </w:p>
    <w:p>
      <w:pPr>
        <w:ind w:left="820" w:right="8120" w:hanging="812"/>
        <w:spacing w:after="0" w:line="412" w:lineRule="auto"/>
        <w:tabs>
          <w:tab w:leader="none" w:pos="26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 Financial Statement Schedules.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(a) (3)</w:t>
        <w:tab/>
        <w:t>Exhibits.</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List of Exhibits required by Item 601 of Regulation S-K. See Item 15(b)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Exhibits.</w:t>
      </w:r>
    </w:p>
    <w:p>
      <w:pPr>
        <w:spacing w:after="0" w:line="121" w:lineRule="exact"/>
        <w:rPr>
          <w:sz w:val="20"/>
          <w:szCs w:val="20"/>
          <w:color w:val="auto"/>
        </w:rPr>
      </w:pPr>
    </w:p>
    <w:p>
      <w:pPr>
        <w:ind w:left="520" w:firstLine="299"/>
        <w:spacing w:after="0" w:line="282" w:lineRule="auto"/>
        <w:rPr>
          <w:sz w:val="20"/>
          <w:szCs w:val="20"/>
          <w:color w:val="auto"/>
        </w:rPr>
      </w:pPr>
      <w:r>
        <w:rPr>
          <w:rFonts w:ascii="Times New Roman" w:cs="Times New Roman" w:eastAsia="Times New Roman" w:hAnsi="Times New Roman"/>
          <w:sz w:val="18"/>
          <w:szCs w:val="18"/>
          <w:color w:val="auto"/>
        </w:rPr>
        <w:t>The exhibits listed in the accompanying “Exhibit Index” are filed, furnished or incorporated by reference as part of this Annual Report, as indicated.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PLUS THERAPEUTICS, INC.</w:t>
      </w:r>
    </w:p>
    <w:p>
      <w:pPr>
        <w:sectPr>
          <w:pgSz w:w="11900" w:h="16838" w:orient="portrait"/>
          <w:cols w:equalWidth="0" w:num="1">
            <w:col w:w="10960"/>
          </w:cols>
          <w:pgMar w:left="320" w:top="513" w:right="619" w:bottom="1440" w:gutter="0" w:footer="0" w:header="0"/>
        </w:sectPr>
      </w:pPr>
    </w:p>
    <w:p>
      <w:pPr>
        <w:spacing w:after="0" w:line="3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w:t>
      </w:r>
    </w:p>
    <w:p>
      <w:pPr>
        <w:spacing w:after="0" w:line="35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3.2</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3.4</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3.5</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3.6</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3.7</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3.8</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3.9</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3.10</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4.1</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4.2</w:t>
      </w:r>
    </w:p>
    <w:p>
      <w:pPr>
        <w:spacing w:after="0" w:line="27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4.3</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4.4</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4.5</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4.6</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4.7</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4.8</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234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192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rPr>
              <w:t>Filed with</w:t>
            </w:r>
          </w:p>
        </w:tc>
        <w:tc>
          <w:tcPr>
            <w:tcW w:w="0" w:type="dxa"/>
            <w:vAlign w:val="bottom"/>
          </w:tcPr>
          <w:p>
            <w:pPr>
              <w:spacing w:after="0"/>
              <w:rPr>
                <w:sz w:val="1"/>
                <w:szCs w:val="1"/>
                <w:color w:val="auto"/>
              </w:rPr>
            </w:pPr>
          </w:p>
        </w:tc>
      </w:tr>
      <w:tr>
        <w:trPr>
          <w:trHeight w:val="148"/>
        </w:trPr>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1920" w:type="dxa"/>
            <w:vAlign w:val="bottom"/>
          </w:tcPr>
          <w:p>
            <w:pPr>
              <w:jc w:val="center"/>
              <w:ind w:left="1208"/>
              <w:spacing w:after="0" w:line="149" w:lineRule="exact"/>
              <w:rPr>
                <w:sz w:val="20"/>
                <w:szCs w:val="20"/>
                <w:color w:val="auto"/>
              </w:rPr>
            </w:pPr>
            <w:r>
              <w:rPr>
                <w:rFonts w:ascii="Times New Roman" w:cs="Times New Roman" w:eastAsia="Times New Roman" w:hAnsi="Times New Roman"/>
                <w:sz w:val="14"/>
                <w:szCs w:val="14"/>
                <w:b w:val="1"/>
                <w:bCs w:val="1"/>
                <w:color w:val="auto"/>
              </w:rPr>
              <w:t>this Form</w:t>
            </w:r>
          </w:p>
        </w:tc>
        <w:tc>
          <w:tcPr>
            <w:tcW w:w="0" w:type="dxa"/>
            <w:vAlign w:val="bottom"/>
          </w:tcPr>
          <w:p>
            <w:pPr>
              <w:spacing w:after="0"/>
              <w:rPr>
                <w:sz w:val="1"/>
                <w:szCs w:val="1"/>
                <w:color w:val="auto"/>
              </w:rPr>
            </w:pPr>
          </w:p>
        </w:tc>
      </w:tr>
      <w:tr>
        <w:trPr>
          <w:trHeight w:val="190"/>
        </w:trPr>
        <w:tc>
          <w:tcPr>
            <w:tcW w:w="2060" w:type="dxa"/>
            <w:vAlign w:val="bottom"/>
            <w:vMerge w:val="continue"/>
          </w:tcPr>
          <w:p>
            <w:pPr>
              <w:spacing w:after="0"/>
              <w:rPr>
                <w:sz w:val="16"/>
                <w:szCs w:val="16"/>
                <w:color w:val="auto"/>
              </w:rPr>
            </w:pPr>
          </w:p>
        </w:tc>
        <w:tc>
          <w:tcPr>
            <w:tcW w:w="1920" w:type="dxa"/>
            <w:vAlign w:val="bottom"/>
          </w:tcPr>
          <w:p>
            <w:pPr>
              <w:jc w:val="center"/>
              <w:ind w:left="1208"/>
              <w:spacing w:after="0"/>
              <w:rPr>
                <w:sz w:val="20"/>
                <w:szCs w:val="20"/>
                <w:color w:val="auto"/>
              </w:rPr>
            </w:pPr>
            <w:r>
              <w:rPr>
                <w:rFonts w:ascii="Times New Roman" w:cs="Times New Roman" w:eastAsia="Times New Roman" w:hAnsi="Times New Roman"/>
                <w:sz w:val="14"/>
                <w:szCs w:val="14"/>
                <w:b w:val="1"/>
                <w:bCs w:val="1"/>
                <w:color w:val="auto"/>
              </w:rPr>
              <w:t>10-K</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38">
        <w:r>
          <w:rPr>
            <w:rFonts w:ascii="Times New Roman" w:cs="Times New Roman" w:eastAsia="Times New Roman" w:hAnsi="Times New Roman"/>
            <w:sz w:val="18"/>
            <w:szCs w:val="18"/>
            <w:u w:val="single" w:color="auto"/>
            <w:color w:val="0000FF"/>
          </w:rPr>
          <w:t>Composite Certificate of 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77990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1779905" cy="8890"/>
                    </a:xfrm>
                    <a:prstGeom prst="rect">
                      <a:avLst/>
                    </a:prstGeom>
                    <a:noFill/>
                  </pic:spPr>
                </pic:pic>
              </a:graphicData>
            </a:graphic>
          </wp:anchor>
        </w:drawing>
      </w:r>
    </w:p>
    <w:p>
      <w:pPr>
        <w:spacing w:after="0" w:line="178" w:lineRule="exact"/>
        <w:rPr>
          <w:sz w:val="20"/>
          <w:szCs w:val="20"/>
          <w:color w:val="auto"/>
        </w:rPr>
      </w:pPr>
    </w:p>
    <w:p>
      <w:pPr>
        <w:ind w:right="1540"/>
        <w:spacing w:after="0" w:line="282" w:lineRule="auto"/>
        <w:rPr>
          <w:rFonts w:ascii="Times New Roman" w:cs="Times New Roman" w:eastAsia="Times New Roman" w:hAnsi="Times New Roman"/>
          <w:sz w:val="18"/>
          <w:szCs w:val="18"/>
          <w:u w:val="single" w:color="auto"/>
          <w:color w:val="0000FF"/>
        </w:rPr>
      </w:pPr>
      <w:hyperlink r:id="rId440">
        <w:r>
          <w:rPr>
            <w:rFonts w:ascii="Times New Roman" w:cs="Times New Roman" w:eastAsia="Times New Roman" w:hAnsi="Times New Roman"/>
            <w:sz w:val="18"/>
            <w:szCs w:val="18"/>
            <w:u w:val="single" w:color="auto"/>
            <w:color w:val="0000FF"/>
          </w:rPr>
          <w:t>Certificate of Amendment to Amended and Restated Certificate of</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06768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30676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62166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34" w:lineRule="exact"/>
        <w:rPr>
          <w:sz w:val="20"/>
          <w:szCs w:val="20"/>
          <w:color w:val="auto"/>
        </w:rPr>
      </w:pPr>
    </w:p>
    <w:p>
      <w:pPr>
        <w:ind w:right="1540"/>
        <w:spacing w:after="0" w:line="282" w:lineRule="auto"/>
        <w:rPr>
          <w:rFonts w:ascii="Times New Roman" w:cs="Times New Roman" w:eastAsia="Times New Roman" w:hAnsi="Times New Roman"/>
          <w:sz w:val="18"/>
          <w:szCs w:val="18"/>
          <w:u w:val="single" w:color="auto"/>
          <w:color w:val="0000FF"/>
        </w:rPr>
      </w:pPr>
      <w:hyperlink r:id="rId440">
        <w:r>
          <w:rPr>
            <w:rFonts w:ascii="Times New Roman" w:cs="Times New Roman" w:eastAsia="Times New Roman" w:hAnsi="Times New Roman"/>
            <w:sz w:val="18"/>
            <w:szCs w:val="18"/>
            <w:u w:val="single" w:color="auto"/>
            <w:color w:val="0000FF"/>
          </w:rPr>
          <w:t>Certificate of Amendment to Amended and Restated Certificate of</w:t>
        </w:r>
      </w:hyperlink>
      <w:r>
        <w:rPr>
          <w:rFonts w:ascii="Times New Roman" w:cs="Times New Roman" w:eastAsia="Times New Roman" w:hAnsi="Times New Roman"/>
          <w:sz w:val="18"/>
          <w:szCs w:val="18"/>
          <w:u w:val="single" w:color="auto"/>
          <w:color w:val="0000FF"/>
        </w:rPr>
        <w:t xml:space="preserve"> </w:t>
      </w:r>
      <w:hyperlink r:id="rId440">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06768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30676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6216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621665" cy="8255"/>
                    </a:xfrm>
                    <a:prstGeom prst="rect">
                      <a:avLst/>
                    </a:prstGeom>
                    <a:noFill/>
                  </pic:spPr>
                </pic:pic>
              </a:graphicData>
            </a:graphic>
          </wp:anchor>
        </w:drawing>
      </w:r>
    </w:p>
    <w:p>
      <w:pPr>
        <w:spacing w:after="0" w:line="34" w:lineRule="exact"/>
        <w:rPr>
          <w:sz w:val="20"/>
          <w:szCs w:val="20"/>
          <w:color w:val="auto"/>
        </w:rPr>
      </w:pPr>
    </w:p>
    <w:p>
      <w:pPr>
        <w:ind w:right="1540"/>
        <w:spacing w:after="0" w:line="282" w:lineRule="auto"/>
        <w:rPr>
          <w:rFonts w:ascii="Times New Roman" w:cs="Times New Roman" w:eastAsia="Times New Roman" w:hAnsi="Times New Roman"/>
          <w:sz w:val="18"/>
          <w:szCs w:val="18"/>
          <w:u w:val="single" w:color="auto"/>
          <w:color w:val="0000FF"/>
        </w:rPr>
      </w:pPr>
      <w:hyperlink r:id="rId445">
        <w:r>
          <w:rPr>
            <w:rFonts w:ascii="Times New Roman" w:cs="Times New Roman" w:eastAsia="Times New Roman" w:hAnsi="Times New Roman"/>
            <w:sz w:val="18"/>
            <w:szCs w:val="18"/>
            <w:u w:val="single" w:color="auto"/>
            <w:color w:val="0000FF"/>
          </w:rPr>
          <w:t>Certificate of Amendment to Amended and Restated Certificate of</w:t>
        </w:r>
      </w:hyperlink>
      <w:r>
        <w:rPr>
          <w:rFonts w:ascii="Times New Roman" w:cs="Times New Roman" w:eastAsia="Times New Roman" w:hAnsi="Times New Roman"/>
          <w:sz w:val="18"/>
          <w:szCs w:val="18"/>
          <w:u w:val="single" w:color="auto"/>
          <w:color w:val="0000FF"/>
        </w:rPr>
        <w:t xml:space="preserve"> </w:t>
      </w:r>
      <w:hyperlink r:id="rId445">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06768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3067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62166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34" w:lineRule="exact"/>
        <w:rPr>
          <w:sz w:val="20"/>
          <w:szCs w:val="20"/>
          <w:color w:val="auto"/>
        </w:rPr>
      </w:pPr>
    </w:p>
    <w:p>
      <w:pPr>
        <w:ind w:right="1540"/>
        <w:spacing w:after="0" w:line="282" w:lineRule="auto"/>
        <w:rPr>
          <w:rFonts w:ascii="Times New Roman" w:cs="Times New Roman" w:eastAsia="Times New Roman" w:hAnsi="Times New Roman"/>
          <w:sz w:val="18"/>
          <w:szCs w:val="18"/>
          <w:u w:val="single" w:color="auto"/>
          <w:color w:val="0000FF"/>
        </w:rPr>
      </w:pPr>
      <w:hyperlink r:id="rId448">
        <w:r>
          <w:rPr>
            <w:rFonts w:ascii="Times New Roman" w:cs="Times New Roman" w:eastAsia="Times New Roman" w:hAnsi="Times New Roman"/>
            <w:sz w:val="18"/>
            <w:szCs w:val="18"/>
            <w:u w:val="single" w:color="auto"/>
            <w:color w:val="0000FF"/>
          </w:rPr>
          <w:t>Certificate of Amendment to Amended and Restated Certificate of</w:t>
        </w:r>
      </w:hyperlink>
      <w:r>
        <w:rPr>
          <w:rFonts w:ascii="Times New Roman" w:cs="Times New Roman" w:eastAsia="Times New Roman" w:hAnsi="Times New Roman"/>
          <w:sz w:val="18"/>
          <w:szCs w:val="18"/>
          <w:u w:val="single" w:color="auto"/>
          <w:color w:val="0000FF"/>
        </w:rPr>
        <w:t xml:space="preserve"> </w:t>
      </w:r>
      <w:hyperlink r:id="rId448">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06768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3067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62166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34" w:lineRule="exact"/>
        <w:rPr>
          <w:sz w:val="20"/>
          <w:szCs w:val="20"/>
          <w:color w:val="auto"/>
        </w:rPr>
      </w:pPr>
    </w:p>
    <w:p>
      <w:pPr>
        <w:ind w:right="1540"/>
        <w:spacing w:after="0" w:line="282" w:lineRule="auto"/>
        <w:rPr>
          <w:rFonts w:ascii="Times New Roman" w:cs="Times New Roman" w:eastAsia="Times New Roman" w:hAnsi="Times New Roman"/>
          <w:sz w:val="18"/>
          <w:szCs w:val="18"/>
          <w:u w:val="single" w:color="auto"/>
          <w:color w:val="0000FF"/>
        </w:rPr>
      </w:pPr>
      <w:hyperlink r:id="rId451">
        <w:r>
          <w:rPr>
            <w:rFonts w:ascii="Times New Roman" w:cs="Times New Roman" w:eastAsia="Times New Roman" w:hAnsi="Times New Roman"/>
            <w:sz w:val="18"/>
            <w:szCs w:val="18"/>
            <w:u w:val="single" w:color="auto"/>
            <w:color w:val="0000FF"/>
          </w:rPr>
          <w:t>Certificate of Amendment to Amended and Restated Certificate of</w:t>
        </w:r>
      </w:hyperlink>
      <w:r>
        <w:rPr>
          <w:rFonts w:ascii="Times New Roman" w:cs="Times New Roman" w:eastAsia="Times New Roman" w:hAnsi="Times New Roman"/>
          <w:sz w:val="18"/>
          <w:szCs w:val="18"/>
          <w:u w:val="single" w:color="auto"/>
          <w:color w:val="0000FF"/>
        </w:rPr>
        <w:t xml:space="preserve"> </w:t>
      </w:r>
      <w:hyperlink r:id="rId451">
        <w:r>
          <w:rPr>
            <w:rFonts w:ascii="Times New Roman" w:cs="Times New Roman" w:eastAsia="Times New Roman" w:hAnsi="Times New Roman"/>
            <w:sz w:val="18"/>
            <w:szCs w:val="18"/>
            <w:u w:val="single" w:color="auto"/>
            <w:color w:val="0000FF"/>
          </w:rPr>
          <w:t>Incorporation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06768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30676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62166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621665" cy="8890"/>
                    </a:xfrm>
                    <a:prstGeom prst="rect">
                      <a:avLst/>
                    </a:prstGeom>
                    <a:noFill/>
                  </pic:spPr>
                </pic:pic>
              </a:graphicData>
            </a:graphic>
          </wp:anchor>
        </w:drawing>
      </w:r>
    </w:p>
    <w:p>
      <w:pPr>
        <w:spacing w:after="0" w:line="14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54">
        <w:r>
          <w:rPr>
            <w:rFonts w:ascii="Times New Roman" w:cs="Times New Roman" w:eastAsia="Times New Roman" w:hAnsi="Times New Roman"/>
            <w:sz w:val="18"/>
            <w:szCs w:val="18"/>
            <w:u w:val="single" w:color="auto"/>
            <w:color w:val="0000FF"/>
          </w:rPr>
          <w:t>Certificate of Amendment to the Certificate of Incorporation,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33629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3362960" cy="8255"/>
                    </a:xfrm>
                    <a:prstGeom prst="rect">
                      <a:avLst/>
                    </a:prstGeom>
                    <a:noFill/>
                  </pic:spPr>
                </pic:pic>
              </a:graphicData>
            </a:graphic>
          </wp:anchor>
        </w:drawing>
      </w:r>
    </w:p>
    <w:p>
      <w:pPr>
        <w:spacing w:after="0" w:line="205" w:lineRule="exact"/>
        <w:rPr>
          <w:sz w:val="20"/>
          <w:szCs w:val="20"/>
          <w:color w:val="auto"/>
        </w:rPr>
      </w:pPr>
    </w:p>
    <w:p>
      <w:pPr>
        <w:ind w:right="960"/>
        <w:spacing w:after="0" w:line="282" w:lineRule="auto"/>
        <w:rPr>
          <w:rFonts w:ascii="Times New Roman" w:cs="Times New Roman" w:eastAsia="Times New Roman" w:hAnsi="Times New Roman"/>
          <w:sz w:val="18"/>
          <w:szCs w:val="18"/>
          <w:u w:val="single" w:color="auto"/>
          <w:color w:val="0000FF"/>
        </w:rPr>
      </w:pPr>
      <w:hyperlink r:id="rId456">
        <w:r>
          <w:rPr>
            <w:rFonts w:ascii="Times New Roman" w:cs="Times New Roman" w:eastAsia="Times New Roman" w:hAnsi="Times New Roman"/>
            <w:sz w:val="18"/>
            <w:szCs w:val="18"/>
            <w:u w:val="single" w:color="auto"/>
            <w:color w:val="0000FF"/>
          </w:rPr>
          <w:t>Certificate of Designation of Preferences, Rights and Limitations of Series</w:t>
        </w:r>
      </w:hyperlink>
      <w:r>
        <w:rPr>
          <w:rFonts w:ascii="Times New Roman" w:cs="Times New Roman" w:eastAsia="Times New Roman" w:hAnsi="Times New Roman"/>
          <w:sz w:val="18"/>
          <w:szCs w:val="18"/>
          <w:u w:val="single" w:color="auto"/>
          <w:color w:val="0000FF"/>
        </w:rPr>
        <w:t xml:space="preserve"> </w:t>
      </w:r>
      <w:hyperlink r:id="rId456">
        <w:r>
          <w:rPr>
            <w:rFonts w:ascii="Times New Roman" w:cs="Times New Roman" w:eastAsia="Times New Roman" w:hAnsi="Times New Roman"/>
            <w:sz w:val="18"/>
            <w:szCs w:val="18"/>
            <w:u w:val="single" w:color="auto"/>
            <w:color w:val="0000FF"/>
          </w:rPr>
          <w:t>B 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43598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3435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138620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34" w:lineRule="exact"/>
        <w:rPr>
          <w:sz w:val="20"/>
          <w:szCs w:val="20"/>
          <w:color w:val="auto"/>
        </w:rPr>
      </w:pPr>
    </w:p>
    <w:p>
      <w:pPr>
        <w:ind w:right="960"/>
        <w:spacing w:after="0" w:line="282" w:lineRule="auto"/>
        <w:rPr>
          <w:rFonts w:ascii="Times New Roman" w:cs="Times New Roman" w:eastAsia="Times New Roman" w:hAnsi="Times New Roman"/>
          <w:sz w:val="18"/>
          <w:szCs w:val="18"/>
          <w:u w:val="single" w:color="auto"/>
          <w:color w:val="0000FF"/>
        </w:rPr>
      </w:pPr>
      <w:hyperlink r:id="rId459">
        <w:r>
          <w:rPr>
            <w:rFonts w:ascii="Times New Roman" w:cs="Times New Roman" w:eastAsia="Times New Roman" w:hAnsi="Times New Roman"/>
            <w:sz w:val="18"/>
            <w:szCs w:val="18"/>
            <w:u w:val="single" w:color="auto"/>
            <w:color w:val="0000FF"/>
          </w:rPr>
          <w:t>Certificate of Designation of Preferences, Rights and Limitations of Series</w:t>
        </w:r>
      </w:hyperlink>
      <w:r>
        <w:rPr>
          <w:rFonts w:ascii="Times New Roman" w:cs="Times New Roman" w:eastAsia="Times New Roman" w:hAnsi="Times New Roman"/>
          <w:sz w:val="18"/>
          <w:szCs w:val="18"/>
          <w:u w:val="single" w:color="auto"/>
          <w:color w:val="0000FF"/>
        </w:rPr>
        <w:t xml:space="preserve"> </w:t>
      </w:r>
      <w:hyperlink r:id="rId459">
        <w:r>
          <w:rPr>
            <w:rFonts w:ascii="Times New Roman" w:cs="Times New Roman" w:eastAsia="Times New Roman" w:hAnsi="Times New Roman"/>
            <w:sz w:val="18"/>
            <w:szCs w:val="18"/>
            <w:u w:val="single" w:color="auto"/>
            <w:color w:val="0000FF"/>
          </w:rPr>
          <w:t>C Convertible Preferred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43598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0">
                      <a:extLst>
                        <a:ext uri="{28A0092B-C50C-407E-A947-70E740481C1C}"/>
                      </a:extLst>
                    </a:blip>
                    <a:srcRect/>
                    <a:stretch>
                      <a:fillRect/>
                    </a:stretch>
                  </pic:blipFill>
                  <pic:spPr bwMode="auto">
                    <a:xfrm>
                      <a:off x="0" y="0"/>
                      <a:ext cx="3435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138620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1">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8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62">
        <w:r>
          <w:rPr>
            <w:rFonts w:ascii="Times New Roman" w:cs="Times New Roman" w:eastAsia="Times New Roman" w:hAnsi="Times New Roman"/>
            <w:sz w:val="18"/>
            <w:szCs w:val="18"/>
            <w:u w:val="single" w:color="auto"/>
            <w:color w:val="0000FF"/>
          </w:rPr>
          <w:t>Amended and Restated Bylaws of Plus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6301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36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64">
        <w:r>
          <w:rPr>
            <w:rFonts w:ascii="Times New Roman" w:cs="Times New Roman" w:eastAsia="Times New Roman" w:hAnsi="Times New Roman"/>
            <w:sz w:val="18"/>
            <w:szCs w:val="18"/>
            <w:u w:val="single" w:color="auto"/>
            <w:color w:val="0000FF"/>
          </w:rPr>
          <w:t>Description of Securities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1360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spacing w:after="0" w:line="31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66">
        <w:r>
          <w:rPr>
            <w:rFonts w:ascii="Times New Roman" w:cs="Times New Roman" w:eastAsia="Times New Roman" w:hAnsi="Times New Roman"/>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6243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31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468">
        <w:r>
          <w:rPr>
            <w:rFonts w:ascii="Times New Roman" w:cs="Times New Roman" w:eastAsia="Times New Roman" w:hAnsi="Times New Roman"/>
            <w:sz w:val="18"/>
            <w:szCs w:val="18"/>
            <w:u w:val="single" w:color="auto"/>
            <w:color w:val="0000FF"/>
          </w:rPr>
          <w:t>Form of Pre-Funded Warrant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133540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97" w:lineRule="exact"/>
        <w:rPr>
          <w:sz w:val="20"/>
          <w:szCs w:val="20"/>
          <w:color w:val="auto"/>
        </w:rPr>
      </w:pPr>
    </w:p>
    <w:p>
      <w:pPr>
        <w:ind w:right="860"/>
        <w:spacing w:after="0" w:line="266" w:lineRule="auto"/>
        <w:rPr>
          <w:rFonts w:ascii="Times New Roman" w:cs="Times New Roman" w:eastAsia="Times New Roman" w:hAnsi="Times New Roman"/>
          <w:sz w:val="18"/>
          <w:szCs w:val="18"/>
          <w:u w:val="single" w:color="auto"/>
          <w:color w:val="0000FF"/>
        </w:rPr>
      </w:pPr>
      <w:hyperlink r:id="rId470">
        <w:r>
          <w:rPr>
            <w:rFonts w:ascii="Times New Roman" w:cs="Times New Roman" w:eastAsia="Times New Roman" w:hAnsi="Times New Roman"/>
            <w:sz w:val="18"/>
            <w:szCs w:val="18"/>
            <w:u w:val="single" w:color="auto"/>
            <w:color w:val="0000FF"/>
          </w:rPr>
          <w:t>Form of Warrant issued pursuant to the Securities Purchase and Exchange</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Agreement, dated February 13, 2025, by and among Plus Therapeutics, Inc.</w:t>
        </w:r>
      </w:hyperlink>
      <w:r>
        <w:rPr>
          <w:rFonts w:ascii="Times New Roman" w:cs="Times New Roman" w:eastAsia="Times New Roman" w:hAnsi="Times New Roman"/>
          <w:sz w:val="18"/>
          <w:szCs w:val="18"/>
          <w:u w:val="single" w:color="auto"/>
          <w:color w:val="0000FF"/>
        </w:rPr>
        <w:t xml:space="preserve"> </w:t>
      </w:r>
      <w:hyperlink r:id="rId470">
        <w:r>
          <w:rPr>
            <w:rFonts w:ascii="Times New Roman" w:cs="Times New Roman" w:eastAsia="Times New Roman" w:hAnsi="Times New Roman"/>
            <w:sz w:val="18"/>
            <w:szCs w:val="18"/>
            <w:u w:val="single" w:color="auto"/>
            <w:color w:val="0000FF"/>
          </w:rPr>
          <w:t>and the purchasers named therein</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-313055</wp:posOffset>
            </wp:positionV>
            <wp:extent cx="341693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34169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34632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5290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1529080" cy="8890"/>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74">
        <w:r>
          <w:rPr>
            <w:rFonts w:ascii="Times New Roman" w:cs="Times New Roman" w:eastAsia="Times New Roman" w:hAnsi="Times New Roman"/>
            <w:sz w:val="18"/>
            <w:szCs w:val="18"/>
            <w:u w:val="single" w:color="auto"/>
            <w:color w:val="0000FF"/>
          </w:rPr>
          <w:t>Form of Pre-Funded Warrant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-7620</wp:posOffset>
            </wp:positionV>
            <wp:extent cx="13354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76">
        <w:r>
          <w:rPr>
            <w:rFonts w:ascii="Times New Roman" w:cs="Times New Roman" w:eastAsia="Times New Roman" w:hAnsi="Times New Roman"/>
            <w:sz w:val="18"/>
            <w:szCs w:val="18"/>
            <w:u w:val="single" w:color="auto"/>
            <w:color w:val="0000FF"/>
          </w:rPr>
          <w:t>Form of Series A Warrant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-7620</wp:posOffset>
            </wp:positionV>
            <wp:extent cx="119316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1193165" cy="889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78">
        <w:r>
          <w:rPr>
            <w:rFonts w:ascii="Times New Roman" w:cs="Times New Roman" w:eastAsia="Times New Roman" w:hAnsi="Times New Roman"/>
            <w:sz w:val="18"/>
            <w:szCs w:val="18"/>
            <w:u w:val="single" w:color="auto"/>
            <w:color w:val="0000FF"/>
          </w:rPr>
          <w:t>Form of Series B Warrant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-7620</wp:posOffset>
            </wp:positionV>
            <wp:extent cx="11868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1186815"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80">
        <w:r>
          <w:rPr>
            <w:rFonts w:ascii="Times New Roman" w:cs="Times New Roman" w:eastAsia="Times New Roman" w:hAnsi="Times New Roman"/>
            <w:sz w:val="18"/>
            <w:szCs w:val="18"/>
            <w:u w:val="single" w:color="auto"/>
            <w:color w:val="0000FF"/>
          </w:rPr>
          <w:t>Form of A&amp;R Series B Warrant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-7620</wp:posOffset>
            </wp:positionV>
            <wp:extent cx="146304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482">
        <w:r>
          <w:rPr>
            <w:rFonts w:ascii="Times New Roman" w:cs="Times New Roman" w:eastAsia="Times New Roman" w:hAnsi="Times New Roman"/>
            <w:sz w:val="18"/>
            <w:szCs w:val="18"/>
            <w:u w:val="single" w:color="auto"/>
            <w:color w:val="0000FF"/>
          </w:rPr>
          <w:t>Form of Common Stock Purchase Warrant</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-7620</wp:posOffset>
            </wp:positionV>
            <wp:extent cx="195770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3">
                      <a:extLst>
                        <a:ext uri="{28A0092B-C50C-407E-A947-70E740481C1C}"/>
                      </a:extLst>
                    </a:blip>
                    <a:srcRect/>
                    <a:stretch>
                      <a:fillRect/>
                    </a:stretch>
                  </pic:blipFill>
                  <pic:spPr bwMode="auto">
                    <a:xfrm>
                      <a:off x="0" y="0"/>
                      <a:ext cx="1957705" cy="8255"/>
                    </a:xfrm>
                    <a:prstGeom prst="rect">
                      <a:avLst/>
                    </a:prstGeom>
                    <a:noFill/>
                  </pic:spPr>
                </pic:pic>
              </a:graphicData>
            </a:graphic>
          </wp:anchor>
        </w:drawing>
      </w:r>
    </w:p>
    <w:p>
      <w:pPr>
        <w:spacing w:after="0" w:line="97" w:lineRule="exact"/>
        <w:rPr>
          <w:rFonts w:ascii="Times New Roman" w:cs="Times New Roman" w:eastAsia="Times New Roman" w:hAnsi="Times New Roman"/>
          <w:sz w:val="18"/>
          <w:szCs w:val="18"/>
          <w:u w:val="single" w:color="auto"/>
          <w:color w:val="0000FF"/>
        </w:rPr>
      </w:pPr>
    </w:p>
    <w:p>
      <w:pPr>
        <w:ind w:right="980"/>
        <w:spacing w:after="0" w:line="282" w:lineRule="auto"/>
        <w:rPr>
          <w:rFonts w:ascii="Times New Roman" w:cs="Times New Roman" w:eastAsia="Times New Roman" w:hAnsi="Times New Roman"/>
          <w:sz w:val="18"/>
          <w:szCs w:val="18"/>
          <w:u w:val="single" w:color="auto"/>
          <w:color w:val="0000FF"/>
        </w:rPr>
      </w:pPr>
      <w:hyperlink r:id="rId484">
        <w:r>
          <w:rPr>
            <w:rFonts w:ascii="Times New Roman" w:cs="Times New Roman" w:eastAsia="Times New Roman" w:hAnsi="Times New Roman"/>
            <w:sz w:val="18"/>
            <w:szCs w:val="18"/>
            <w:u w:val="single" w:color="auto"/>
            <w:color w:val="0000FF"/>
          </w:rPr>
          <w:t>Patent and Know-How License Agreement, dated March 29, 2020, by and</w:t>
        </w:r>
      </w:hyperlink>
      <w:r>
        <w:rPr>
          <w:rFonts w:ascii="Times New Roman" w:cs="Times New Roman" w:eastAsia="Times New Roman" w:hAnsi="Times New Roman"/>
          <w:sz w:val="18"/>
          <w:szCs w:val="18"/>
          <w:u w:val="single" w:color="auto"/>
          <w:color w:val="0000FF"/>
        </w:rPr>
        <w:t xml:space="preserve"> </w:t>
      </w:r>
      <w:hyperlink r:id="rId484">
        <w:r>
          <w:rPr>
            <w:rFonts w:ascii="Times New Roman" w:cs="Times New Roman" w:eastAsia="Times New Roman" w:hAnsi="Times New Roman"/>
            <w:sz w:val="18"/>
            <w:szCs w:val="18"/>
            <w:u w:val="single" w:color="auto"/>
            <w:color w:val="0000FF"/>
          </w:rPr>
          <w:t>between Plus Therapeutics, Inc. and NanoTx, Corp.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42011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5">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23380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6">
                      <a:extLst>
                        <a:ext uri="{28A0092B-C50C-407E-A947-70E740481C1C}"/>
                      </a:extLst>
                    </a:blip>
                    <a:srcRect/>
                    <a:stretch>
                      <a:fillRect/>
                    </a:stretch>
                  </pic:blipFill>
                  <pic:spPr bwMode="auto">
                    <a:xfrm>
                      <a:off x="0" y="0"/>
                      <a:ext cx="2338070" cy="8890"/>
                    </a:xfrm>
                    <a:prstGeom prst="rect">
                      <a:avLst/>
                    </a:prstGeom>
                    <a:noFill/>
                  </pic:spPr>
                </pic:pic>
              </a:graphicData>
            </a:graphic>
          </wp:anchor>
        </w:drawing>
      </w:r>
    </w:p>
    <w:p>
      <w:pPr>
        <w:spacing w:after="0" w:line="34" w:lineRule="exact"/>
        <w:rPr>
          <w:sz w:val="20"/>
          <w:szCs w:val="20"/>
          <w:color w:val="auto"/>
        </w:rPr>
      </w:pPr>
    </w:p>
    <w:p>
      <w:pPr>
        <w:jc w:val="both"/>
        <w:ind w:right="1120"/>
        <w:spacing w:after="0" w:line="266" w:lineRule="auto"/>
        <w:rPr>
          <w:rFonts w:ascii="Times New Roman" w:cs="Times New Roman" w:eastAsia="Times New Roman" w:hAnsi="Times New Roman"/>
          <w:sz w:val="18"/>
          <w:szCs w:val="18"/>
          <w:u w:val="single" w:color="auto"/>
          <w:color w:val="0000FF"/>
        </w:rPr>
      </w:pPr>
      <w:hyperlink r:id="rId487">
        <w:r>
          <w:rPr>
            <w:rFonts w:ascii="Times New Roman" w:cs="Times New Roman" w:eastAsia="Times New Roman" w:hAnsi="Times New Roman"/>
            <w:sz w:val="18"/>
            <w:szCs w:val="18"/>
            <w:u w:val="single" w:color="auto"/>
            <w:color w:val="0000FF"/>
          </w:rPr>
          <w:t>Patent &amp; Technology License Agreement, dated December 31, 2021, by</w:t>
        </w:r>
      </w:hyperlink>
      <w:r>
        <w:rPr>
          <w:rFonts w:ascii="Times New Roman" w:cs="Times New Roman" w:eastAsia="Times New Roman" w:hAnsi="Times New Roman"/>
          <w:sz w:val="18"/>
          <w:szCs w:val="18"/>
          <w:u w:val="single" w:color="auto"/>
          <w:color w:val="0000FF"/>
        </w:rPr>
        <w:t xml:space="preserve"> </w:t>
      </w:r>
      <w:hyperlink r:id="rId487">
        <w:r>
          <w:rPr>
            <w:rFonts w:ascii="Times New Roman" w:cs="Times New Roman" w:eastAsia="Times New Roman" w:hAnsi="Times New Roman"/>
            <w:sz w:val="18"/>
            <w:szCs w:val="18"/>
            <w:u w:val="single" w:color="auto"/>
            <w:color w:val="0000FF"/>
          </w:rPr>
          <w:t>and between Plus Therapeutics, Inc. and the University of Texas Health</w:t>
        </w:r>
      </w:hyperlink>
      <w:r>
        <w:rPr>
          <w:rFonts w:ascii="Times New Roman" w:cs="Times New Roman" w:eastAsia="Times New Roman" w:hAnsi="Times New Roman"/>
          <w:sz w:val="18"/>
          <w:szCs w:val="18"/>
          <w:u w:val="single" w:color="auto"/>
          <w:color w:val="0000FF"/>
        </w:rPr>
        <w:t xml:space="preserve"> </w:t>
      </w:r>
      <w:hyperlink r:id="rId487">
        <w:r>
          <w:rPr>
            <w:rFonts w:ascii="Times New Roman" w:cs="Times New Roman" w:eastAsia="Times New Roman" w:hAnsi="Times New Roman"/>
            <w:sz w:val="18"/>
            <w:szCs w:val="18"/>
            <w:u w:val="single" w:color="auto"/>
            <w:color w:val="0000FF"/>
          </w:rPr>
          <w:t>Science Center at San Antonio</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-313055</wp:posOffset>
            </wp:positionV>
            <wp:extent cx="33280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8">
                      <a:extLst>
                        <a:ext uri="{28A0092B-C50C-407E-A947-70E740481C1C}"/>
                      </a:extLst>
                    </a:blip>
                    <a:srcRect/>
                    <a:stretch>
                      <a:fillRect/>
                    </a:stretch>
                  </pic:blipFill>
                  <pic:spPr bwMode="auto">
                    <a:xfrm>
                      <a:off x="0" y="0"/>
                      <a:ext cx="33280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330898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9">
                      <a:extLst>
                        <a:ext uri="{28A0092B-C50C-407E-A947-70E740481C1C}"/>
                      </a:extLst>
                    </a:blip>
                    <a:srcRect/>
                    <a:stretch>
                      <a:fillRect/>
                    </a:stretch>
                  </pic:blipFill>
                  <pic:spPr bwMode="auto">
                    <a:xfrm>
                      <a:off x="0" y="0"/>
                      <a:ext cx="3308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4027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0">
                      <a:extLst>
                        <a:ext uri="{28A0092B-C50C-407E-A947-70E740481C1C}"/>
                      </a:extLst>
                    </a:blip>
                    <a:srcRect/>
                    <a:stretch>
                      <a:fillRect/>
                    </a:stretch>
                  </pic:blipFill>
                  <pic:spPr bwMode="auto">
                    <a:xfrm>
                      <a:off x="0" y="0"/>
                      <a:ext cx="1402715" cy="8890"/>
                    </a:xfrm>
                    <a:prstGeom prst="rect">
                      <a:avLst/>
                    </a:prstGeom>
                    <a:noFill/>
                  </pic:spPr>
                </pic:pic>
              </a:graphicData>
            </a:graphic>
          </wp:anchor>
        </w:drawing>
      </w:r>
    </w:p>
    <w:p>
      <w:pPr>
        <w:spacing w:after="0" w:line="48" w:lineRule="exact"/>
        <w:rPr>
          <w:rFonts w:ascii="Times New Roman" w:cs="Times New Roman" w:eastAsia="Times New Roman" w:hAnsi="Times New Roman"/>
          <w:sz w:val="18"/>
          <w:szCs w:val="18"/>
          <w:u w:val="single" w:color="auto"/>
          <w:color w:val="0000FF"/>
        </w:rPr>
      </w:pPr>
    </w:p>
    <w:p>
      <w:pPr>
        <w:ind w:right="900"/>
        <w:spacing w:after="0" w:line="282" w:lineRule="auto"/>
        <w:rPr>
          <w:rFonts w:ascii="Times New Roman" w:cs="Times New Roman" w:eastAsia="Times New Roman" w:hAnsi="Times New Roman"/>
          <w:sz w:val="18"/>
          <w:szCs w:val="18"/>
          <w:u w:val="single" w:color="auto"/>
          <w:color w:val="0000FF"/>
        </w:rPr>
      </w:pPr>
      <w:hyperlink r:id="rId491">
        <w:r>
          <w:rPr>
            <w:rFonts w:ascii="Times New Roman" w:cs="Times New Roman" w:eastAsia="Times New Roman" w:hAnsi="Times New Roman"/>
            <w:sz w:val="18"/>
            <w:szCs w:val="18"/>
            <w:u w:val="single" w:color="auto"/>
            <w:color w:val="0000FF"/>
          </w:rPr>
          <w:t>Amended and Restated Employment Agreement, dated March 11, 2020, by</w:t>
        </w:r>
      </w:hyperlink>
      <w:r>
        <w:rPr>
          <w:rFonts w:ascii="Times New Roman" w:cs="Times New Roman" w:eastAsia="Times New Roman" w:hAnsi="Times New Roman"/>
          <w:sz w:val="18"/>
          <w:szCs w:val="18"/>
          <w:u w:val="single" w:color="auto"/>
          <w:color w:val="0000FF"/>
        </w:rPr>
        <w:t xml:space="preserve"> </w:t>
      </w:r>
      <w:hyperlink r:id="rId491">
        <w:r>
          <w:rPr>
            <w:rFonts w:ascii="Times New Roman" w:cs="Times New Roman" w:eastAsia="Times New Roman" w:hAnsi="Times New Roman"/>
            <w:sz w:val="18"/>
            <w:szCs w:val="18"/>
            <w:u w:val="single" w:color="auto"/>
            <w:color w:val="0000FF"/>
          </w:rPr>
          <w:t>and between Marc Hedrick and Plus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346329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34632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25095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2509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10-K</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10-K</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10-K</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S-1</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10-K</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10-Q</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9" w:lineRule="exact"/>
        <w:rPr>
          <w:sz w:val="20"/>
          <w:szCs w:val="20"/>
          <w:color w:val="auto"/>
        </w:rPr>
      </w:pPr>
    </w:p>
    <w:p>
      <w:pPr>
        <w:ind w:left="40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File No.</w:t>
      </w:r>
      <w:r>
        <w:rPr>
          <w:sz w:val="20"/>
          <w:szCs w:val="20"/>
          <w:color w:val="auto"/>
        </w:rPr>
        <w:tab/>
      </w:r>
      <w:r>
        <w:rPr>
          <w:rFonts w:ascii="Times New Roman" w:cs="Times New Roman" w:eastAsia="Times New Roman" w:hAnsi="Times New Roman"/>
          <w:sz w:val="18"/>
          <w:szCs w:val="18"/>
          <w:b w:val="1"/>
          <w:bCs w:val="1"/>
          <w:color w:val="auto"/>
        </w:rPr>
        <w:t>Date Filed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03/11/2016</w:t>
            </w:r>
          </w:p>
        </w:tc>
        <w:tc>
          <w:tcPr>
            <w:tcW w:w="0" w:type="dxa"/>
            <w:vAlign w:val="bottom"/>
          </w:tcPr>
          <w:p>
            <w:pPr>
              <w:spacing w:after="0"/>
              <w:rPr>
                <w:sz w:val="1"/>
                <w:szCs w:val="1"/>
                <w:color w:val="auto"/>
              </w:rPr>
            </w:pPr>
          </w:p>
        </w:tc>
      </w:tr>
      <w:tr>
        <w:trPr>
          <w:trHeight w:val="234"/>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05/10/2016</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05/23/2018</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07/29/2019</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08/06/2019</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04/28/2023</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05/02/2025</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11/28/2017</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07/25/2018</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09/21/2021</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3.1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03/30/2020</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03/09/2018</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4.33</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02/18/2025</w:t>
            </w:r>
          </w:p>
        </w:tc>
        <w:tc>
          <w:tcPr>
            <w:tcW w:w="0" w:type="dxa"/>
            <w:vAlign w:val="bottom"/>
          </w:tcPr>
          <w:p>
            <w:pPr>
              <w:spacing w:after="0"/>
              <w:rPr>
                <w:sz w:val="1"/>
                <w:szCs w:val="1"/>
                <w:color w:val="auto"/>
              </w:rPr>
            </w:pPr>
          </w:p>
        </w:tc>
      </w:tr>
      <w:tr>
        <w:trPr>
          <w:trHeight w:val="234"/>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02/18/2025</w:t>
            </w:r>
          </w:p>
        </w:tc>
        <w:tc>
          <w:tcPr>
            <w:tcW w:w="0" w:type="dxa"/>
            <w:vAlign w:val="bottom"/>
          </w:tcPr>
          <w:p>
            <w:pPr>
              <w:spacing w:after="0"/>
              <w:rPr>
                <w:sz w:val="1"/>
                <w:szCs w:val="1"/>
                <w:color w:val="auto"/>
              </w:rPr>
            </w:pPr>
          </w:p>
        </w:tc>
      </w:tr>
      <w:tr>
        <w:trPr>
          <w:trHeight w:val="234"/>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4.2</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03/04/2025</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03/04/2025</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4.2</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03/04/2025</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4.3</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011-34375</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06/17/2025</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333-292637</w:t>
            </w:r>
          </w:p>
        </w:tc>
        <w:tc>
          <w:tcPr>
            <w:tcW w:w="98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01/09/2026</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Exhibit 4.4</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011-34375 Exhibit</w:t>
            </w:r>
          </w:p>
        </w:tc>
        <w:tc>
          <w:tcPr>
            <w:tcW w:w="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3/30/2020</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011-34375 Exhibit</w:t>
            </w:r>
          </w:p>
        </w:tc>
        <w:tc>
          <w:tcPr>
            <w:tcW w:w="9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2/24/2022</w:t>
            </w:r>
          </w:p>
        </w:tc>
        <w:tc>
          <w:tcPr>
            <w:tcW w:w="0" w:type="dxa"/>
            <w:vAlign w:val="bottom"/>
          </w:tcPr>
          <w:p>
            <w:pPr>
              <w:spacing w:after="0"/>
              <w:rPr>
                <w:sz w:val="1"/>
                <w:szCs w:val="1"/>
                <w:color w:val="auto"/>
              </w:rPr>
            </w:pPr>
          </w:p>
        </w:tc>
      </w:tr>
      <w:tr>
        <w:trPr>
          <w:trHeight w:val="126"/>
        </w:trPr>
        <w:tc>
          <w:tcPr>
            <w:tcW w:w="154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6"/>
        </w:trPr>
        <w:tc>
          <w:tcPr>
            <w:tcW w:w="1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001-34375</w:t>
            </w:r>
          </w:p>
        </w:tc>
        <w:tc>
          <w:tcPr>
            <w:tcW w:w="9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5/14/2020</w:t>
            </w:r>
          </w:p>
        </w:tc>
        <w:tc>
          <w:tcPr>
            <w:tcW w:w="0" w:type="dxa"/>
            <w:vAlign w:val="bottom"/>
          </w:tcPr>
          <w:p>
            <w:pPr>
              <w:spacing w:after="0"/>
              <w:rPr>
                <w:sz w:val="1"/>
                <w:szCs w:val="1"/>
                <w:color w:val="auto"/>
              </w:rPr>
            </w:pPr>
          </w:p>
        </w:tc>
      </w:tr>
      <w:tr>
        <w:trPr>
          <w:trHeight w:val="234"/>
        </w:trPr>
        <w:tc>
          <w:tcPr>
            <w:tcW w:w="15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Exhibit 10.6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ectPr>
          <w:pgSz w:w="11900" w:h="16838" w:orient="portrait"/>
          <w:cols w:equalWidth="0" w:num="4">
            <w:col w:w="780" w:space="240"/>
            <w:col w:w="6320" w:space="440"/>
            <w:col w:w="420" w:space="240"/>
            <w:col w:w="2520"/>
          </w:cols>
          <w:pgMar w:left="320" w:top="513" w:right="619" w:bottom="1440" w:gutter="0" w:footer="0" w:header="0"/>
          <w:type w:val="continuous"/>
        </w:sectPr>
      </w:pPr>
    </w:p>
    <w:p>
      <w:pPr>
        <w:jc w:val="center"/>
        <w:ind w:right="-27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13" w:right="6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Amended and Restated Employment Agreement, dated March 11, 2020, by</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and between Andrew Sims and Plus Therapeutics, Inc.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Fifth Amended and Restated 2015 New Employee Incentive Plan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498">
              <w:r>
                <w:rPr>
                  <w:rFonts w:ascii="Times New Roman" w:cs="Times New Roman" w:eastAsia="Times New Roman" w:hAnsi="Times New Roman"/>
                  <w:sz w:val="18"/>
                  <w:szCs w:val="18"/>
                  <w:color w:val="0000FF"/>
                </w:rPr>
                <w:t>Plus Therapeutics, Inc. 2020 Stock Incentive Plan, as amended and restated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10.7#</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Form of Notice of Grant and Stock Option Agreement under the 2020</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546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499">
              <w:r>
                <w:rPr>
                  <w:rFonts w:ascii="Times New Roman" w:cs="Times New Roman" w:eastAsia="Times New Roman" w:hAnsi="Times New Roman"/>
                  <w:sz w:val="18"/>
                  <w:szCs w:val="18"/>
                  <w:color w:val="0000FF"/>
                </w:rPr>
                <w:t>Stock Incentive Plan</w:t>
              </w:r>
            </w:hyperlink>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46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500">
              <w:r>
                <w:rPr>
                  <w:rFonts w:ascii="Times New Roman" w:cs="Times New Roman" w:eastAsia="Times New Roman" w:hAnsi="Times New Roman"/>
                  <w:sz w:val="18"/>
                  <w:szCs w:val="18"/>
                  <w:color w:val="0000FF"/>
                </w:rPr>
                <w:t>Form of Indemnification Agreement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501">
              <w:r>
                <w:rPr>
                  <w:rFonts w:ascii="Times New Roman" w:cs="Times New Roman" w:eastAsia="Times New Roman" w:hAnsi="Times New Roman"/>
                  <w:sz w:val="18"/>
                  <w:szCs w:val="18"/>
                  <w:color w:val="0000FF"/>
                </w:rPr>
                <w:t>Form of Agreement for Acceleration and/or Severance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Cancer Research Grant Contract, effective August 31, 2022, by and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between the Cancer Prevention and Research Institute of Texas and Plus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2">
              <w:r>
                <w:rPr>
                  <w:rFonts w:ascii="Times New Roman" w:cs="Times New Roman" w:eastAsia="Times New Roman" w:hAnsi="Times New Roman"/>
                  <w:sz w:val="18"/>
                  <w:szCs w:val="18"/>
                  <w:color w:val="0000FF"/>
                </w:rPr>
                <w:t>Therapeutics, Inc</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10.11*</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Securities Purchase and Exchange Agreement, dated February 13, 2025, by</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3">
              <w:r>
                <w:rPr>
                  <w:rFonts w:ascii="Times New Roman" w:cs="Times New Roman" w:eastAsia="Times New Roman" w:hAnsi="Times New Roman"/>
                  <w:sz w:val="18"/>
                  <w:szCs w:val="18"/>
                  <w:color w:val="0000FF"/>
                </w:rPr>
                <w:t>and among Plus Therapeutics, Inc. and the purchasers named 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Form of Secured Convertible Note for Funding Notes issued pursuant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10.12</w:t>
            </w: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the Securities Purchase and Exchange Agreement, dated February 13,</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2025, by and among Plus Therapeutics, Inc. and the purchasers names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4">
              <w:r>
                <w:rPr>
                  <w:rFonts w:ascii="Times New Roman" w:cs="Times New Roman" w:eastAsia="Times New Roman" w:hAnsi="Times New Roman"/>
                  <w:sz w:val="18"/>
                  <w:szCs w:val="18"/>
                  <w:color w:val="0000FF"/>
                </w:rPr>
                <w:t>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Form of Secured Convertible Note for Exchange Notes issued pursuant to</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10.13</w:t>
            </w: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the Securities Purchase and Exchange Agreement, dated February 13,</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2025, by and among Plus Therapeutics, Inc. and the purchasers names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5">
              <w:r>
                <w:rPr>
                  <w:rFonts w:ascii="Times New Roman" w:cs="Times New Roman" w:eastAsia="Times New Roman" w:hAnsi="Times New Roman"/>
                  <w:sz w:val="18"/>
                  <w:szCs w:val="18"/>
                  <w:color w:val="0000FF"/>
                </w:rPr>
                <w:t>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Security Agreement, dated February 13, 2025, by and among Plus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7"/>
                <w:szCs w:val="17"/>
                <w:color w:val="auto"/>
              </w:rPr>
            </w:pPr>
          </w:p>
        </w:tc>
        <w:tc>
          <w:tcPr>
            <w:tcW w:w="5220" w:type="dxa"/>
            <w:vAlign w:val="bottom"/>
            <w:tcBorders>
              <w:bottom w:val="single" w:sz="8" w:color="0000FF"/>
            </w:tcBorders>
            <w:gridSpan w:val="18"/>
          </w:tcPr>
          <w:p>
            <w:pPr>
              <w:spacing w:after="0" w:line="182" w:lineRule="exact"/>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Therapeutics, Inc., CNSide Diagnostics, LLC and Iroqouis Master Fund</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020" w:type="dxa"/>
            <w:vAlign w:val="bottom"/>
            <w:vMerge w:val="continue"/>
          </w:tcPr>
          <w:p>
            <w:pPr>
              <w:spacing w:after="0"/>
              <w:rPr>
                <w:sz w:val="6"/>
                <w:szCs w:val="6"/>
                <w:color w:val="auto"/>
              </w:rPr>
            </w:pPr>
          </w:p>
        </w:tc>
        <w:tc>
          <w:tcPr>
            <w:tcW w:w="546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506">
              <w:r>
                <w:rPr>
                  <w:rFonts w:ascii="Times New Roman" w:cs="Times New Roman" w:eastAsia="Times New Roman" w:hAnsi="Times New Roman"/>
                  <w:sz w:val="18"/>
                  <w:szCs w:val="18"/>
                  <w:color w:val="0000FF"/>
                </w:rPr>
                <w:t>Ltd., as collateral agent for the purchasers names therein</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4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507">
              <w:r>
                <w:rPr>
                  <w:rFonts w:ascii="Times New Roman" w:cs="Times New Roman" w:eastAsia="Times New Roman" w:hAnsi="Times New Roman"/>
                  <w:sz w:val="18"/>
                  <w:szCs w:val="18"/>
                  <w:color w:val="0000FF"/>
                </w:rPr>
                <w:t>Subsidiary Guarantee, dated as of February 13, 2025, by and among</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7">
              <w:r>
                <w:rPr>
                  <w:rFonts w:ascii="Times New Roman" w:cs="Times New Roman" w:eastAsia="Times New Roman" w:hAnsi="Times New Roman"/>
                  <w:sz w:val="18"/>
                  <w:szCs w:val="18"/>
                  <w:color w:val="0000FF"/>
                </w:rPr>
                <w:t>CNSide Diagnostics, LLC and the purchasers named 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p>
        </w:tc>
        <w:tc>
          <w:tcPr>
            <w:tcW w:w="5460" w:type="dxa"/>
            <w:vAlign w:val="bottom"/>
            <w:gridSpan w:val="23"/>
          </w:tcPr>
          <w:p>
            <w:pPr>
              <w:spacing w:after="0"/>
              <w:rPr>
                <w:rFonts w:ascii="Times New Roman" w:cs="Times New Roman" w:eastAsia="Times New Roman" w:hAnsi="Times New Roman"/>
                <w:sz w:val="18"/>
                <w:szCs w:val="18"/>
                <w:color w:val="0000FF"/>
              </w:rPr>
            </w:pPr>
            <w:hyperlink r:id="rId508">
              <w:r>
                <w:rPr>
                  <w:rFonts w:ascii="Times New Roman" w:cs="Times New Roman" w:eastAsia="Times New Roman" w:hAnsi="Times New Roman"/>
                  <w:sz w:val="18"/>
                  <w:szCs w:val="18"/>
                  <w:color w:val="0000FF"/>
                </w:rPr>
                <w:t>Registration Rights Agreement, dated February 13, 2025, by and among</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8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9"/>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23"/>
          </w:tcPr>
          <w:p>
            <w:pPr>
              <w:spacing w:after="0" w:line="196" w:lineRule="exact"/>
              <w:rPr>
                <w:rFonts w:ascii="Times New Roman" w:cs="Times New Roman" w:eastAsia="Times New Roman" w:hAnsi="Times New Roman"/>
                <w:sz w:val="18"/>
                <w:szCs w:val="18"/>
                <w:color w:val="0000FF"/>
              </w:rPr>
            </w:pPr>
            <w:hyperlink r:id="rId508">
              <w:r>
                <w:rPr>
                  <w:rFonts w:ascii="Times New Roman" w:cs="Times New Roman" w:eastAsia="Times New Roman" w:hAnsi="Times New Roman"/>
                  <w:sz w:val="18"/>
                  <w:szCs w:val="18"/>
                  <w:color w:val="0000FF"/>
                </w:rPr>
                <w:t>Plus Therapeutics, Inc. and the purchasers named therein</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Second Amendment to Securities Purchase Agreement, dated May 5, 2024,</w:t>
              </w:r>
            </w:hyperlink>
          </w:p>
        </w:tc>
        <w:tc>
          <w:tcPr>
            <w:tcW w:w="0" w:type="dxa"/>
            <w:vAlign w:val="bottom"/>
          </w:tcPr>
          <w:p>
            <w:pPr>
              <w:spacing w:after="0"/>
              <w:rPr>
                <w:sz w:val="1"/>
                <w:szCs w:val="1"/>
                <w:color w:val="auto"/>
              </w:rPr>
            </w:pPr>
          </w:p>
        </w:tc>
      </w:tr>
      <w:tr>
        <w:trPr>
          <w:trHeight w:val="196"/>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21"/>
          </w:tcPr>
          <w:p>
            <w:pPr>
              <w:spacing w:after="0" w:line="182" w:lineRule="exact"/>
              <w:rPr>
                <w:rFonts w:ascii="Times New Roman" w:cs="Times New Roman" w:eastAsia="Times New Roman" w:hAnsi="Times New Roman"/>
                <w:sz w:val="18"/>
                <w:szCs w:val="18"/>
                <w:color w:val="0000FF"/>
                <w:w w:val="99"/>
              </w:rPr>
            </w:pPr>
            <w:hyperlink r:id="rId509">
              <w:r>
                <w:rPr>
                  <w:rFonts w:ascii="Times New Roman" w:cs="Times New Roman" w:eastAsia="Times New Roman" w:hAnsi="Times New Roman"/>
                  <w:sz w:val="18"/>
                  <w:szCs w:val="18"/>
                  <w:color w:val="0000FF"/>
                  <w:w w:val="99"/>
                </w:rPr>
                <w:t>as amended on May 9, 2024, by and among Plus Therapeutics, Inc. and the</w:t>
              </w:r>
            </w:hyperlink>
          </w:p>
        </w:tc>
        <w:tc>
          <w:tcPr>
            <w:tcW w:w="20" w:type="dxa"/>
            <w:vAlign w:val="bottom"/>
            <w:tcBorders>
              <w:top w:val="single" w:sz="8" w:color="0000FF"/>
              <w:bottom w:val="single" w:sz="8" w:color="0000FF"/>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020" w:type="dxa"/>
            <w:vAlign w:val="bottom"/>
            <w:vMerge w:val="continue"/>
          </w:tcPr>
          <w:p>
            <w:pPr>
              <w:spacing w:after="0"/>
              <w:rPr>
                <w:sz w:val="6"/>
                <w:szCs w:val="6"/>
                <w:color w:val="auto"/>
              </w:rPr>
            </w:pPr>
          </w:p>
        </w:tc>
        <w:tc>
          <w:tcPr>
            <w:tcW w:w="546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509">
              <w:r>
                <w:rPr>
                  <w:rFonts w:ascii="Times New Roman" w:cs="Times New Roman" w:eastAsia="Times New Roman" w:hAnsi="Times New Roman"/>
                  <w:sz w:val="18"/>
                  <w:szCs w:val="18"/>
                  <w:color w:val="0000FF"/>
                </w:rPr>
                <w:t>purchasers named therein</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4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20" w:type="dxa"/>
            <w:vAlign w:val="bottom"/>
            <w:vMerge w:val="continue"/>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10">
              <w:r>
                <w:rPr>
                  <w:rFonts w:ascii="Times New Roman" w:cs="Times New Roman" w:eastAsia="Times New Roman" w:hAnsi="Times New Roman"/>
                  <w:sz w:val="18"/>
                  <w:szCs w:val="18"/>
                  <w:color w:val="0000FF"/>
                </w:rPr>
                <w:t>Securities Purchase Agreement, dated as of March 4, 2025</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5"/>
            <w:shd w:val="clear" w:color="auto" w:fill="0000FF"/>
          </w:tcPr>
          <w:p>
            <w:pPr>
              <w:spacing w:after="0" w:line="20" w:lineRule="exact"/>
              <w:rPr>
                <w:sz w:val="1"/>
                <w:szCs w:val="1"/>
                <w:color w:val="auto"/>
              </w:rPr>
            </w:pPr>
          </w:p>
        </w:tc>
        <w:tc>
          <w:tcPr>
            <w:tcW w:w="1140" w:type="dxa"/>
            <w:vAlign w:val="bottom"/>
            <w:tcBorders>
              <w:left w:val="single" w:sz="8" w:color="0000FF"/>
            </w:tcBorders>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vMerge w:val="continue"/>
          </w:tcPr>
          <w:p>
            <w:pPr>
              <w:spacing w:after="0"/>
              <w:rPr>
                <w:sz w:val="24"/>
                <w:szCs w:val="24"/>
                <w:color w:val="auto"/>
              </w:rPr>
            </w:pPr>
          </w:p>
        </w:tc>
        <w:tc>
          <w:tcPr>
            <w:tcW w:w="5460" w:type="dxa"/>
            <w:vAlign w:val="bottom"/>
            <w:gridSpan w:val="23"/>
          </w:tcPr>
          <w:p>
            <w:pPr>
              <w:spacing w:after="0"/>
              <w:rPr>
                <w:rFonts w:ascii="Times New Roman" w:cs="Times New Roman" w:eastAsia="Times New Roman" w:hAnsi="Times New Roman"/>
                <w:sz w:val="18"/>
                <w:szCs w:val="18"/>
                <w:color w:val="0000FF"/>
              </w:rPr>
            </w:pPr>
            <w:hyperlink r:id="rId511">
              <w:r>
                <w:rPr>
                  <w:rFonts w:ascii="Times New Roman" w:cs="Times New Roman" w:eastAsia="Times New Roman" w:hAnsi="Times New Roman"/>
                  <w:sz w:val="18"/>
                  <w:szCs w:val="18"/>
                  <w:color w:val="0000FF"/>
                </w:rPr>
                <w:t>Registration Rights Agreement, dated as of March 4,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5"/>
            <w:shd w:val="clear" w:color="auto" w:fill="0000FF"/>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4"/>
                <w:szCs w:val="24"/>
                <w:color w:val="auto"/>
              </w:rPr>
            </w:pPr>
          </w:p>
        </w:tc>
        <w:tc>
          <w:tcPr>
            <w:tcW w:w="53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512">
              <w:r>
                <w:rPr>
                  <w:rFonts w:ascii="Times New Roman" w:cs="Times New Roman" w:eastAsia="Times New Roman" w:hAnsi="Times New Roman"/>
                  <w:sz w:val="18"/>
                  <w:szCs w:val="18"/>
                  <w:color w:val="0000FF"/>
                </w:rPr>
                <w:t>First Amendment to Securities Purchase and Exchange Agreement, dated</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20" w:type="dxa"/>
            <w:vAlign w:val="bottom"/>
            <w:vMerge w:val="continue"/>
          </w:tcPr>
          <w:p>
            <w:pPr>
              <w:spacing w:after="0"/>
              <w:rPr>
                <w:sz w:val="6"/>
                <w:szCs w:val="6"/>
                <w:color w:val="auto"/>
              </w:rPr>
            </w:pPr>
          </w:p>
        </w:tc>
        <w:tc>
          <w:tcPr>
            <w:tcW w:w="546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512">
              <w:r>
                <w:rPr>
                  <w:rFonts w:ascii="Times New Roman" w:cs="Times New Roman" w:eastAsia="Times New Roman" w:hAnsi="Times New Roman"/>
                  <w:sz w:val="18"/>
                  <w:szCs w:val="18"/>
                  <w:color w:val="0000FF"/>
                </w:rPr>
                <w:t>as of March 4, 2025</w:t>
              </w:r>
            </w:hyperlink>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54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9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tcPr>
          <w:p>
            <w:pPr>
              <w:spacing w:after="0"/>
              <w:rPr>
                <w:sz w:val="24"/>
                <w:szCs w:val="24"/>
                <w:color w:val="auto"/>
              </w:rPr>
            </w:pPr>
          </w:p>
        </w:tc>
        <w:tc>
          <w:tcPr>
            <w:tcW w:w="54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513">
              <w:r>
                <w:rPr>
                  <w:rFonts w:ascii="Times New Roman" w:cs="Times New Roman" w:eastAsia="Times New Roman" w:hAnsi="Times New Roman"/>
                  <w:sz w:val="18"/>
                  <w:szCs w:val="18"/>
                  <w:color w:val="0000FF"/>
                </w:rPr>
                <w:t>Form of Side Letter between Plus Therapeutics, Inc. and certain holders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20" w:type="dxa"/>
            <w:vAlign w:val="bottom"/>
            <w:vMerge w:val="continue"/>
          </w:tcPr>
          <w:p>
            <w:pPr>
              <w:spacing w:after="0"/>
              <w:rPr>
                <w:sz w:val="6"/>
                <w:szCs w:val="6"/>
                <w:color w:val="auto"/>
              </w:rPr>
            </w:pPr>
          </w:p>
        </w:tc>
        <w:tc>
          <w:tcPr>
            <w:tcW w:w="5460" w:type="dxa"/>
            <w:vAlign w:val="bottom"/>
            <w:gridSpan w:val="23"/>
            <w:vMerge w:val="restart"/>
          </w:tcPr>
          <w:p>
            <w:pPr>
              <w:spacing w:after="0" w:line="196" w:lineRule="exact"/>
              <w:rPr>
                <w:rFonts w:ascii="Times New Roman" w:cs="Times New Roman" w:eastAsia="Times New Roman" w:hAnsi="Times New Roman"/>
                <w:sz w:val="18"/>
                <w:szCs w:val="18"/>
                <w:color w:val="0000FF"/>
              </w:rPr>
            </w:pPr>
            <w:hyperlink r:id="rId513">
              <w:r>
                <w:rPr>
                  <w:rFonts w:ascii="Times New Roman" w:cs="Times New Roman" w:eastAsia="Times New Roman" w:hAnsi="Times New Roman"/>
                  <w:sz w:val="18"/>
                  <w:szCs w:val="18"/>
                  <w:color w:val="0000FF"/>
                </w:rPr>
                <w:t>warrants, dated as of June 17, 2025</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460" w:type="dxa"/>
            <w:vAlign w:val="bottom"/>
            <w:gridSpan w:val="2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9"/>
        </w:trPr>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Borders>
              <w:top w:val="single" w:sz="8" w:color="0000FF"/>
            </w:tcBorders>
            <w:gridSpan w:val="5"/>
          </w:tcPr>
          <w:p>
            <w:pPr>
              <w:spacing w:after="0"/>
              <w:rPr>
                <w:sz w:val="24"/>
                <w:szCs w:val="24"/>
                <w:color w:val="auto"/>
              </w:rPr>
            </w:pPr>
          </w:p>
        </w:tc>
        <w:tc>
          <w:tcPr>
            <w:tcW w:w="226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10-Q</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10-K</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8-K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10.7</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333-292637</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10.9</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10.26</w:t>
      </w: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10.1</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10.113</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10.1</w:t>
      </w: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10.1</w:t>
      </w: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10.3</w:t>
      </w:r>
    </w:p>
    <w:p>
      <w:pPr>
        <w:spacing w:after="0" w:line="200" w:lineRule="exact"/>
        <w:rPr>
          <w:sz w:val="20"/>
          <w:szCs w:val="20"/>
          <w:color w:val="auto"/>
        </w:rPr>
      </w:pPr>
    </w:p>
    <w:p>
      <w:pPr>
        <w:spacing w:after="0" w:line="3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10.4</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10.5</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10.6</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10.7</w:t>
      </w:r>
    </w:p>
    <w:p>
      <w:pPr>
        <w:spacing w:after="0" w:line="2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10.1</w:t>
      </w: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10.2</w:t>
      </w: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10.3</w:t>
      </w: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001-34375</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5/14/2020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01/09/2026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10/30/2025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02/24/2022</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02/06/2020</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03/11/2016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09/22/2022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02/18/2025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03/04/2025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03/04/2025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03/04/2025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06/17/2025</w:t>
      </w:r>
    </w:p>
    <w:p>
      <w:pPr>
        <w:sectPr>
          <w:pgSz w:w="11900" w:h="16838" w:orient="portrait"/>
          <w:cols w:equalWidth="0" w:num="4">
            <w:col w:w="7080" w:space="720"/>
            <w:col w:w="380" w:space="420"/>
            <w:col w:w="1080" w:space="460"/>
            <w:col w:w="820"/>
          </w:cols>
          <w:pgMar w:left="320" w:top="513" w:right="6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5">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52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16">
              <w:r>
                <w:rPr>
                  <w:rFonts w:ascii="Times New Roman" w:cs="Times New Roman" w:eastAsia="Times New Roman" w:hAnsi="Times New Roman"/>
                  <w:sz w:val="18"/>
                  <w:szCs w:val="18"/>
                  <w:color w:val="0000FF"/>
                  <w:w w:val="99"/>
                </w:rPr>
                <w:t>Purchase Agreement, dated June 17, 2025, by and between Lincoln Park</w:t>
              </w:r>
            </w:hyperlink>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020" w:type="dxa"/>
            <w:vAlign w:val="bottom"/>
            <w:vMerge w:val="continue"/>
          </w:tcPr>
          <w:p>
            <w:pPr>
              <w:spacing w:after="0"/>
              <w:rPr>
                <w:sz w:val="6"/>
                <w:szCs w:val="6"/>
                <w:color w:val="auto"/>
              </w:rPr>
            </w:pPr>
          </w:p>
        </w:tc>
        <w:tc>
          <w:tcPr>
            <w:tcW w:w="538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516">
              <w:r>
                <w:rPr>
                  <w:rFonts w:ascii="Times New Roman" w:cs="Times New Roman" w:eastAsia="Times New Roman" w:hAnsi="Times New Roman"/>
                  <w:sz w:val="18"/>
                  <w:szCs w:val="18"/>
                  <w:color w:val="0000FF"/>
                </w:rPr>
                <w:t>Capital Fund, LLC and Plus Therapeutics, Inc.</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3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24"/>
                <w:szCs w:val="24"/>
                <w:color w:val="auto"/>
              </w:rPr>
            </w:pPr>
          </w:p>
        </w:tc>
        <w:tc>
          <w:tcPr>
            <w:tcW w:w="536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517">
              <w:r>
                <w:rPr>
                  <w:rFonts w:ascii="Times New Roman" w:cs="Times New Roman" w:eastAsia="Times New Roman" w:hAnsi="Times New Roman"/>
                  <w:sz w:val="18"/>
                  <w:szCs w:val="18"/>
                  <w:color w:val="0000FF"/>
                  <w:w w:val="99"/>
                </w:rPr>
                <w:t>Registration Rights Agreement, dated June 17, 2025, by and between Plus</w:t>
              </w:r>
            </w:hyperlink>
          </w:p>
        </w:tc>
        <w:tc>
          <w:tcPr>
            <w:tcW w:w="0" w:type="dxa"/>
            <w:vAlign w:val="bottom"/>
          </w:tcPr>
          <w:p>
            <w:pPr>
              <w:spacing w:after="0"/>
              <w:rPr>
                <w:sz w:val="1"/>
                <w:szCs w:val="1"/>
                <w:color w:val="auto"/>
              </w:rPr>
            </w:pPr>
          </w:p>
        </w:tc>
      </w:tr>
      <w:tr>
        <w:trPr>
          <w:trHeight w:val="75"/>
        </w:trPr>
        <w:tc>
          <w:tcPr>
            <w:tcW w:w="1020" w:type="dxa"/>
            <w:vAlign w:val="bottom"/>
            <w:vMerge w:val="continue"/>
          </w:tcPr>
          <w:p>
            <w:pPr>
              <w:spacing w:after="0"/>
              <w:rPr>
                <w:sz w:val="6"/>
                <w:szCs w:val="6"/>
                <w:color w:val="auto"/>
              </w:rPr>
            </w:pPr>
          </w:p>
        </w:tc>
        <w:tc>
          <w:tcPr>
            <w:tcW w:w="538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517">
              <w:r>
                <w:rPr>
                  <w:rFonts w:ascii="Times New Roman" w:cs="Times New Roman" w:eastAsia="Times New Roman" w:hAnsi="Times New Roman"/>
                  <w:sz w:val="18"/>
                  <w:szCs w:val="18"/>
                  <w:color w:val="0000FF"/>
                </w:rPr>
                <w:t>Therapeutics, Inc. and Lincoln Park Capital Fund, LLC</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3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21"/>
                <w:szCs w:val="21"/>
                <w:color w:val="auto"/>
              </w:rPr>
            </w:pPr>
          </w:p>
        </w:tc>
        <w:tc>
          <w:tcPr>
            <w:tcW w:w="478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Form of Support Letter, dated July 11, 2025, by and between Plus</w:t>
              </w:r>
            </w:hyperlink>
          </w:p>
        </w:tc>
        <w:tc>
          <w:tcPr>
            <w:tcW w:w="54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020" w:type="dxa"/>
            <w:vAlign w:val="bottom"/>
            <w:vMerge w:val="continue"/>
          </w:tcPr>
          <w:p>
            <w:pPr>
              <w:spacing w:after="0"/>
              <w:rPr>
                <w:sz w:val="6"/>
                <w:szCs w:val="6"/>
                <w:color w:val="auto"/>
              </w:rPr>
            </w:pPr>
          </w:p>
        </w:tc>
        <w:tc>
          <w:tcPr>
            <w:tcW w:w="538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518">
              <w:r>
                <w:rPr>
                  <w:rFonts w:ascii="Times New Roman" w:cs="Times New Roman" w:eastAsia="Times New Roman" w:hAnsi="Times New Roman"/>
                  <w:sz w:val="18"/>
                  <w:szCs w:val="18"/>
                  <w:color w:val="0000FF"/>
                </w:rPr>
                <w:t>Therapeutics, Inc. and certain holders</w:t>
              </w:r>
            </w:hyperlink>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53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vMerge w:val="continue"/>
          </w:tcPr>
          <w:p>
            <w:pPr>
              <w:spacing w:after="0"/>
              <w:rPr>
                <w:sz w:val="24"/>
                <w:szCs w:val="24"/>
                <w:color w:val="auto"/>
              </w:rPr>
            </w:pPr>
          </w:p>
        </w:tc>
        <w:tc>
          <w:tcPr>
            <w:tcW w:w="5380" w:type="dxa"/>
            <w:vAlign w:val="bottom"/>
            <w:gridSpan w:val="10"/>
          </w:tcPr>
          <w:p>
            <w:pPr>
              <w:spacing w:after="0"/>
              <w:rPr>
                <w:rFonts w:ascii="Times New Roman" w:cs="Times New Roman" w:eastAsia="Times New Roman" w:hAnsi="Times New Roman"/>
                <w:sz w:val="18"/>
                <w:szCs w:val="18"/>
                <w:color w:val="0000FF"/>
              </w:rPr>
            </w:pPr>
            <w:hyperlink r:id="rId519">
              <w:r>
                <w:rPr>
                  <w:rFonts w:ascii="Times New Roman" w:cs="Times New Roman" w:eastAsia="Times New Roman" w:hAnsi="Times New Roman"/>
                  <w:sz w:val="18"/>
                  <w:szCs w:val="18"/>
                  <w:color w:val="0000FF"/>
                </w:rPr>
                <w:t>Form of Amendment Agreement, dated October 28, 2025</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360" w:type="dxa"/>
            <w:vAlign w:val="bottom"/>
            <w:tcBorders>
              <w:right w:val="single" w:sz="8" w:color="0000EE"/>
            </w:tcBorders>
            <w:gridSpan w:val="4"/>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10.26+</w:t>
            </w:r>
          </w:p>
        </w:tc>
        <w:tc>
          <w:tcPr>
            <w:tcW w:w="5380" w:type="dxa"/>
            <w:vAlign w:val="bottom"/>
            <w:gridSpan w:val="10"/>
          </w:tcPr>
          <w:p>
            <w:pPr>
              <w:spacing w:after="0"/>
              <w:rPr>
                <w:rFonts w:ascii="Times New Roman" w:cs="Times New Roman" w:eastAsia="Times New Roman" w:hAnsi="Times New Roman"/>
                <w:sz w:val="18"/>
                <w:szCs w:val="18"/>
                <w:color w:val="0000FF"/>
              </w:rPr>
            </w:pPr>
            <w:hyperlink r:id="rId520">
              <w:r>
                <w:rPr>
                  <w:rFonts w:ascii="Times New Roman" w:cs="Times New Roman" w:eastAsia="Times New Roman" w:hAnsi="Times New Roman"/>
                  <w:sz w:val="18"/>
                  <w:szCs w:val="18"/>
                  <w:color w:val="0000FF"/>
                </w:rPr>
                <w:t>Lease, dated October 16, 2025, between the Company and LG 1 Property</w:t>
              </w:r>
            </w:hyperlink>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20" w:type="dxa"/>
            <w:vAlign w:val="bottom"/>
            <w:vMerge w:val="continue"/>
          </w:tcPr>
          <w:p>
            <w:pPr>
              <w:spacing w:after="0"/>
              <w:rPr>
                <w:sz w:val="11"/>
                <w:szCs w:val="11"/>
                <w:color w:val="auto"/>
              </w:rPr>
            </w:pPr>
          </w:p>
        </w:tc>
        <w:tc>
          <w:tcPr>
            <w:tcW w:w="5380" w:type="dxa"/>
            <w:vAlign w:val="bottom"/>
            <w:gridSpan w:val="10"/>
            <w:vMerge w:val="restart"/>
          </w:tcPr>
          <w:p>
            <w:pPr>
              <w:spacing w:after="0" w:line="196" w:lineRule="exact"/>
              <w:rPr>
                <w:rFonts w:ascii="Times New Roman" w:cs="Times New Roman" w:eastAsia="Times New Roman" w:hAnsi="Times New Roman"/>
                <w:sz w:val="18"/>
                <w:szCs w:val="18"/>
                <w:color w:val="0000FF"/>
              </w:rPr>
            </w:pPr>
            <w:hyperlink r:id="rId520">
              <w:r>
                <w:rPr>
                  <w:rFonts w:ascii="Times New Roman" w:cs="Times New Roman" w:eastAsia="Times New Roman" w:hAnsi="Times New Roman"/>
                  <w:sz w:val="18"/>
                  <w:szCs w:val="18"/>
                  <w:color w:val="0000FF"/>
                </w:rPr>
                <w:t>Owner LP.</w:t>
              </w:r>
            </w:hyperlink>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38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hanging="1012"/>
        <w:spacing w:after="0"/>
        <w:tabs>
          <w:tab w:leader="none" w:pos="1020" w:val="left"/>
        </w:tabs>
        <w:numPr>
          <w:ilvl w:val="0"/>
          <w:numId w:val="71"/>
        </w:numPr>
        <w:rPr>
          <w:rFonts w:ascii="Times New Roman" w:cs="Times New Roman" w:eastAsia="Times New Roman" w:hAnsi="Times New Roman"/>
          <w:sz w:val="18"/>
          <w:szCs w:val="18"/>
          <w:u w:val="single" w:color="auto"/>
          <w:color w:val="0000FF"/>
        </w:rPr>
      </w:pPr>
      <w:hyperlink r:id="rId521">
        <w:r>
          <w:rPr>
            <w:rFonts w:ascii="Times New Roman" w:cs="Times New Roman" w:eastAsia="Times New Roman" w:hAnsi="Times New Roman"/>
            <w:sz w:val="18"/>
            <w:szCs w:val="18"/>
            <w:u w:val="single" w:color="auto"/>
            <w:color w:val="0000FF"/>
          </w:rPr>
          <w:t>Insider Trading Policy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102806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2">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205" w:lineRule="exact"/>
        <w:rPr>
          <w:sz w:val="20"/>
          <w:szCs w:val="20"/>
          <w:color w:val="auto"/>
        </w:rPr>
      </w:pPr>
    </w:p>
    <w:p>
      <w:pPr>
        <w:ind w:left="1020" w:hanging="1012"/>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8883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3">
                      <a:extLst>
                        <a:ext uri="{28A0092B-C50C-407E-A947-70E740481C1C}"/>
                      </a:extLst>
                    </a:blip>
                    <a:srcRect/>
                    <a:stretch>
                      <a:fillRect/>
                    </a:stretch>
                  </pic:blipFill>
                  <pic:spPr bwMode="auto">
                    <a:xfrm>
                      <a:off x="0" y="0"/>
                      <a:ext cx="888365"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23.1</w:t>
            </w: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BDO USA, P.C., Independent Registered Public Accounting</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546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4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23.2</w:t>
            </w: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CBIZ CPAs, P.C., Independent Registered Public Accounting</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continue"/>
          </w:tcPr>
          <w:p>
            <w:pPr>
              <w:spacing w:after="0"/>
              <w:rPr>
                <w:sz w:val="11"/>
                <w:szCs w:val="11"/>
                <w:color w:val="auto"/>
              </w:rPr>
            </w:pPr>
          </w:p>
        </w:tc>
        <w:tc>
          <w:tcPr>
            <w:tcW w:w="5460" w:type="dxa"/>
            <w:vAlign w:val="bottom"/>
            <w:gridSpan w:val="1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Firm</w:t>
            </w:r>
          </w:p>
        </w:tc>
        <w:tc>
          <w:tcPr>
            <w:tcW w:w="0" w:type="dxa"/>
            <w:vAlign w:val="bottom"/>
          </w:tcPr>
          <w:p>
            <w:pPr>
              <w:spacing w:after="0"/>
              <w:rPr>
                <w:sz w:val="1"/>
                <w:szCs w:val="1"/>
                <w:color w:val="auto"/>
              </w:rPr>
            </w:pPr>
          </w:p>
        </w:tc>
      </w:tr>
      <w:tr>
        <w:trPr>
          <w:trHeight w:val="68"/>
        </w:trPr>
        <w:tc>
          <w:tcPr>
            <w:tcW w:w="1020" w:type="dxa"/>
            <w:vAlign w:val="bottom"/>
          </w:tcPr>
          <w:p>
            <w:pPr>
              <w:spacing w:after="0"/>
              <w:rPr>
                <w:sz w:val="5"/>
                <w:szCs w:val="5"/>
                <w:color w:val="auto"/>
              </w:rPr>
            </w:pPr>
          </w:p>
        </w:tc>
        <w:tc>
          <w:tcPr>
            <w:tcW w:w="54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spacing w:after="0"/>
              <w:rPr>
                <w:sz w:val="24"/>
                <w:szCs w:val="24"/>
                <w:color w:val="auto"/>
              </w:rPr>
            </w:pP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Securities</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Exchange Act Rule 13a-14(a), as adopted pursuant to Section 302 of the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and Accounting Officer Pursuant to</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Rule 13a-14(a), as adopted pursuant to Section</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EE"/>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54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Certifications Pursuant to 18 U.S.C. Section 1350/ Securities Exchange Act</w:t>
            </w: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Rule 13a-14(b), as adopted pursuant to Section 906 of the Sarbanes -Oxley</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19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2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vMerge w:val="continue"/>
          </w:tcPr>
          <w:p>
            <w:pPr>
              <w:spacing w:after="0"/>
              <w:rPr>
                <w:sz w:val="24"/>
                <w:szCs w:val="24"/>
                <w:color w:val="auto"/>
              </w:rPr>
            </w:pPr>
          </w:p>
        </w:tc>
        <w:tc>
          <w:tcPr>
            <w:tcW w:w="5460" w:type="dxa"/>
            <w:vAlign w:val="bottom"/>
            <w:gridSpan w:val="12"/>
          </w:tcPr>
          <w:p>
            <w:pPr>
              <w:spacing w:after="0"/>
              <w:rPr>
                <w:rFonts w:ascii="Times New Roman" w:cs="Times New Roman" w:eastAsia="Times New Roman" w:hAnsi="Times New Roman"/>
                <w:sz w:val="18"/>
                <w:szCs w:val="18"/>
                <w:color w:val="0000FF"/>
              </w:rPr>
            </w:pPr>
            <w:hyperlink r:id="rId524">
              <w:r>
                <w:rPr>
                  <w:rFonts w:ascii="Times New Roman" w:cs="Times New Roman" w:eastAsia="Times New Roman" w:hAnsi="Times New Roman"/>
                  <w:sz w:val="18"/>
                  <w:szCs w:val="18"/>
                  <w:color w:val="0000FF"/>
                </w:rPr>
                <w:t>Incentive Compensation Recovery Policy</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20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20" w:right="140"/>
        <w:spacing w:after="0" w:line="272" w:lineRule="auto"/>
        <w:rPr>
          <w:sz w:val="20"/>
          <w:szCs w:val="20"/>
          <w:color w:val="auto"/>
        </w:rPr>
      </w:pPr>
      <w:r>
        <w:rPr>
          <w:rFonts w:ascii="Times New Roman" w:cs="Times New Roman" w:eastAsia="Times New Roman" w:hAnsi="Times New Roman"/>
          <w:sz w:val="17"/>
          <w:szCs w:val="17"/>
          <w:color w:val="auto"/>
        </w:rPr>
        <w:t>The following financial information from The Plus Therapeutics, Inc.’s Annual Report on Form 10-K for the year ended December 31, 2025, formatted in iXBRL (Inline Extensible Business Reporting Language): (i)</w:t>
      </w:r>
    </w:p>
    <w:p>
      <w:pPr>
        <w:spacing w:after="0" w:line="2" w:lineRule="exact"/>
        <w:rPr>
          <w:sz w:val="20"/>
          <w:szCs w:val="20"/>
          <w:color w:val="auto"/>
        </w:rPr>
      </w:pPr>
    </w:p>
    <w:p>
      <w:pPr>
        <w:ind w:left="1020" w:right="40" w:hanging="1011"/>
        <w:spacing w:after="0" w:line="265" w:lineRule="auto"/>
        <w:tabs>
          <w:tab w:leader="none" w:pos="1000" w:val="left"/>
        </w:tabs>
        <w:rPr>
          <w:sz w:val="20"/>
          <w:szCs w:val="20"/>
          <w:color w:val="auto"/>
        </w:rPr>
      </w:pPr>
      <w:r>
        <w:rPr>
          <w:rFonts w:ascii="Times New Roman" w:cs="Times New Roman" w:eastAsia="Times New Roman" w:hAnsi="Times New Roman"/>
          <w:sz w:val="18"/>
          <w:szCs w:val="18"/>
          <w:color w:val="auto"/>
        </w:rPr>
        <w:t>101.INS</w:t>
      </w:r>
      <w:r>
        <w:rPr>
          <w:sz w:val="20"/>
          <w:szCs w:val="20"/>
          <w:color w:val="auto"/>
        </w:rPr>
        <w:tab/>
      </w:r>
      <w:r>
        <w:rPr>
          <w:rFonts w:ascii="Times New Roman" w:cs="Times New Roman" w:eastAsia="Times New Roman" w:hAnsi="Times New Roman"/>
          <w:sz w:val="17"/>
          <w:szCs w:val="17"/>
          <w:color w:val="auto"/>
        </w:rPr>
        <w:t>Balance Sheets as of December 31, 2025 and 2024; (ii) Statements of Operations for the years ended December 31, 2025 and 2024; (iii) Statements of Stockholders’ Equity (Deficit) for the years ended December 31, 2025 and 2024; (iv) Statements of Cash Flows for the years ended December 31, 2025 and 2024; and (v) Notes to Financial Statements.</w:t>
      </w:r>
    </w:p>
    <w:p>
      <w:pPr>
        <w:spacing w:after="0" w:line="1" w:lineRule="exact"/>
        <w:rPr>
          <w:sz w:val="20"/>
          <w:szCs w:val="20"/>
          <w:color w:val="auto"/>
        </w:rPr>
      </w:pPr>
    </w:p>
    <w:p>
      <w:pPr>
        <w:ind w:left="1020" w:right="60" w:hanging="1012"/>
        <w:spacing w:after="0" w:line="260" w:lineRule="auto"/>
        <w:tabs>
          <w:tab w:leader="none" w:pos="10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1912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880" w:type="dxa"/>
        <w:tblCellMar>
          <w:top w:w="0" w:type="dxa"/>
          <w:left w:w="0" w:type="dxa"/>
          <w:bottom w:w="0" w:type="dxa"/>
          <w:right w:w="0" w:type="dxa"/>
        </w:tblCellMar>
      </w:tblPr>
      <w:tr>
        <w:trPr>
          <w:trHeight w:val="216"/>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001-34375</w:t>
            </w:r>
          </w:p>
        </w:tc>
        <w:tc>
          <w:tcPr>
            <w:tcW w:w="0" w:type="dxa"/>
            <w:vAlign w:val="bottom"/>
          </w:tcPr>
          <w:p>
            <w:pPr>
              <w:spacing w:after="0"/>
              <w:rPr>
                <w:sz w:val="1"/>
                <w:szCs w:val="1"/>
                <w:color w:val="auto"/>
              </w:rPr>
            </w:pPr>
          </w:p>
        </w:tc>
      </w:tr>
      <w:tr>
        <w:trPr>
          <w:trHeight w:val="126"/>
        </w:trPr>
        <w:tc>
          <w:tcPr>
            <w:tcW w:w="420" w:type="dxa"/>
            <w:vAlign w:val="bottom"/>
            <w:vMerge w:val="continue"/>
          </w:tcPr>
          <w:p>
            <w:pPr>
              <w:spacing w:after="0"/>
              <w:rPr>
                <w:sz w:val="10"/>
                <w:szCs w:val="10"/>
                <w:color w:val="auto"/>
              </w:rPr>
            </w:pPr>
          </w:p>
        </w:tc>
        <w:tc>
          <w:tcPr>
            <w:tcW w:w="15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Exhibit 10.1</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001-34375</w:t>
            </w:r>
          </w:p>
        </w:tc>
        <w:tc>
          <w:tcPr>
            <w:tcW w:w="0" w:type="dxa"/>
            <w:vAlign w:val="bottom"/>
          </w:tcPr>
          <w:p>
            <w:pPr>
              <w:spacing w:after="0"/>
              <w:rPr>
                <w:sz w:val="1"/>
                <w:szCs w:val="1"/>
                <w:color w:val="auto"/>
              </w:rPr>
            </w:pPr>
          </w:p>
        </w:tc>
      </w:tr>
      <w:tr>
        <w:trPr>
          <w:trHeight w:val="126"/>
        </w:trPr>
        <w:tc>
          <w:tcPr>
            <w:tcW w:w="420" w:type="dxa"/>
            <w:vAlign w:val="bottom"/>
            <w:vMerge w:val="continue"/>
          </w:tcPr>
          <w:p>
            <w:pPr>
              <w:spacing w:after="0"/>
              <w:rPr>
                <w:sz w:val="10"/>
                <w:szCs w:val="10"/>
                <w:color w:val="auto"/>
              </w:rPr>
            </w:pPr>
          </w:p>
        </w:tc>
        <w:tc>
          <w:tcPr>
            <w:tcW w:w="158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8"/>
              </w:rPr>
              <w:t>Exhibit 10.2</w:t>
            </w: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333-289526 Exhibit</w:t>
            </w:r>
          </w:p>
        </w:tc>
        <w:tc>
          <w:tcPr>
            <w:tcW w:w="0" w:type="dxa"/>
            <w:vAlign w:val="bottom"/>
          </w:tcPr>
          <w:p>
            <w:pPr>
              <w:spacing w:after="0"/>
              <w:rPr>
                <w:sz w:val="1"/>
                <w:szCs w:val="1"/>
                <w:color w:val="auto"/>
              </w:rPr>
            </w:pPr>
          </w:p>
        </w:tc>
      </w:tr>
    </w:tbl>
    <w:p>
      <w:pPr>
        <w:ind w:left="1980"/>
        <w:spacing w:after="0"/>
        <w:rPr>
          <w:sz w:val="20"/>
          <w:szCs w:val="20"/>
          <w:color w:val="auto"/>
        </w:rPr>
      </w:pPr>
      <w:r>
        <w:rPr>
          <w:rFonts w:ascii="Times New Roman" w:cs="Times New Roman" w:eastAsia="Times New Roman" w:hAnsi="Times New Roman"/>
          <w:sz w:val="18"/>
          <w:szCs w:val="18"/>
          <w:color w:val="auto"/>
        </w:rPr>
        <w:t>10.41</w:t>
      </w:r>
    </w:p>
    <w:p>
      <w:pPr>
        <w:jc w:val="right"/>
        <w:ind w:right="300"/>
        <w:spacing w:after="0"/>
        <w:tabs>
          <w:tab w:leader="none" w:pos="1060" w:val="left"/>
        </w:tabs>
        <w:rPr>
          <w:sz w:val="20"/>
          <w:szCs w:val="20"/>
          <w:color w:val="auto"/>
        </w:rPr>
      </w:pPr>
      <w:r>
        <w:rPr>
          <w:rFonts w:ascii="Times New Roman" w:cs="Times New Roman" w:eastAsia="Times New Roman" w:hAnsi="Times New Roman"/>
          <w:sz w:val="26"/>
          <w:szCs w:val="26"/>
          <w:color w:val="auto"/>
          <w:vertAlign w:val="subscript"/>
        </w:rPr>
        <w:t>10-Q</w:t>
      </w:r>
      <w:r>
        <w:rPr>
          <w:sz w:val="20"/>
          <w:szCs w:val="20"/>
          <w:color w:val="auto"/>
        </w:rPr>
        <w:tab/>
      </w:r>
      <w:r>
        <w:rPr>
          <w:rFonts w:ascii="Times New Roman" w:cs="Times New Roman" w:eastAsia="Times New Roman" w:hAnsi="Times New Roman"/>
          <w:sz w:val="17"/>
          <w:szCs w:val="17"/>
          <w:color w:val="auto"/>
        </w:rPr>
        <w:t>001-34375</w:t>
      </w:r>
    </w:p>
    <w:p>
      <w:pPr>
        <w:spacing w:after="0" w:line="1"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Exhibit 10.3</w:t>
      </w:r>
    </w:p>
    <w:p>
      <w:pPr>
        <w:jc w:val="right"/>
        <w:ind w:right="300"/>
        <w:spacing w:after="0"/>
        <w:tabs>
          <w:tab w:leader="none" w:pos="1060" w:val="left"/>
        </w:tabs>
        <w:rPr>
          <w:sz w:val="20"/>
          <w:szCs w:val="20"/>
          <w:color w:val="auto"/>
        </w:rPr>
      </w:pPr>
      <w:r>
        <w:rPr>
          <w:rFonts w:ascii="Times New Roman" w:cs="Times New Roman" w:eastAsia="Times New Roman" w:hAnsi="Times New Roman"/>
          <w:sz w:val="35"/>
          <w:szCs w:val="35"/>
          <w:color w:val="auto"/>
          <w:vertAlign w:val="subscript"/>
        </w:rPr>
        <w:t>8-K</w:t>
      </w:r>
      <w:r>
        <w:rPr>
          <w:sz w:val="20"/>
          <w:szCs w:val="20"/>
          <w:color w:val="auto"/>
        </w:rPr>
        <w:tab/>
      </w:r>
      <w:r>
        <w:rPr>
          <w:rFonts w:ascii="Times New Roman" w:cs="Times New Roman" w:eastAsia="Times New Roman" w:hAnsi="Times New Roman"/>
          <w:sz w:val="17"/>
          <w:szCs w:val="17"/>
          <w:color w:val="auto"/>
        </w:rPr>
        <w:t>001-34375</w:t>
      </w:r>
    </w:p>
    <w:p>
      <w:pPr>
        <w:spacing w:after="0" w:line="1"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Exhibit 10.1</w:t>
      </w:r>
    </w:p>
    <w:p>
      <w:pPr>
        <w:jc w:val="right"/>
        <w:ind w:right="300"/>
        <w:spacing w:after="0"/>
        <w:tabs>
          <w:tab w:leader="none" w:pos="1060" w:val="left"/>
        </w:tabs>
        <w:rPr>
          <w:sz w:val="20"/>
          <w:szCs w:val="20"/>
          <w:color w:val="auto"/>
        </w:rPr>
      </w:pPr>
      <w:r>
        <w:rPr>
          <w:rFonts w:ascii="Times New Roman" w:cs="Times New Roman" w:eastAsia="Times New Roman" w:hAnsi="Times New Roman"/>
          <w:sz w:val="35"/>
          <w:szCs w:val="35"/>
          <w:color w:val="auto"/>
          <w:vertAlign w:val="subscript"/>
        </w:rPr>
        <w:t>10-K</w:t>
      </w:r>
      <w:r>
        <w:rPr>
          <w:sz w:val="20"/>
          <w:szCs w:val="20"/>
          <w:color w:val="auto"/>
        </w:rPr>
        <w:tab/>
      </w:r>
      <w:r>
        <w:rPr>
          <w:rFonts w:ascii="Times New Roman" w:cs="Times New Roman" w:eastAsia="Times New Roman" w:hAnsi="Times New Roman"/>
          <w:sz w:val="17"/>
          <w:szCs w:val="17"/>
          <w:color w:val="auto"/>
        </w:rPr>
        <w:t>001-34375</w:t>
      </w:r>
    </w:p>
    <w:p>
      <w:pPr>
        <w:spacing w:after="0" w:line="1"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Exhibit 19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1" w:lineRule="exact"/>
        <w:rPr>
          <w:sz w:val="20"/>
          <w:szCs w:val="20"/>
          <w:color w:val="auto"/>
        </w:rPr>
      </w:pPr>
    </w:p>
    <w:p>
      <w:pPr>
        <w:jc w:val="right"/>
        <w:ind w:right="300"/>
        <w:spacing w:after="0"/>
        <w:tabs>
          <w:tab w:leader="none" w:pos="1060" w:val="left"/>
        </w:tabs>
        <w:rPr>
          <w:sz w:val="20"/>
          <w:szCs w:val="20"/>
          <w:color w:val="auto"/>
        </w:rPr>
      </w:pPr>
      <w:r>
        <w:rPr>
          <w:rFonts w:ascii="Times New Roman" w:cs="Times New Roman" w:eastAsia="Times New Roman" w:hAnsi="Times New Roman"/>
          <w:sz w:val="35"/>
          <w:szCs w:val="35"/>
          <w:color w:val="auto"/>
          <w:vertAlign w:val="subscript"/>
        </w:rPr>
        <w:t>10-K</w:t>
      </w:r>
      <w:r>
        <w:rPr>
          <w:sz w:val="20"/>
          <w:szCs w:val="20"/>
          <w:color w:val="auto"/>
        </w:rPr>
        <w:tab/>
      </w:r>
      <w:r>
        <w:rPr>
          <w:rFonts w:ascii="Times New Roman" w:cs="Times New Roman" w:eastAsia="Times New Roman" w:hAnsi="Times New Roman"/>
          <w:sz w:val="17"/>
          <w:szCs w:val="17"/>
          <w:color w:val="auto"/>
        </w:rPr>
        <w:t>001-34375</w:t>
      </w:r>
    </w:p>
    <w:p>
      <w:pPr>
        <w:jc w:val="right"/>
        <w:ind w:right="260"/>
        <w:spacing w:after="0"/>
        <w:rPr>
          <w:sz w:val="20"/>
          <w:szCs w:val="20"/>
          <w:color w:val="auto"/>
        </w:rPr>
      </w:pPr>
      <w:r>
        <w:rPr>
          <w:rFonts w:ascii="Times New Roman" w:cs="Times New Roman" w:eastAsia="Times New Roman" w:hAnsi="Times New Roman"/>
          <w:sz w:val="18"/>
          <w:szCs w:val="18"/>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06/20/2025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06/20/2025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08/12/2025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10/30/2025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10/21/2025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03/31/2025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03/05/2024</w:t>
      </w:r>
    </w:p>
    <w:p>
      <w:pPr>
        <w:spacing w:after="0" w:line="2583" w:lineRule="exact"/>
        <w:rPr>
          <w:sz w:val="20"/>
          <w:szCs w:val="20"/>
          <w:color w:val="auto"/>
        </w:rPr>
      </w:pPr>
    </w:p>
    <w:p>
      <w:pPr>
        <w:sectPr>
          <w:pgSz w:w="11900" w:h="16838" w:orient="portrait"/>
          <w:cols w:equalWidth="0" w:num="3">
            <w:col w:w="6480" w:space="480"/>
            <w:col w:w="2880" w:space="300"/>
            <w:col w:w="1100"/>
          </w:cols>
          <w:pgMar w:left="320" w:top="513"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 Indicates management contract or compensatory plan or arrangement.</w:t>
      </w:r>
    </w:p>
    <w:p>
      <w:pPr>
        <w:spacing w:after="0" w:line="29" w:lineRule="exact"/>
        <w:rPr>
          <w:sz w:val="20"/>
          <w:szCs w:val="20"/>
          <w:color w:val="auto"/>
        </w:rPr>
      </w:pPr>
    </w:p>
    <w:p>
      <w:pPr>
        <w:ind w:left="180" w:hanging="172"/>
        <w:spacing w:after="0"/>
        <w:tabs>
          <w:tab w:leader="none" w:pos="18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Portions of this exhibit have been redacted pursuant to Item 601(b)(10)(iv).</w:t>
      </w:r>
    </w:p>
    <w:p>
      <w:pPr>
        <w:spacing w:after="0" w:line="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i w:val="1"/>
          <w:iCs w:val="1"/>
          <w:color w:val="auto"/>
        </w:rPr>
      </w:pPr>
    </w:p>
    <w:p>
      <w:pPr>
        <w:jc w:val="both"/>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Schedules and exhibits have been Omitted pursuant to Item 601(a)(5) of Regulation S-K. The Company hereby undertakes to furnish supplemental copies of any of the Omitted schedules or exhibits upon request by the Securities and Exchange Commission; provided that the Company may request confidential treatment pursuant to Rule 24b-2 of the Securities Exchange Act of 1934, as amended, for any schedules or exhibits so furnished.</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851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7">
                      <a:extLst>
                        <a:ext uri="{28A0092B-C50C-407E-A947-70E740481C1C}"/>
                      </a:extLst>
                    </a:blip>
                    <a:srcRect/>
                    <a:stretch>
                      <a:fillRect/>
                    </a:stretch>
                  </pic:blipFill>
                  <pic:spPr bwMode="auto">
                    <a:xfrm>
                      <a:off x="0" y="0"/>
                      <a:ext cx="81851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PLUS THERAPEUTICS, INC.</w:t>
      </w:r>
    </w:p>
    <w:p>
      <w:pPr>
        <w:spacing w:after="0" w:line="2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17145</wp:posOffset>
            </wp:positionV>
            <wp:extent cx="276860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Marc. H. Hedrick, MD</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34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40" w:type="dxa"/>
            <w:vAlign w:val="bottom"/>
          </w:tcPr>
          <w:p>
            <w:pPr>
              <w:spacing w:after="0"/>
              <w:rPr>
                <w:sz w:val="15"/>
                <w:szCs w:val="15"/>
                <w:color w:val="auto"/>
              </w:rPr>
            </w:pPr>
          </w:p>
        </w:tc>
        <w:tc>
          <w:tcPr>
            <w:tcW w:w="596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5"/>
                <w:szCs w:val="15"/>
                <w:color w:val="auto"/>
              </w:rPr>
            </w:pPr>
          </w:p>
        </w:tc>
        <w:tc>
          <w:tcPr>
            <w:tcW w:w="2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J. Hawkins</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Richard J. Hawkins</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H. Hedrick, MD</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 (Principal Executive Officer)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Marc H. Hedrick, MD</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Andrew Sims</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VP of Finance (Principal Financial and Accounting</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Andrew Sims</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 van Es-Johansson, MD</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 van Es-Johansson, MD</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Howard Clowes</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Howard Clowes</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Kyle Guse</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Kyle Guse</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Lenk</w:t>
            </w:r>
          </w:p>
        </w:tc>
        <w:tc>
          <w:tcPr>
            <w:tcW w:w="2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2026</w:t>
            </w:r>
          </w:p>
        </w:tc>
        <w:tc>
          <w:tcPr>
            <w:tcW w:w="0" w:type="dxa"/>
            <w:vAlign w:val="bottom"/>
          </w:tcPr>
          <w:p>
            <w:pPr>
              <w:spacing w:after="0"/>
              <w:rPr>
                <w:sz w:val="1"/>
                <w:szCs w:val="1"/>
                <w:color w:val="auto"/>
              </w:rPr>
            </w:pPr>
          </w:p>
        </w:tc>
      </w:tr>
      <w:tr>
        <w:trPr>
          <w:trHeight w:val="22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Robert Lenk</w:t>
            </w:r>
          </w:p>
        </w:tc>
        <w:tc>
          <w:tcPr>
            <w:tcW w:w="24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8"/>
        </w:trPr>
        <w:tc>
          <w:tcPr>
            <w:tcW w:w="2820" w:type="dxa"/>
            <w:vAlign w:val="bottom"/>
          </w:tcPr>
          <w:p>
            <w:pPr>
              <w:spacing w:after="0"/>
              <w:rPr>
                <w:sz w:val="24"/>
                <w:szCs w:val="24"/>
                <w:color w:val="auto"/>
              </w:rPr>
            </w:pPr>
          </w:p>
        </w:tc>
        <w:tc>
          <w:tcPr>
            <w:tcW w:w="6200" w:type="dxa"/>
            <w:vAlign w:val="bottom"/>
            <w:gridSpan w:val="2"/>
          </w:tcPr>
          <w:p>
            <w:pPr>
              <w:jc w:val="right"/>
              <w:ind w:right="3172"/>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Wholly Owned Subsidiary</w:t>
            </w:r>
          </w:p>
        </w:tc>
        <w:tc>
          <w:tcPr>
            <w:tcW w:w="55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Place of Incorporation</w:t>
            </w:r>
          </w:p>
        </w:tc>
        <w:tc>
          <w:tcPr>
            <w:tcW w:w="0" w:type="dxa"/>
            <w:vAlign w:val="bottom"/>
          </w:tcPr>
          <w:p>
            <w:pPr>
              <w:spacing w:after="0"/>
              <w:rPr>
                <w:sz w:val="1"/>
                <w:szCs w:val="1"/>
                <w:color w:val="auto"/>
              </w:rPr>
            </w:pPr>
          </w:p>
        </w:tc>
      </w:tr>
      <w:tr>
        <w:trPr>
          <w:trHeight w:val="137"/>
        </w:trPr>
        <w:tc>
          <w:tcPr>
            <w:tcW w:w="5700" w:type="dxa"/>
            <w:vAlign w:val="bottom"/>
            <w:tcBorders>
              <w:bottom w:val="single" w:sz="8" w:color="auto"/>
            </w:tcBorders>
          </w:tcPr>
          <w:p>
            <w:pPr>
              <w:spacing w:after="0"/>
              <w:rPr>
                <w:sz w:val="11"/>
                <w:szCs w:val="11"/>
                <w:color w:val="auto"/>
              </w:rPr>
            </w:pPr>
          </w:p>
        </w:tc>
        <w:tc>
          <w:tcPr>
            <w:tcW w:w="100" w:type="dxa"/>
            <w:vAlign w:val="bottom"/>
            <w:vMerge w:val="restart"/>
          </w:tcPr>
          <w:p>
            <w:pPr>
              <w:spacing w:after="0"/>
              <w:rPr>
                <w:sz w:val="11"/>
                <w:szCs w:val="11"/>
                <w:color w:val="auto"/>
              </w:rPr>
            </w:pPr>
          </w:p>
        </w:tc>
        <w:tc>
          <w:tcPr>
            <w:tcW w:w="54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700" w:type="dxa"/>
            <w:vAlign w:val="bottom"/>
          </w:tcPr>
          <w:p>
            <w:pPr>
              <w:spacing w:after="0"/>
              <w:rPr>
                <w:sz w:val="20"/>
                <w:szCs w:val="20"/>
                <w:color w:val="auto"/>
              </w:rPr>
            </w:pPr>
            <w:r>
              <w:rPr>
                <w:rFonts w:ascii="Times New Roman" w:cs="Times New Roman" w:eastAsia="Times New Roman" w:hAnsi="Times New Roman"/>
                <w:sz w:val="22"/>
                <w:szCs w:val="22"/>
                <w:color w:val="auto"/>
              </w:rPr>
              <w:t>CNSide Diagnostics, LLC</w:t>
            </w:r>
          </w:p>
        </w:tc>
        <w:tc>
          <w:tcPr>
            <w:tcW w:w="100" w:type="dxa"/>
            <w:vAlign w:val="bottom"/>
            <w:vMerge w:val="continue"/>
          </w:tcPr>
          <w:p>
            <w:pPr>
              <w:spacing w:after="0"/>
              <w:rPr>
                <w:sz w:val="23"/>
                <w:szCs w:val="23"/>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1871"/>
        </w:trPr>
        <w:tc>
          <w:tcPr>
            <w:tcW w:w="5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1" w:name="page112"/>
    <w:bookmarkEnd w:id="111"/>
    <w:p>
      <w:pPr>
        <w:jc w:val="right"/>
        <w:spacing w:after="0"/>
        <w:rPr>
          <w:sz w:val="20"/>
          <w:szCs w:val="20"/>
          <w:color w:val="auto"/>
        </w:rPr>
      </w:pPr>
      <w:r>
        <w:rPr>
          <w:rFonts w:ascii="Trebuchet MS" w:cs="Trebuchet MS" w:eastAsia="Trebuchet MS" w:hAnsi="Trebuchet MS"/>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u w:val="single" w:color="auto"/>
          <w:color w:val="auto"/>
        </w:rPr>
        <w:t>Consent of Independent Registered Public Accounting Firm</w:t>
      </w:r>
    </w:p>
    <w:p>
      <w:pPr>
        <w:spacing w:after="0" w:line="200" w:lineRule="exact"/>
        <w:rPr>
          <w:sz w:val="20"/>
          <w:szCs w:val="20"/>
          <w:color w:val="auto"/>
        </w:rPr>
      </w:pPr>
    </w:p>
    <w:p>
      <w:pPr>
        <w:spacing w:after="0" w:line="335"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We hereby consent to the incorporation by reference in the Registration Statements on Forms S-1 (Nos. 333-227485, 333-215365, 333-249728, 333-253612, 333-259325, 333-266684, 333-275531 and 333-273823), Forms S-3 (No. 333-282507) and Forms S-8 (Nos. 333-223566, 333-210211, 333-202858, 333-239548 and 333-281758) of Plus Therapeutics, Inc. (the “Company”) of our report dated March 31, 2025, relating to the consolidated financial statements, which appears in this Annual Report on Form 10-K.</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Our report contains an explanatory paragraph regarding the Company’s ability to continue as a going concern.</w:t>
      </w:r>
    </w:p>
    <w:p>
      <w:pPr>
        <w:spacing w:after="0" w:line="234" w:lineRule="auto"/>
        <w:rPr>
          <w:sz w:val="20"/>
          <w:szCs w:val="20"/>
          <w:color w:val="auto"/>
        </w:rPr>
      </w:pPr>
      <w:r>
        <w:rPr>
          <w:rFonts w:ascii="Trebuchet MS" w:cs="Trebuchet MS" w:eastAsia="Trebuchet MS" w:hAnsi="Trebuchet MS"/>
          <w:sz w:val="19"/>
          <w:szCs w:val="19"/>
          <w:color w:val="auto"/>
        </w:rPr>
        <w:t>/s/ BDO USA P.C.</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Austin, Texas</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1837055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2" w:name="page113"/>
    <w:bookmarkEnd w:id="112"/>
    <w:p>
      <w:pPr>
        <w:jc w:val="right"/>
        <w:spacing w:after="0"/>
        <w:rPr>
          <w:sz w:val="20"/>
          <w:szCs w:val="20"/>
          <w:color w:val="auto"/>
        </w:rPr>
      </w:pPr>
      <w:r>
        <w:rPr>
          <w:rFonts w:ascii="Trebuchet MS" w:cs="Trebuchet MS" w:eastAsia="Trebuchet MS" w:hAnsi="Trebuchet MS"/>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3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 S-1 (Nos. 333-227485, 333-215365, 333-249728, 333-253612, 333-259325, 333-266684, 333-275531, 333-273823, 333-288121, 333-289526, 333-292637 and 333-292717) and Form S-8 (Nos. 333-223566, 333-210211, 333-202858, 333-239548, 333-281758 and 333-289822) of our report dated March 12, 2026, with respect to the consolidated financial statements of Plus Therapeutics, Inc. included in this Annual Report on Form 10-K for the year ended December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w:t>
      </w:r>
      <w:r>
        <w:rPr>
          <w:rFonts w:ascii="Times New Roman" w:cs="Times New Roman" w:eastAsia="Times New Roman" w:hAnsi="Times New Roman"/>
          <w:sz w:val="13"/>
          <w:szCs w:val="13"/>
          <w:color w:val="auto"/>
        </w:rPr>
        <w:t>s</w:t>
      </w:r>
      <w:r>
        <w:rPr>
          <w:rFonts w:ascii="Times New Roman" w:cs="Times New Roman" w:eastAsia="Times New Roman" w:hAnsi="Times New Roman"/>
          <w:sz w:val="20"/>
          <w:szCs w:val="20"/>
          <w:color w:val="auto"/>
        </w:rPr>
        <w:t xml:space="preserve">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1436370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8"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Marc H. Hedrick, certify that:</w:t>
      </w:r>
    </w:p>
    <w:p>
      <w:pPr>
        <w:spacing w:after="0" w:line="225"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Plus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hanging="3"/>
        <w:spacing w:after="0" w:line="266" w:lineRule="auto"/>
        <w:tabs>
          <w:tab w:leader="none" w:pos="10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200" w:hanging="3"/>
        <w:spacing w:after="0" w:line="266" w:lineRule="auto"/>
        <w:tabs>
          <w:tab w:leader="none" w:pos="10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460" w:hanging="3"/>
        <w:spacing w:after="0" w:line="282" w:lineRule="auto"/>
        <w:tabs>
          <w:tab w:leader="none" w:pos="107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460" w:hanging="3"/>
        <w:spacing w:after="0" w:line="266" w:lineRule="auto"/>
        <w:tabs>
          <w:tab w:leader="none" w:pos="10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740" w:hanging="3"/>
        <w:spacing w:after="0" w:line="282" w:lineRule="auto"/>
        <w:tabs>
          <w:tab w:leader="none" w:pos="10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420" w:hanging="3"/>
        <w:spacing w:after="0" w:line="282" w:lineRule="auto"/>
        <w:tabs>
          <w:tab w:leader="none" w:pos="102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3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Marc. H. Hedrick,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Sims,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Plus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20" w:hanging="3"/>
        <w:spacing w:after="0" w:line="266"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20" w:right="200" w:hanging="3"/>
        <w:spacing w:after="0" w:line="266"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20" w:right="500" w:hanging="3"/>
        <w:spacing w:after="0" w:line="282"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20" w:right="460" w:hanging="3"/>
        <w:spacing w:after="0" w:line="266"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20" w:right="740" w:hanging="3"/>
        <w:spacing w:after="0" w:line="282"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20" w:right="420" w:hanging="3"/>
        <w:spacing w:after="0" w:line="282" w:lineRule="auto"/>
        <w:tabs>
          <w:tab w:leader="none" w:pos="102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Andrew Sims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Andrew Sims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5" w:name="page116"/>
    <w:bookmarkEnd w:id="115"/>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CERTIFICATIONS PURSUANT TO 18 U.S.C. SECTION 1350/ SECURITIES EXCHANGE ACT RULE 13a-14(b), AS ADOPTED PURSUANT TO SECTION 906 OF THE SARBANES – OXLEY ACT OF 2002</w:t>
      </w:r>
    </w:p>
    <w:p>
      <w:pPr>
        <w:spacing w:after="0" w:line="15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Plus Therapeutics, Inc. for the year ended December 31, 2025 as filed with the Securities and Exchange Commission on March 12, 2026, (the “Report”), Marc H. Hedrick, as President &amp; Chief Executive Officer of Plus Therapeutics, Inc., and Andrew Sims, as Chief Financial Officer of Plus Therapeutics, Inc., each hereby certifies, respectively, that:</w:t>
      </w:r>
    </w:p>
    <w:p>
      <w:pPr>
        <w:spacing w:after="0" w:line="68"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w:t>
      </w:r>
    </w:p>
    <w:p>
      <w:pPr>
        <w:spacing w:after="0" w:line="117" w:lineRule="exact"/>
        <w:rPr>
          <w:rFonts w:ascii="Times New Roman" w:cs="Times New Roman" w:eastAsia="Times New Roman" w:hAnsi="Times New Roman"/>
          <w:sz w:val="18"/>
          <w:szCs w:val="18"/>
          <w:color w:val="auto"/>
        </w:rPr>
      </w:pPr>
    </w:p>
    <w:p>
      <w:pPr>
        <w:ind w:left="520" w:right="960" w:hanging="512"/>
        <w:spacing w:after="0" w:line="282" w:lineRule="auto"/>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Plus Therapeutics, Inc.</w:t>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2026</w:t>
      </w: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 H. Hedrick,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6286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H. Hedrick,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&amp;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5628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Sims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2">
            <w:col w:w="7020" w:space="180"/>
            <w:col w:w="4040"/>
          </w:cols>
          <w:pgMar w:left="320" w:top="981" w:right="339" w:bottom="1440" w:gutter="0" w:footer="0" w:header="0"/>
          <w:type w:val="continuous"/>
        </w:sectPr>
      </w:pPr>
    </w:p>
    <w:bookmarkStart w:id="116" w:name="page117"/>
    <w:bookmarkEnd w:id="1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decimal"/>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1)"/>
      <w:numFmt w:val="decimal"/>
      <w:start w:val="2"/>
    </w:lvl>
  </w:abstractNum>
  <w:abstractNum w:abstractNumId="46">
    <w:nsid w:val="61574095"/>
    <w:multiLevelType w:val="hybridMultilevel"/>
    <w:lvl w:ilvl="0">
      <w:lvlJc w:val="left"/>
      <w:lvlText w:val="%1."/>
      <w:numFmt w:val="decimal"/>
      <w:start w:val="2"/>
    </w:lvl>
  </w:abstractNum>
  <w:abstractNum w:abstractNumId="47">
    <w:nsid w:val="7E0C57B1"/>
    <w:multiLevelType w:val="hybridMultilevel"/>
    <w:lvl w:ilvl="0">
      <w:lvlJc w:val="left"/>
      <w:lvlText w:val="%1."/>
      <w:numFmt w:val="decimal"/>
      <w:start w:val="3"/>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decimal"/>
      <w:start w:val="4"/>
    </w:lvl>
  </w:abstractNum>
  <w:abstractNum w:abstractNumId="50">
    <w:nsid w:val="310C50B3"/>
    <w:multiLevelType w:val="hybridMultilevel"/>
    <w:lvl w:ilvl="0">
      <w:lvlJc w:val="left"/>
      <w:lvlText w:val="%1."/>
      <w:numFmt w:val="decimal"/>
      <w:start w:val="5"/>
    </w:lvl>
  </w:abstractNum>
  <w:abstractNum w:abstractNumId="51">
    <w:nsid w:val="5FF87E05"/>
    <w:multiLevelType w:val="hybridMultilevel"/>
    <w:lvl w:ilvl="0">
      <w:lvlJc w:val="left"/>
      <w:lvlText w:val="%1."/>
      <w:numFmt w:val="decimal"/>
      <w:start w:val="6"/>
    </w:lvl>
  </w:abstractNum>
  <w:abstractNum w:abstractNumId="52">
    <w:nsid w:val="2F305DEF"/>
    <w:multiLevelType w:val="hybridMultilevel"/>
    <w:lvl w:ilvl="0">
      <w:lvlJc w:val="left"/>
      <w:lvlText w:val="%1."/>
      <w:numFmt w:val="decimal"/>
      <w:start w:val="7"/>
    </w:lvl>
  </w:abstractNum>
  <w:abstractNum w:abstractNumId="53">
    <w:nsid w:val="25A70BF7"/>
    <w:multiLevelType w:val="hybridMultilevel"/>
    <w:lvl w:ilvl="0">
      <w:lvlJc w:val="left"/>
      <w:lvlText w:val="%1."/>
      <w:numFmt w:val="decimal"/>
      <w:start w:val="8"/>
    </w:lvl>
  </w:abstractNum>
  <w:abstractNum w:abstractNumId="54">
    <w:nsid w:val="1DBABF00"/>
    <w:multiLevelType w:val="hybridMultilevel"/>
    <w:lvl w:ilvl="0">
      <w:lvlJc w:val="left"/>
      <w:lvlText w:val="%1."/>
      <w:numFmt w:val="decimal"/>
      <w:start w:val="9"/>
    </w:lvl>
  </w:abstractNum>
  <w:abstractNum w:abstractNumId="55">
    <w:nsid w:val="4AD084E9"/>
    <w:multiLevelType w:val="hybridMultilevel"/>
    <w:lvl w:ilvl="0">
      <w:lvlJc w:val="left"/>
      <w:lvlText w:val="%1."/>
      <w:numFmt w:val="decimal"/>
      <w:start w:val="10"/>
    </w:lvl>
  </w:abstractNum>
  <w:abstractNum w:abstractNumId="56">
    <w:nsid w:val="1F48EAA1"/>
    <w:multiLevelType w:val="hybridMultilevel"/>
    <w:lvl w:ilvl="0">
      <w:lvlJc w:val="left"/>
      <w:lvlText w:val="%1."/>
      <w:numFmt w:val="decimal"/>
      <w:start w:val="11"/>
    </w:lvl>
  </w:abstractNum>
  <w:abstractNum w:abstractNumId="57">
    <w:nsid w:val="1381823A"/>
    <w:multiLevelType w:val="hybridMultilevel"/>
    <w:lvl w:ilvl="0">
      <w:lvlJc w:val="left"/>
      <w:lvlText w:val="%1."/>
      <w:numFmt w:val="decimal"/>
      <w:start w:val="12"/>
    </w:lvl>
  </w:abstractNum>
  <w:abstractNum w:abstractNumId="58">
    <w:nsid w:val="5DB70AE5"/>
    <w:multiLevelType w:val="hybridMultilevel"/>
    <w:lvl w:ilvl="0">
      <w:lvlJc w:val="left"/>
      <w:lvlText w:val="%1."/>
      <w:numFmt w:val="decimal"/>
      <w:start w:val="13"/>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4"/>
    </w:lvl>
  </w:abstractNum>
  <w:abstractNum w:abstractNumId="61">
    <w:nsid w:val="15014ACB"/>
    <w:multiLevelType w:val="hybridMultilevel"/>
    <w:lvl w:ilvl="0">
      <w:lvlJc w:val="left"/>
      <w:lvlText w:val="%1."/>
      <w:numFmt w:val="decimal"/>
      <w:start w:val="15"/>
    </w:lvl>
  </w:abstractNum>
  <w:abstractNum w:abstractNumId="62">
    <w:nsid w:val="5F5E7FD0"/>
    <w:multiLevelType w:val="hybridMultilevel"/>
    <w:lvl w:ilvl="0">
      <w:lvlJc w:val="left"/>
      <w:lvlText w:val="%1."/>
      <w:numFmt w:val="decimal"/>
      <w:start w:val="480"/>
    </w:lvl>
  </w:abstractNum>
  <w:abstractNum w:abstractNumId="63">
    <w:nsid w:val="98A3148"/>
    <w:multiLevelType w:val="hybridMultilevel"/>
    <w:lvl w:ilvl="0">
      <w:lvlJc w:val="left"/>
      <w:lvlText w:val="%1."/>
      <w:numFmt w:val="decimal"/>
      <w:start w:val="16"/>
    </w:lvl>
  </w:abstractNum>
  <w:abstractNum w:abstractNumId="64">
    <w:nsid w:val="799D0247"/>
    <w:multiLevelType w:val="hybridMultilevel"/>
    <w:lvl w:ilvl="0">
      <w:lvlJc w:val="left"/>
      <w:lvlText w:val="%1."/>
      <w:numFmt w:val="decimal"/>
      <w:start w:val="17"/>
    </w:lvl>
  </w:abstractNum>
  <w:abstractNum w:abstractNumId="65">
    <w:nsid w:val="6B94764"/>
    <w:multiLevelType w:val="hybridMultilevel"/>
    <w:lvl w:ilvl="0">
      <w:lvlJc w:val="left"/>
      <w:lvlText w:val="%1."/>
      <w:numFmt w:val="decimal"/>
      <w:start w:val="18"/>
    </w:lvl>
  </w:abstractNum>
  <w:abstractNum w:abstractNumId="66">
    <w:nsid w:val="42C296BD"/>
    <w:multiLevelType w:val="hybridMultilevel"/>
    <w:lvl w:ilvl="0">
      <w:lvlJc w:val="left"/>
      <w:lvlText w:val="(%1)"/>
      <w:numFmt w:val="lowerLetter"/>
      <w:start w:val="1"/>
    </w:lvl>
    <w:lvl w:ilvl="1">
      <w:lvlJc w:val="left"/>
      <w:lvlText w:val="•"/>
      <w:numFmt w:val="bullet"/>
      <w:start w:val="1"/>
    </w:lvl>
  </w:abstractNum>
  <w:abstractNum w:abstractNumId="67">
    <w:nsid w:val="168E121F"/>
    <w:multiLevelType w:val="hybridMultilevel"/>
    <w:lvl w:ilvl="0">
      <w:lvlJc w:val="left"/>
      <w:lvlText w:val="(%1)"/>
      <w:numFmt w:val="lowerLetter"/>
      <w:start w:val="3"/>
    </w:lvl>
  </w:abstractNum>
  <w:abstractNum w:abstractNumId="68">
    <w:nsid w:val="1EBA5D23"/>
    <w:multiLevelType w:val="hybridMultilevel"/>
    <w:lvl w:ilvl="0">
      <w:lvlJc w:val="left"/>
      <w:lvlText w:val="(%1)"/>
      <w:numFmt w:val="lowerLetter"/>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decimal"/>
      <w:start w:val="19"/>
    </w:lvl>
  </w:abstractNum>
  <w:abstractNum w:abstractNumId="71">
    <w:nsid w:val="540A471C"/>
    <w:multiLevelType w:val="hybridMultilevel"/>
    <w:lvl w:ilvl="0">
      <w:lvlJc w:val="left"/>
      <w:lvlText w:val="%1"/>
      <w:numFmt w:val="decimal"/>
      <w:start w:val="21"/>
    </w:lvl>
  </w:abstractNum>
  <w:abstractNum w:abstractNumId="72">
    <w:nsid w:val="7BD3EE7B"/>
    <w:multiLevelType w:val="hybridMultilevel"/>
    <w:lvl w:ilvl="0">
      <w:lvlJc w:val="left"/>
      <w:lvlText w:val="%1"/>
      <w:numFmt w:val="decimal"/>
      <w:start w:val="104"/>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9"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5"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60" Type="http://schemas.openxmlformats.org/officeDocument/2006/relationships/image" Target="media/image445.png"/><Relationship Id="rId461" Type="http://schemas.openxmlformats.org/officeDocument/2006/relationships/image" Target="media/image446.png"/><Relationship Id="rId463" Type="http://schemas.openxmlformats.org/officeDocument/2006/relationships/image" Target="media/image447.png"/><Relationship Id="rId465" Type="http://schemas.openxmlformats.org/officeDocument/2006/relationships/image" Target="media/image448.png"/><Relationship Id="rId467" Type="http://schemas.openxmlformats.org/officeDocument/2006/relationships/image" Target="media/image449.png"/><Relationship Id="rId469"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5" Type="http://schemas.openxmlformats.org/officeDocument/2006/relationships/image" Target="media/image454.png"/><Relationship Id="rId477" Type="http://schemas.openxmlformats.org/officeDocument/2006/relationships/image" Target="media/image455.png"/><Relationship Id="rId479" Type="http://schemas.openxmlformats.org/officeDocument/2006/relationships/image" Target="media/image456.png"/><Relationship Id="rId481" Type="http://schemas.openxmlformats.org/officeDocument/2006/relationships/image" Target="media/image457.png"/><Relationship Id="rId483" Type="http://schemas.openxmlformats.org/officeDocument/2006/relationships/image" Target="media/image458.png"/><Relationship Id="rId485" Type="http://schemas.openxmlformats.org/officeDocument/2006/relationships/image" Target="media/image459.png"/><Relationship Id="rId486" Type="http://schemas.openxmlformats.org/officeDocument/2006/relationships/image" Target="media/image460.png"/><Relationship Id="rId488" Type="http://schemas.openxmlformats.org/officeDocument/2006/relationships/image" Target="media/image461.png"/><Relationship Id="rId489" Type="http://schemas.openxmlformats.org/officeDocument/2006/relationships/image" Target="media/image462.png"/><Relationship Id="rId490"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514" Type="http://schemas.openxmlformats.org/officeDocument/2006/relationships/image" Target="media/image468.png"/><Relationship Id="rId515" Type="http://schemas.openxmlformats.org/officeDocument/2006/relationships/image" Target="media/image469.png"/><Relationship Id="rId522" Type="http://schemas.openxmlformats.org/officeDocument/2006/relationships/image" Target="media/image470.png"/><Relationship Id="rId523" Type="http://schemas.openxmlformats.org/officeDocument/2006/relationships/image" Target="media/image471.png"/><Relationship Id="rId525" Type="http://schemas.openxmlformats.org/officeDocument/2006/relationships/image" Target="media/image472.png"/><Relationship Id="rId526" Type="http://schemas.openxmlformats.org/officeDocument/2006/relationships/image" Target="media/image473.png"/><Relationship Id="rId527" Type="http://schemas.openxmlformats.org/officeDocument/2006/relationships/image" Target="media/image474.png"/><Relationship Id="rId528" Type="http://schemas.openxmlformats.org/officeDocument/2006/relationships/image" Target="media/image475.png"/><Relationship Id="rId529" Type="http://schemas.openxmlformats.org/officeDocument/2006/relationships/image" Target="media/image476.png"/><Relationship Id="rId530" Type="http://schemas.openxmlformats.org/officeDocument/2006/relationships/image" Target="media/image477.png"/><Relationship Id="rId531" Type="http://schemas.openxmlformats.org/officeDocument/2006/relationships/image" Target="media/image478.png"/><Relationship Id="rId532" Type="http://schemas.openxmlformats.org/officeDocument/2006/relationships/image" Target="media/image479.png"/><Relationship Id="rId533" Type="http://schemas.openxmlformats.org/officeDocument/2006/relationships/image" Target="media/image480.png"/><Relationship Id="rId534" Type="http://schemas.openxmlformats.org/officeDocument/2006/relationships/image" Target="media/image481.png"/><Relationship Id="rId535" Type="http://schemas.openxmlformats.org/officeDocument/2006/relationships/image" Target="media/image482.png"/><Relationship Id="rId536" Type="http://schemas.openxmlformats.org/officeDocument/2006/relationships/image" Target="media/image483.png"/><Relationship Id="rId537" Type="http://schemas.openxmlformats.org/officeDocument/2006/relationships/image" Target="media/image484.png"/><Relationship Id="rId538" Type="http://schemas.openxmlformats.org/officeDocument/2006/relationships/image" Target="media/image485.png"/><Relationship Id="rId539" Type="http://schemas.openxmlformats.org/officeDocument/2006/relationships/image" Target="media/image486.png"/><Relationship Id="rId540" Type="http://schemas.openxmlformats.org/officeDocument/2006/relationships/image" Target="media/image487.png"/><Relationship Id="rId438" Type="http://schemas.openxmlformats.org/officeDocument/2006/relationships/hyperlink" Target="https://www.sec.gov/Archives/edgar/data/1095981/000114036116057505/ex3_1.htm" TargetMode="External"/><Relationship Id="rId440" Type="http://schemas.openxmlformats.org/officeDocument/2006/relationships/hyperlink" Target="https://www.sec.gov/Archives/edgar/data/1095981/000156459018014245/cytx-ex31_6.htm" TargetMode="External"/><Relationship Id="rId445" Type="http://schemas.openxmlformats.org/officeDocument/2006/relationships/hyperlink" Target="https://www.sec.gov/Archives/edgar/data/1095981/000156459019026454/cytx-ex31_6.htm" TargetMode="External"/><Relationship Id="rId448" Type="http://schemas.openxmlformats.org/officeDocument/2006/relationships/hyperlink" Target="https://www.sec.gov/Archives/edgar/data/1095981/000156459019028996/pstv-ex31_18.htm" TargetMode="External"/><Relationship Id="rId451" Type="http://schemas.openxmlformats.org/officeDocument/2006/relationships/hyperlink" Target="https://www.sec.gov/Archives/edgar/data/1095981/000119312523127227/d475493dex31.htm" TargetMode="External"/><Relationship Id="rId454" Type="http://schemas.openxmlformats.org/officeDocument/2006/relationships/hyperlink" Target="https://www.sec.gov/Archives/edgar/data/1095981/000095017025062742/pstv-ex3_1.htm" TargetMode="External"/><Relationship Id="rId456" Type="http://schemas.openxmlformats.org/officeDocument/2006/relationships/hyperlink" Target="https://www.sec.gov/Archives/edgar/data/1095981/000156459017024297/cytx-ex31_6.htm" TargetMode="External"/><Relationship Id="rId459" Type="http://schemas.openxmlformats.org/officeDocument/2006/relationships/hyperlink" Target="https://www.sec.gov/Archives/edgar/data/1095981/000156459018017443/cytx-ex31_7.htm" TargetMode="External"/><Relationship Id="rId462" Type="http://schemas.openxmlformats.org/officeDocument/2006/relationships/hyperlink" Target="https://www.sec.gov/Archives/edgar/data/1095981/000119312521277718/d164672dex31.htm" TargetMode="External"/><Relationship Id="rId464" Type="http://schemas.openxmlformats.org/officeDocument/2006/relationships/hyperlink" Target="https://www.sec.gov/Archives/edgar/data/1095981/000156459020014165/pstv-ex41_202.htm" TargetMode="External"/><Relationship Id="rId466" Type="http://schemas.openxmlformats.org/officeDocument/2006/relationships/hyperlink" Target="https://www.sec.gov/Archives/edgar/data/1095981/000156459018005136/cytx-ex433_277.htm" TargetMode="External"/><Relationship Id="rId468" Type="http://schemas.openxmlformats.org/officeDocument/2006/relationships/hyperlink" Target="https://www.sec.gov/Archives/edgar/data/1095981/000119312525028151/d916701dex41.htm" TargetMode="External"/><Relationship Id="rId470" Type="http://schemas.openxmlformats.org/officeDocument/2006/relationships/hyperlink" Target="https://www.sec.gov/Archives/edgar/data/1095981/000119312525028151/d916701dex42.htm" TargetMode="External"/><Relationship Id="rId474" Type="http://schemas.openxmlformats.org/officeDocument/2006/relationships/hyperlink" Target="https://www.sec.gov/Archives/edgar/data/1095981/000119312525045305/d875007dex41.htm" TargetMode="External"/><Relationship Id="rId476" Type="http://schemas.openxmlformats.org/officeDocument/2006/relationships/hyperlink" Target="https://www.sec.gov/Archives/edgar/data/1095981/000119312525045305/d875007dex42.htm" TargetMode="External"/><Relationship Id="rId478" Type="http://schemas.openxmlformats.org/officeDocument/2006/relationships/hyperlink" Target="https://www.sec.gov/Archives/edgar/data/1095981/000119312525045305/d875007dex43.htm" TargetMode="External"/><Relationship Id="rId480" Type="http://schemas.openxmlformats.org/officeDocument/2006/relationships/hyperlink" Target="https://www.sec.gov/Archives/edgar/data/1095981/000119312525142093/d942989dex41.htm" TargetMode="External"/><Relationship Id="rId482" Type="http://schemas.openxmlformats.org/officeDocument/2006/relationships/hyperlink" Target="https://www.sec.gov/Archives/edgar/data/1095981/000119312526008922/d12907dex44.htm" TargetMode="External"/><Relationship Id="rId484" Type="http://schemas.openxmlformats.org/officeDocument/2006/relationships/hyperlink" Target="https://www.sec.gov/Archives/edgar/data/0001095981/000156459020013839/pstv-ex101_34.htm" TargetMode="External"/><Relationship Id="rId487" Type="http://schemas.openxmlformats.org/officeDocument/2006/relationships/hyperlink" Target="https://www.sec.gov/Archives/edgar/data/1095981/000156459022006708/pstv-ex102_69.htm" TargetMode="External"/><Relationship Id="rId491" Type="http://schemas.openxmlformats.org/officeDocument/2006/relationships/hyperlink" Target="https://www.sec.gov/Archives/edgar/data/1095981/000156459020025453/pstv-ex106_107.htm" TargetMode="External"/><Relationship Id="rId496" Type="http://schemas.openxmlformats.org/officeDocument/2006/relationships/hyperlink" Target="https://www.sec.gov/Archives/edgar/data/1095981/000156459020025453/pstv-ex107_106.htm" TargetMode="External"/><Relationship Id="rId497" Type="http://schemas.openxmlformats.org/officeDocument/2006/relationships/hyperlink" Target="https://www.sec.gov/Archives/edgar/data/1095981/000119312526008922/d12907dex109.htm" TargetMode="External"/><Relationship Id="rId498" Type="http://schemas.openxmlformats.org/officeDocument/2006/relationships/hyperlink" Target="https://www.sec.gov/Archives/edgar/data/1095981/000119312525258596/pstv-ex10_2.htm" TargetMode="External"/><Relationship Id="rId499" Type="http://schemas.openxmlformats.org/officeDocument/2006/relationships/hyperlink" Target="https://www.sec.gov/Archives/edgar/data/1095981/000156459022006708/pstv-ex1026_110.htm" TargetMode="External"/><Relationship Id="rId500" Type="http://schemas.openxmlformats.org/officeDocument/2006/relationships/hyperlink" Target="https://www.sec.gov/Archives/edgar/data/1095981/000156459020003735/pstv-ex101_6.htm" TargetMode="External"/><Relationship Id="rId501" Type="http://schemas.openxmlformats.org/officeDocument/2006/relationships/hyperlink" Target="https://www.sec.gov/Archives/edgar/data/1095981/000114036116057505/ex10_113.htm" TargetMode="External"/><Relationship Id="rId502" Type="http://schemas.openxmlformats.org/officeDocument/2006/relationships/hyperlink" Target="https://www.sec.gov/Archives/edgar/data/1095981/000119312522248711/d322153dex101.htm" TargetMode="External"/><Relationship Id="rId503" Type="http://schemas.openxmlformats.org/officeDocument/2006/relationships/hyperlink" Target="https://www.sec.gov/Archives/edgar/data/1095981/000119312525028151/d916701dex101.htm" TargetMode="External"/><Relationship Id="rId504" Type="http://schemas.openxmlformats.org/officeDocument/2006/relationships/hyperlink" Target="https://www.sec.gov/Archives/edgar/data/1095981/000119312525028151/d916701dex102.htm" TargetMode="External"/><Relationship Id="rId505" Type="http://schemas.openxmlformats.org/officeDocument/2006/relationships/hyperlink" Target="https://www.sec.gov/Archives/edgar/data/1095981/000119312525028151/d916701dex103.htm" TargetMode="External"/><Relationship Id="rId506" Type="http://schemas.openxmlformats.org/officeDocument/2006/relationships/hyperlink" Target="https://www.sec.gov/Archives/edgar/data/1095981/000119312525028151/d916701dex104.htm" TargetMode="External"/><Relationship Id="rId507" Type="http://schemas.openxmlformats.org/officeDocument/2006/relationships/hyperlink" Target="https://www.sec.gov/Archives/edgar/data/1095981/000119312525028151/d916701dex105.htm" TargetMode="External"/><Relationship Id="rId508" Type="http://schemas.openxmlformats.org/officeDocument/2006/relationships/hyperlink" Target="https://www.sec.gov/Archives/edgar/data/1095981/000119312525028151/d916701dex106.htm" TargetMode="External"/><Relationship Id="rId509" Type="http://schemas.openxmlformats.org/officeDocument/2006/relationships/hyperlink" Target="https://www.sec.gov/Archives/edgar/data/1095981/000119312525028151/d916701dex107.htm" TargetMode="External"/><Relationship Id="rId510" Type="http://schemas.openxmlformats.org/officeDocument/2006/relationships/hyperlink" Target="https://www.sec.gov/Archives/edgar/data/1095981/000119312525045305/d875007dex101.htm" TargetMode="External"/><Relationship Id="rId511" Type="http://schemas.openxmlformats.org/officeDocument/2006/relationships/hyperlink" Target="https://www.sec.gov/Archives/edgar/data/1095981/000119312525045305/d875007dex102.htm" TargetMode="External"/><Relationship Id="rId512" Type="http://schemas.openxmlformats.org/officeDocument/2006/relationships/hyperlink" Target="https://www.sec.gov/Archives/edgar/data/1095981/000119312525045305/d875007dex103.htm" TargetMode="External"/><Relationship Id="rId513" Type="http://schemas.openxmlformats.org/officeDocument/2006/relationships/hyperlink" Target="https://www.sec.gov/Archives/edgar/data/1095981/000119312525142093/d942989dex101.htm" TargetMode="External"/><Relationship Id="rId516" Type="http://schemas.openxmlformats.org/officeDocument/2006/relationships/hyperlink" Target="https://www.sec.gov/Archives/edgar/data/1095981/000119312525143665/d925162dex101.htm" TargetMode="External"/><Relationship Id="rId517" Type="http://schemas.openxmlformats.org/officeDocument/2006/relationships/hyperlink" Target="https://www.sec.gov/Archives/edgar/data/1095981/000119312525143665/d925162dex102.htm" TargetMode="External"/><Relationship Id="rId518" Type="http://schemas.openxmlformats.org/officeDocument/2006/relationships/hyperlink" Target="https://www.sec.gov/Archives/edgar/data/1095981/000119312525178940/d942543dex1041.htm" TargetMode="External"/><Relationship Id="rId519" Type="http://schemas.openxmlformats.org/officeDocument/2006/relationships/hyperlink" Target="https://www.sec.gov/Archives/edgar/data/1095981/000119312525258596/pstv-ex10_3.htm" TargetMode="External"/><Relationship Id="rId520" Type="http://schemas.openxmlformats.org/officeDocument/2006/relationships/hyperlink" Target="https://www.sec.gov/Archives/edgar/data/1095981/000119312525244275/d637082dex101.htm" TargetMode="External"/><Relationship Id="rId521" Type="http://schemas.openxmlformats.org/officeDocument/2006/relationships/hyperlink" Target="https://www.sec.gov/Archives/edgar/data/1095981/000095017025047698/pstv-ex19.htm" TargetMode="External"/><Relationship Id="rId524" Type="http://schemas.openxmlformats.org/officeDocument/2006/relationships/hyperlink" Target="https://www.sec.gov/Archives/edgar/data/1095981/000095017024025851/pstv-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2026-03-12T15:49:26Z</dcterms:created>
  <dcterms:modified xsi:type="dcterms:W3CDTF">2026-03-12T15:49:26Z</dcterms:modified>
</cp:coreProperties>
</file>