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2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b w:val="1"/>
          <w:bCs w:val="1"/>
          <w:color w:val="auto"/>
        </w:rPr>
        <w:t>TRANSITION REPORT PURSUANT TO SECTION 13 OR 15(d) OF THE SECURITIES</w:t>
      </w: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79"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PLUS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33-0827593</w:t>
            </w:r>
          </w:p>
        </w:tc>
      </w:tr>
      <w:tr>
        <w:trPr>
          <w:trHeight w:val="220"/>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59"/>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Times New Roman" w:cs="Times New Roman" w:eastAsia="Times New Roman" w:hAnsi="Times New Roman"/>
                <w:sz w:val="16"/>
                <w:szCs w:val="16"/>
                <w:b w:val="1"/>
                <w:bCs w:val="1"/>
                <w:color w:val="auto"/>
              </w:rPr>
              <w:t>78756</w:t>
            </w:r>
          </w:p>
        </w:tc>
      </w:tr>
      <w:tr>
        <w:trPr>
          <w:trHeight w:val="230"/>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28"/>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2"/>
        </w:trPr>
        <w:tc>
          <w:tcPr>
            <w:tcW w:w="7620" w:type="dxa"/>
            <w:vAlign w:val="bottom"/>
            <w:gridSpan w:val="5"/>
          </w:tcPr>
          <w:p>
            <w:pPr>
              <w:jc w:val="center"/>
              <w:ind w:left="35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20" w:type="dxa"/>
            <w:vAlign w:val="bottom"/>
          </w:tcPr>
          <w:p>
            <w:pPr>
              <w:spacing w:after="0"/>
              <w:rPr>
                <w:sz w:val="18"/>
                <w:szCs w:val="18"/>
                <w:color w:val="auto"/>
              </w:rPr>
            </w:pPr>
          </w:p>
        </w:tc>
      </w:tr>
      <w:tr>
        <w:trPr>
          <w:trHeight w:val="87"/>
        </w:trPr>
        <w:tc>
          <w:tcPr>
            <w:tcW w:w="4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225"/>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2"/>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71"/>
        </w:trPr>
        <w:tc>
          <w:tcPr>
            <w:tcW w:w="4200" w:type="dxa"/>
            <w:vAlign w:val="bottom"/>
            <w:tcBorders>
              <w:left w:val="single" w:sz="8" w:color="auto"/>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190"/>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56"/>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99" w:right="339" w:bottom="1440" w:gutter="0" w:footer="0" w:header="0"/>
        </w:sectPr>
      </w:pPr>
    </w:p>
    <w:p>
      <w:pPr>
        <w:spacing w:after="0" w:line="142"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46"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17"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10, 2024 , there were 5,704,219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119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2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FF"/>
                <w:w w:val="97"/>
              </w:rPr>
              <w:t>FINANCIAL INFORMATION</w:t>
            </w:r>
          </w:p>
        </w:tc>
        <w:tc>
          <w:tcPr>
            <w:tcW w:w="6920" w:type="dxa"/>
            <w:vAlign w:val="bottom"/>
            <w:gridSpan w:val="11"/>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9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Balance Sheets</w:t>
            </w:r>
          </w:p>
        </w:tc>
        <w:tc>
          <w:tcPr>
            <w:tcW w:w="6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Condensed Statements of Operations</w:t>
            </w:r>
          </w:p>
        </w:tc>
        <w:tc>
          <w:tcPr>
            <w:tcW w:w="57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Equity/(Deficit)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1280" w:type="dxa"/>
            <w:vAlign w:val="bottom"/>
            <w:tcBorders>
              <w:top w:val="single" w:sz="8" w:color="0000EE"/>
            </w:tcBorders>
            <w:gridSpan w:val="2"/>
          </w:tcPr>
          <w:p>
            <w:pPr>
              <w:spacing w:after="0"/>
              <w:rPr>
                <w:sz w:val="24"/>
                <w:szCs w:val="24"/>
                <w:color w:val="auto"/>
              </w:rPr>
            </w:pPr>
          </w:p>
        </w:tc>
        <w:tc>
          <w:tcPr>
            <w:tcW w:w="44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540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8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68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gridSpan w:val="12"/>
          </w:tcPr>
          <w:p>
            <w:pPr>
              <w:ind w:left="33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2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manufacturing to a contract drug manufacturing organization; and the potential enhancement of our cash position through development, marketing, and licensing arrangements; and a material security breach or cybersecurity attack affecting our operations and property.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2023, and under “Part II – Item 1A – Risk Factors” in this Quarterly Report on Form 10-Q. These risks and uncertainties could cause actual results to differ materially from expectations or those expressed in these forward-looking statements.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2023, and under “Part</w:t>
      </w:r>
    </w:p>
    <w:p>
      <w:pPr>
        <w:spacing w:after="0" w:line="5" w:lineRule="exact"/>
        <w:rPr>
          <w:sz w:val="20"/>
          <w:szCs w:val="20"/>
          <w:color w:val="auto"/>
        </w:rPr>
      </w:pPr>
    </w:p>
    <w:p>
      <w:pPr>
        <w:ind w:firstLine="8"/>
        <w:spacing w:after="0" w:line="260" w:lineRule="auto"/>
        <w:tabs>
          <w:tab w:leader="none" w:pos="182"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Item 1A – Risk Factors” in this Quarterly Report on Form 10-Q. These risks and uncertainties could cause actual results to differ materially from expectations or those expressed in these forward-looking statements.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encourage you to read the risks described under “Part II – Item 1A – Risk Factors” in this report carefully. We caution you not to place undue reliance on the forward-looking statements contained in this report. These statements, like all statements in this report, speak only as of the date of this report (unless an earlier date is indicated) and the Company undertakes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right-use-of assets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77"/>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liability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obligation, current</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grant liability</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tcBorders>
              <w:top w:val="single" w:sz="8" w:color="CFF0FC"/>
            </w:tcBorders>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1,952 shares issued and</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outstanding at March 31, 2024 and December 31, 2023, respectively</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4,522,656 and</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4,264,231 issued and outstanding at March 31, 2024, and 4,522,656 issued and</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4,444,097 outstanding as of December 31, 2023, respectively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1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Treasury stock (at cost, 258,425 and 78,559 shares as of March 31, 2024 and December</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(126 )</w:t>
            </w: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479,274</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(483,762 )</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(480,501 )</w:t>
            </w:r>
          </w:p>
        </w:tc>
      </w:tr>
      <w:tr>
        <w:trPr>
          <w:trHeight w:val="20"/>
        </w:trPr>
        <w:tc>
          <w:tcPr>
            <w:tcW w:w="6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(4,837 )</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(1,348 )</w:t>
            </w:r>
          </w:p>
        </w:tc>
      </w:tr>
      <w:tr>
        <w:trPr>
          <w:trHeight w:val="277"/>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-5280025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-5280025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-4028440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-4011295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-4028440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-4011295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-3076575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-3076575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-2451100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-2451100</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-350520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4" w:name="page5"/>
    <w:bookmarkEnd w:id="4"/>
    <w:p>
      <w:pPr>
        <w:ind w:left="38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6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FF0FC"/>
          </w:tcPr>
          <w:p>
            <w:pPr>
              <w:spacing w:after="0"/>
              <w:rPr>
                <w:sz w:val="21"/>
                <w:szCs w:val="21"/>
                <w:color w:val="auto"/>
              </w:rPr>
            </w:pPr>
          </w:p>
        </w:tc>
      </w:tr>
      <w:tr>
        <w:trPr>
          <w:trHeight w:val="232"/>
        </w:trPr>
        <w:tc>
          <w:tcPr>
            <w:tcW w:w="6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Pr>
          <w:p>
            <w:pPr>
              <w:spacing w:after="0"/>
              <w:rPr>
                <w:sz w:val="20"/>
                <w:szCs w:val="20"/>
                <w:color w:val="auto"/>
              </w:rPr>
            </w:pPr>
          </w:p>
        </w:tc>
      </w:tr>
      <w:tr>
        <w:trPr>
          <w:trHeight w:val="237"/>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(3,299 )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(4,722 )</w:t>
            </w:r>
          </w:p>
        </w:tc>
      </w:tr>
      <w:tr>
        <w:trPr>
          <w:trHeight w:val="241"/>
        </w:trPr>
        <w:tc>
          <w:tcPr>
            <w:tcW w:w="69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2"/>
        </w:trPr>
        <w:tc>
          <w:tcPr>
            <w:tcW w:w="6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7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(3,261 )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(4,805 )</w:t>
            </w:r>
          </w:p>
        </w:tc>
      </w:tr>
      <w:tr>
        <w:trPr>
          <w:trHeight w:val="228"/>
        </w:trPr>
        <w:tc>
          <w:tcPr>
            <w:tcW w:w="69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(0.75 )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43"/>
        </w:trPr>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used in calculating net loss per share</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4,321,731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2,320,017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-2069465</wp:posOffset>
            </wp:positionV>
            <wp:extent cx="8572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-2069465</wp:posOffset>
            </wp:positionV>
            <wp:extent cx="85725"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-1731010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-1731010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-1117600</wp:posOffset>
            </wp:positionV>
            <wp:extent cx="8572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-1117600</wp:posOffset>
            </wp:positionV>
            <wp:extent cx="85725"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-779780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-762000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-779780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-762000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4"/>
              </w:rPr>
              <w:t>Convertible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9"/>
        </w:trPr>
        <w:tc>
          <w:tcPr>
            <w:tcW w:w="1760" w:type="dxa"/>
            <w:vAlign w:val="bottom"/>
          </w:tcPr>
          <w:p>
            <w:pPr>
              <w:spacing w:after="0"/>
              <w:rPr>
                <w:sz w:val="14"/>
                <w:szCs w:val="14"/>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4"/>
                <w:szCs w:val="14"/>
                <w:color w:val="auto"/>
              </w:rPr>
            </w:pPr>
          </w:p>
        </w:tc>
        <w:tc>
          <w:tcPr>
            <w:tcW w:w="110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2"/>
        </w:trPr>
        <w:tc>
          <w:tcPr>
            <w:tcW w:w="17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(deficit)/equit</w:t>
            </w:r>
          </w:p>
        </w:tc>
      </w:tr>
      <w:tr>
        <w:trPr>
          <w:trHeight w:val="167"/>
        </w:trPr>
        <w:tc>
          <w:tcPr>
            <w:tcW w:w="1760" w:type="dxa"/>
            <w:vAlign w:val="bottom"/>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20" w:type="dxa"/>
            <w:vAlign w:val="bottom"/>
          </w:tcPr>
          <w:p>
            <w:pPr>
              <w:spacing w:after="0"/>
              <w:rPr>
                <w:sz w:val="14"/>
                <w:szCs w:val="14"/>
                <w:color w:val="auto"/>
              </w:rPr>
            </w:pPr>
          </w:p>
        </w:tc>
      </w:tr>
      <w:tr>
        <w:trPr>
          <w:trHeight w:val="157"/>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2,240,092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473,628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(467,185 )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6,445</w:t>
            </w:r>
          </w:p>
        </w:tc>
        <w:tc>
          <w:tcPr>
            <w:tcW w:w="120" w:type="dxa"/>
            <w:vAlign w:val="bottom"/>
            <w:shd w:val="clear" w:color="auto" w:fill="CFF0FC"/>
          </w:tcPr>
          <w:p>
            <w:pPr>
              <w:spacing w:after="0"/>
              <w:rPr>
                <w:sz w:val="13"/>
                <w:szCs w:val="13"/>
                <w:color w:val="auto"/>
              </w:rPr>
            </w:pPr>
          </w:p>
        </w:tc>
      </w:tr>
      <w:tr>
        <w:trPr>
          <w:trHeight w:val="16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4"/>
                <w:szCs w:val="14"/>
                <w:color w:val="auto"/>
              </w:rPr>
            </w:pPr>
          </w:p>
        </w:tc>
      </w:tr>
      <w:tr>
        <w:trPr>
          <w:trHeight w:val="162"/>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 of common stock, net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168,164</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20" w:type="dxa"/>
            <w:vAlign w:val="bottom"/>
            <w:shd w:val="clear" w:color="auto" w:fill="CFF0FC"/>
          </w:tcPr>
          <w:p>
            <w:pPr>
              <w:spacing w:after="0"/>
              <w:rPr>
                <w:sz w:val="14"/>
                <w:szCs w:val="14"/>
                <w:color w:val="auto"/>
              </w:rPr>
            </w:pPr>
          </w:p>
        </w:tc>
      </w:tr>
      <w:tr>
        <w:trPr>
          <w:trHeight w:val="130"/>
        </w:trPr>
        <w:tc>
          <w:tcPr>
            <w:tcW w:w="17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Series F preferred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r>
      <w:tr>
        <w:trPr>
          <w:trHeight w:val="163"/>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(4,805 )</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(4,805 )</w:t>
            </w:r>
          </w:p>
        </w:tc>
      </w:tr>
      <w:tr>
        <w:trPr>
          <w:trHeight w:val="20"/>
        </w:trPr>
        <w:tc>
          <w:tcPr>
            <w:tcW w:w="17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1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March 31, 2023</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1,952</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2,408,256</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474,664</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(471,990 )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2,676</w:t>
            </w:r>
          </w:p>
        </w:tc>
        <w:tc>
          <w:tcPr>
            <w:tcW w:w="120" w:type="dxa"/>
            <w:vAlign w:val="bottom"/>
          </w:tcPr>
          <w:p>
            <w:pPr>
              <w:spacing w:after="0"/>
              <w:rPr>
                <w:sz w:val="13"/>
                <w:szCs w:val="13"/>
                <w:color w:val="auto"/>
              </w:rPr>
            </w:pPr>
          </w:p>
        </w:tc>
      </w:tr>
      <w:tr>
        <w:trPr>
          <w:trHeight w:val="20"/>
        </w:trPr>
        <w:tc>
          <w:tcPr>
            <w:tcW w:w="1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1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4,522,656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(78,559 )</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479,274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(480,501 )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(1,348 )</w:t>
            </w:r>
          </w:p>
        </w:tc>
      </w:tr>
      <w:tr>
        <w:trPr>
          <w:trHeight w:val="16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4"/>
                <w:szCs w:val="14"/>
                <w:color w:val="auto"/>
              </w:rPr>
            </w:pPr>
          </w:p>
        </w:tc>
      </w:tr>
      <w:tr>
        <w:trPr>
          <w:trHeight w:val="130"/>
        </w:trPr>
        <w:tc>
          <w:tcPr>
            <w:tcW w:w="17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Purchase of treasury stock</w:t>
            </w: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(179,86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7"/>
        </w:trPr>
        <w:tc>
          <w:tcPr>
            <w:tcW w:w="17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(374 )</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(374 )</w:t>
            </w:r>
          </w:p>
        </w:tc>
      </w:tr>
      <w:tr>
        <w:trPr>
          <w:trHeight w:val="16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(3,261 )</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(3,261 )</w:t>
            </w:r>
          </w:p>
        </w:tc>
      </w:tr>
      <w:tr>
        <w:trPr>
          <w:trHeight w:val="124"/>
        </w:trPr>
        <w:tc>
          <w:tcPr>
            <w:tcW w:w="176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at March 31, 2024</w:t>
            </w: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(258,42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87"/>
        </w:trPr>
        <w:tc>
          <w:tcPr>
            <w:tcW w:w="17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3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1,952</w:t>
            </w:r>
          </w:p>
        </w:tc>
        <w:tc>
          <w:tcPr>
            <w:tcW w:w="3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4,522,656</w:t>
            </w:r>
          </w:p>
        </w:tc>
        <w:tc>
          <w:tcPr>
            <w:tcW w:w="2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gridSpan w:val="2"/>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5 )</w:t>
            </w:r>
          </w:p>
        </w:tc>
        <w:tc>
          <w:tcPr>
            <w:tcW w:w="120" w:type="dxa"/>
            <w:vAlign w:val="bottom"/>
            <w:shd w:val="clear" w:color="auto" w:fill="CFF0FC"/>
          </w:tcPr>
          <w:p>
            <w:pPr>
              <w:jc w:val="cente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(500 )</w:t>
            </w:r>
          </w:p>
        </w:tc>
        <w:tc>
          <w:tcPr>
            <w:tcW w:w="1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479,420</w:t>
            </w:r>
          </w:p>
        </w:tc>
        <w:tc>
          <w:tcPr>
            <w:tcW w:w="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(483,762 )</w:t>
            </w:r>
          </w:p>
        </w:tc>
        <w:tc>
          <w:tcPr>
            <w:tcW w:w="1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(4,837 )</w:t>
            </w:r>
          </w:p>
        </w:tc>
      </w:tr>
      <w:tr>
        <w:trPr>
          <w:trHeight w:val="20"/>
        </w:trPr>
        <w:tc>
          <w:tcPr>
            <w:tcW w:w="17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-959485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-959485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-959485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-959485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-959485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-959485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-959485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-959485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-959485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-959485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-959485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-25400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-25400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-25400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31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(3,261 )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(4,805 )</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Accretion of discount on short-term investments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Reduction in the carrying amount of operating lease right-of-use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Increases (decreases) in cash caused by changes in operating assets and liabilities: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(3,639 )</w:t>
            </w: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 in operating lease liabilities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grant liability</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(1,677 )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(506 )</w:t>
            </w:r>
          </w:p>
        </w:tc>
      </w:tr>
      <w:tr>
        <w:trPr>
          <w:trHeight w:val="23"/>
        </w:trPr>
        <w:tc>
          <w:tcPr>
            <w:tcW w:w="6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(4,513 )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(5,793 )</w:t>
            </w:r>
          </w:p>
        </w:tc>
      </w:tr>
      <w:tr>
        <w:trPr>
          <w:trHeight w:val="229"/>
        </w:trPr>
        <w:tc>
          <w:tcPr>
            <w:tcW w:w="6940" w:type="dxa"/>
            <w:vAlign w:val="bottom"/>
            <w:tcBorders>
              <w:top w:val="single" w:sz="8" w:color="CFF0FC"/>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(324 )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94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(364 )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r>
      <w:tr>
        <w:trPr>
          <w:trHeight w:val="229"/>
        </w:trPr>
        <w:tc>
          <w:tcPr>
            <w:tcW w:w="694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used in/provided by financing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payments of term loan obligation</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(402 )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(402 )</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(374 )</w:t>
            </w: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common stock, net</w:t>
            </w:r>
          </w:p>
        </w:tc>
        <w:tc>
          <w:tcPr>
            <w:tcW w:w="9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(776 )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9"/>
                <w:szCs w:val="19"/>
                <w:color w:val="auto"/>
              </w:rPr>
            </w:pPr>
          </w:p>
        </w:tc>
      </w:tr>
      <w:tr>
        <w:trPr>
          <w:trHeight w:val="23"/>
        </w:trPr>
        <w:tc>
          <w:tcPr>
            <w:tcW w:w="6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(5,653 )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(5,397 )</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100" w:type="dxa"/>
            <w:vAlign w:val="bottom"/>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6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 information:</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during period for:</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92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FF0FC"/>
          </w:tcPr>
          <w:p>
            <w:pPr>
              <w:spacing w:after="0"/>
              <w:rPr>
                <w:sz w:val="20"/>
                <w:szCs w:val="20"/>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Unpaid offering cost</w:t>
            </w:r>
          </w:p>
        </w:tc>
        <w:tc>
          <w:tcPr>
            <w:tcW w:w="92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20"/>
                <w:szCs w:val="20"/>
                <w:color w:val="auto"/>
              </w:rPr>
            </w:pPr>
          </w:p>
        </w:tc>
      </w:tr>
      <w:tr>
        <w:trPr>
          <w:trHeight w:val="224"/>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liability</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-3133090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-3133090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-2541270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-2541270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-1649730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-1649730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-1041400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-1024255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-1041400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-1024255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900" w:hanging="892"/>
        <w:spacing w:after="0"/>
        <w:tabs>
          <w:tab w:leader="none" w:pos="9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for the three months ended March 31, 2024 and 2023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2023 has been derived from the audited financial statements at December 31, 2023,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(the “Company”) have been included. Operating results for the three months ended March 31, 2024 are not necessarily indicative of the results that may be expected for the year ending December 31, 2024. These financial statements should be read in conjunction with the financial statements and notes therein included in the Company’s Annual Report on Form 10-K for the year ended December 31, 2023, filed with the Securities and Exchange Commission on March 5, 2024.</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Reverse Stock Split</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April 20, 2023 (the “Annual Meeting”), the stockholders of the Company approved an amendment to the Company’s Amended and Restated Certificate of Incorporation (the “Charter”) to implement a reverse stock split of the Company’s then issued and outstanding common stock, par value $0.001 per share, with the ratio to be determined by the Board of Directors (the “Board”) of the Company, within a range of not less than 1-for-3 and not greater than 1-for-15. Subsequently, on April 21, 2023, the Board determined to fix the ratio for the reverse stock split at 1-for-15, without any change to its par value (the "Reverse Stock Split").</w:t>
      </w:r>
    </w:p>
    <w:p>
      <w:pPr>
        <w:spacing w:after="0" w:line="75"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April 27, 2023, following stockholder and Board approval, the Company filed a Certificate of Amendment to its Charter (the “Amendment”), with the Secretary of State of the State of Delaware to effectuate the Reverse Stock Split. The Amendment became effective on May 1, 2023. Upon effectiveness of the Reverse Stock Split, the number of shares of the Company’s common stock (x) issued and outstanding decreased from approximately 37.4 million shares to approximately 2.5 million shares; (y) reserved for issuance upon exercise of outstanding warrants and options decreased from approximately 2.0 million shares to approximately 0.1 million shares, and (z) reserved but unallocated under the Company’s current equity incentive plans decreased from approximately 3.0 million shares of common stock to approximately 0.2 million shares of common stock. The Company’s common stock began trading on the Nasdaq Capital Market (“Nasdaq”) on a post-split basis on May 1, 2023. The Company’s 5,000,000 shares of authorized Preferred Stock were not affected by the Reverse Stock Split. No fractional shares were issued in connection with the Reverse Stock Split, and accordingly, the outstanding number of shares post Reverse Stock Split was adjusted down by approximately 1,310 (post-effect of the Reverse Stock Split) shares. Proportional adjustments for the Reverse Stock Split were made to the Company’s outstanding stock options, warrants and equity incentive plans for the period ended March 31, 2023 as presented in the condensed financial statements in this Quarterly Report on Form 10-Q. The Company’s financial statements, and all references thereto have been retroactively adjusted to reflect the Reverse Stock Split unless specifically stated otherwise.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Grant Revenue Recognition</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each grant, the Company determines if it has a collaboration in accordance with ASC Topic 808, Collaborative Arrangements (“ASC 808”). For grants outside the scope of ASC 808, the Company applies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which requires an assessment, at the inception of each grant, of whether each grant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Company’s available-for-sale securities consist of U.S. government and agency securities. The Company classifies its marketable securities as available-for-sale and records such assets at estimated fair value in the condensed balance sheets, with unrealized gains and losses, if any, reported as a component of other comprehensive income (loss) within the condensed statements of operations and comprehensive income/loss and as a separate component of stockholders’ equity. Realized gains and losses are calculated on the specific identification method and recorded as interest income (loss).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As of March 31, 2024, there were no available-for-sale securities in an unrealized loss position, and there has been no allowance for expected credit losses recorded during any of the periods presented.</w:t>
      </w:r>
    </w:p>
    <w:p>
      <w:pPr>
        <w:spacing w:after="0" w:line="86"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Any premium arising at purchase is amortized to the earliest call date and any discount arising at purchase is accreted to maturity. Accretion of discounts are recorded in interest income in the condensed statements of operations and comprehensive income/loss.</w:t>
      </w:r>
    </w:p>
    <w:p>
      <w:pPr>
        <w:spacing w:after="0" w:line="54"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unrealized gain on the Company’s available-for-sale securities was less than $1,000, and not presented separately in the condensed statement of operations and comprehensive income/loss.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Management is currently evaluating the impact of the changes required by the new standard on the Company’s financial statements and related disclosures.</w:t>
      </w:r>
    </w:p>
    <w:p>
      <w:pPr>
        <w:spacing w:after="0" w:line="7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The new standard is intended to improve annual and interim reportable segment disclosure requirements regardless of number of reporting units, primarily through enhanced disclosures of significant expenses. The amendment requires public entities to disclose significant segment expenses that are regularly provided to the CODM and included within each reported measure of segment profit and loss. This update is effective for fiscal years beginning after December 15, 2023, and interim periods within those fiscal years starting after December 15, 2024. This ASU must be applied retrospectively to all prior periods presented. Management is currently evaluating the impact of the changes required by the new standard on the Company’s financial statements and related disclosures.</w:t>
      </w:r>
    </w:p>
    <w:p>
      <w:pPr>
        <w:spacing w:after="0" w:line="225" w:lineRule="exact"/>
        <w:rPr>
          <w:sz w:val="20"/>
          <w:szCs w:val="20"/>
          <w:color w:val="auto"/>
        </w:rPr>
      </w:pPr>
    </w:p>
    <w:p>
      <w:pPr>
        <w:ind w:left="900" w:hanging="891"/>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20"/>
        <w:spacing w:after="0" w:line="28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reviewing assets for impairment and determining the assumptions used in measuring stock-based compensation expense.</w:t>
      </w:r>
    </w:p>
    <w:p>
      <w:pPr>
        <w:spacing w:after="0" w:line="214" w:lineRule="exact"/>
        <w:rPr>
          <w:sz w:val="20"/>
          <w:szCs w:val="20"/>
          <w:color w:val="auto"/>
        </w:rPr>
      </w:pPr>
    </w:p>
    <w:p>
      <w:pPr>
        <w:ind w:left="900" w:hanging="892"/>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incurred a net loss of $3.3 million for the three months ended March 31, 2024. The Company had an accumulated deficit of $483.8 million as of March 31, 2024. Additionally, the Company used net cash of $4.5 million to fund its operating activities for the three months ended March 31, 2024.</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To date, the Company’s operating losses have been funded primarily from outside sources of invested capital from issuance of its common and preferred stocks, proceeds from its term loan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and could cause the Company to default on its term loan. These factors raise substantial doubt about the Company’s ability to continue as a going concern.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May 9, 2024, the Company closed a private placement of securities of the Company for aggregate gross proceeds of approximately $7.25 million, before deducting certain expenses payable by the Company, and excluding the proceeds, if any, from the exercise of warrants issued in the private placement. See Note 12 for further information regarding the private placement.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On March 8, 2024, the Company received a letter (the “Notice”) from the Listing Qualifications staff of Nasdaq, notifying the Company that it no longer complied with the requirement under Nasdaq Listing Rule 5550(b)(1) to maintain a minimum of $2.5 million in stockholders’ equity for continued listing on Nasdaq or the alternative requirements of having a market value of listed securities of $35 million or net income from continuing operations of $500,000 in the most recently completed fiscal year or two of the last three most recently completed fiscal years (the “Alternative Standards”). The Notice states that the Company’s Annual Report on Form 10-K for the fiscal year ended December 31, 2023, disclosed stockholders’ equity of ($1,348,000) as of December 31, 2023, and that, as of March 8, 2024, the Company did not meet the Alternative Standards.</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April 22, 2024, the Company provided Nasdaq with its plan to achieve and sustain compliance with the stockholders’ equity requirement and requested that Nasdaq grant the Company an extension of time until September 4, 2024, to provide evidence of compliance with the stockholders’ equity requirement. Nasdaq has not yet responded to the Company’s plan, and there can be no assurance that Nasdaq will grant an extension or that the Company will be able to comply with the applicable listing standards of Nasdaq.</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continues to seek additional capital from other financing alternatives and other sources in order to ensure adequate funding is available to allow the Company to continue research and product development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the Company fail to raise additional cash from outside sources, it would have a material adverse impact on its operations.</w:t>
      </w:r>
    </w:p>
    <w:p>
      <w:pPr>
        <w:spacing w:after="0" w:line="11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6" w:lineRule="exact"/>
        <w:rPr>
          <w:sz w:val="20"/>
          <w:szCs w:val="20"/>
          <w:color w:val="auto"/>
        </w:rPr>
      </w:pPr>
    </w:p>
    <w:p>
      <w:pPr>
        <w:ind w:left="860" w:hanging="852"/>
        <w:spacing w:after="0"/>
        <w:tabs>
          <w:tab w:leader="none" w:pos="8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2"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has investments in money market accounts, which are included in cash and cash equivalents on the balance sheets. Fair value inputs for these investments are considered Level 1 measurements within the fair value hierarchy since money market account fair values are known and observable through daily published floating net asset values.</w:t>
      </w:r>
    </w:p>
    <w:p>
      <w:pPr>
        <w:spacing w:after="0" w:line="176"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measured at fair value on a recurring basis as of March 31, 2024 and December 31, 2023, respectively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r>
      <w:tr>
        <w:trPr>
          <w:trHeight w:val="22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Treasury bills and government agency bonds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r>
      <w:tr>
        <w:trPr>
          <w:trHeight w:val="263"/>
        </w:trPr>
        <w:tc>
          <w:tcPr>
            <w:tcW w:w="35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426"/>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gridSpan w:val="7"/>
          </w:tcPr>
          <w:p>
            <w:pPr>
              <w:ind w:left="146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1"/>
                <w:szCs w:val="21"/>
                <w:color w:val="auto"/>
              </w:rPr>
            </w:pPr>
          </w:p>
        </w:tc>
      </w:tr>
      <w:tr>
        <w:trPr>
          <w:trHeight w:val="22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-616585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-599440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-616585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-599440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-616585</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-599440</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-616585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-599440</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860" w:hanging="852"/>
        <w:spacing w:after="0"/>
        <w:tabs>
          <w:tab w:leader="none" w:pos="8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Obligations</w:t>
      </w:r>
    </w:p>
    <w:p>
      <w:pPr>
        <w:spacing w:after="0" w:line="243"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made interest only payments through May 1, 2021, and thereafter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w:t>
      </w:r>
    </w:p>
    <w:p>
      <w:pPr>
        <w:spacing w:after="0" w:line="84"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From September 2017 to March 2020, the Company entered into a total of nine amendments to the Term Loan that, among other things, extended the interest only period, required repayment of $3.1 million using the proceeds received from sale of the Company’s former UK and Japan subsidiaries in April 2019, increased the final payment, increased the final payment fee upon maturity or early repayment of the Term Loan, increased the minimum liquidity covenant level to $2.0 million and deferred the start date of principal repayment from May 1, 2020 to May 1, 2021 and extended the term of the Term Loan from September 1, 2021 to June 1, 2024.</w:t>
      </w:r>
    </w:p>
    <w:p>
      <w:pPr>
        <w:spacing w:after="0" w:line="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On June 28, 2023, the Company and Oxford entered into a tenth amendment to the Loan and Security Agreement, and revised the interest rate of the Loan to the greater of: (1) 8.95%, or (2) the sum of 1-month Secured Overnight Financing Rate and 8.05%, effective July 1, 2023.</w:t>
      </w:r>
    </w:p>
    <w:p>
      <w:pPr>
        <w:spacing w:after="0" w:line="54"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Term Loan, as amended,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$3.0 million. As of March 31, 2024, there was $0.4 million principal amount outstanding under the Term Loan, excluding the $3.2 million final payment fee, and the Company was in compliance with all of the debt covenants under the Loan and Security Agreement.</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Company’s interest expense for the three ended March 31, 2024 and 2023 was $34,000 and $0.1 million, respectively. Interest expense is calculated using the effective interest method; therefore it is inclusive of non-cash amortization in the amount of $21,000 and $0.1 million for the three ended March 31, 2024 and 2023, respectively, related to the amortization of the debt discount, capitalized loan costs, and accretion of final payment.</w:t>
      </w:r>
    </w:p>
    <w:p>
      <w:pPr>
        <w:spacing w:after="0" w:line="72"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Loan and Security Agreement, as amended,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March 31, 2024, the Company has not received any notification or indication from Oxford that it intends to invoke the material adverse change clause.</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excluded from the diluted loss per share calculation for the periods presented because their effect would be anti-dilutive: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580" w:type="dxa"/>
            <w:vAlign w:val="bottom"/>
          </w:tcPr>
          <w:p>
            <w:pPr>
              <w:spacing w:after="0"/>
              <w:rPr>
                <w:sz w:val="21"/>
                <w:szCs w:val="21"/>
                <w:color w:val="auto"/>
              </w:rPr>
            </w:pPr>
          </w:p>
        </w:tc>
        <w:tc>
          <w:tcPr>
            <w:tcW w:w="6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303,133</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142,733</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474,056</w:t>
            </w: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6400" w:type="dxa"/>
            <w:vAlign w:val="bottom"/>
            <w:gridSpan w:val="3"/>
          </w:tcPr>
          <w:p>
            <w:pPr>
              <w:ind w:left="496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-1096645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820" w:hanging="812"/>
        <w:spacing w:after="0"/>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jc w:val="both"/>
        <w:ind w:left="520"/>
        <w:spacing w:after="0" w:line="235" w:lineRule="auto"/>
        <w:rPr>
          <w:sz w:val="20"/>
          <w:szCs w:val="20"/>
          <w:color w:val="auto"/>
        </w:rPr>
      </w:pPr>
      <w:r>
        <w:rPr>
          <w:rFonts w:ascii="Times New Roman" w:cs="Times New Roman" w:eastAsia="Times New Roman" w:hAnsi="Times New Roman"/>
          <w:sz w:val="18"/>
          <w:szCs w:val="18"/>
          <w:color w:val="auto"/>
        </w:rPr>
        <w:t>On September 19, 2022, the Company entered into that certain CPRIT contract (“CPRIT Contract”), effective as of August 31, 2022, with CPRIT, pursuant to which CPRIT will provide the Company with a CPRIT grant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and tiered low single digit royalty rates until CPRIT receives the aggregate amount of 400% of the proceeds awarded under the CPRIT Grant, and certain reporting requirements.</w:t>
      </w:r>
    </w:p>
    <w:p>
      <w:pPr>
        <w:spacing w:after="0" w:line="93"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8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recognized $1.7 million and $0.5 million in grant revenue from the CPRIT Contract during the three months ended March 31, 2024 and 2023, respectively.</w:t>
      </w:r>
    </w:p>
    <w:p>
      <w:pPr>
        <w:spacing w:after="0" w:line="212" w:lineRule="exact"/>
        <w:rPr>
          <w:sz w:val="20"/>
          <w:szCs w:val="20"/>
          <w:color w:val="auto"/>
        </w:rPr>
      </w:pPr>
    </w:p>
    <w:p>
      <w:pPr>
        <w:ind w:left="520" w:right="8260" w:hanging="512"/>
        <w:spacing w:after="0" w:line="378" w:lineRule="auto"/>
        <w:tabs>
          <w:tab w:leader="none" w:pos="44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Leases</w:t>
      </w: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On March 31, 2023, Company believed that it was reasonably certain that the Charlottesville Lease will be renewed through March 31, 2026, and as a result, it remeasured the related lease liability as of March 31, 2023 to be $80,000 using the then-in-effect discount rate of 12.76%. Effective July 1, 2023, the Company added additional office lease premises in Charlottesville, which was accounted for as a separate operating lease contract with a lease liability and corresponding right-of-use asset of $19,000, as a discount rate of 13.47%.</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Piramal Master Services Agreement</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 xml:space="preserve">On January 8, 2021, the Company entered into a Master Services Agreement (the “MSA”) with Piramal Pharma Solutions, Inc. (“Piramal”), for Piramal to perform certain services related to the development, manufacture, and supply of the Company’s rhenium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vertAlign w:val="superscript"/>
        </w:rPr>
        <w:t>186</w:t>
      </w:r>
      <w:r>
        <w:rPr>
          <w:rFonts w:ascii="Times New Roman" w:cs="Times New Roman" w:eastAsia="Times New Roman" w:hAnsi="Times New Roman"/>
          <w:sz w:val="18"/>
          <w:szCs w:val="18"/>
          <w:color w:val="auto"/>
        </w:rPr>
        <w:t>Re) obisbemeda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March 31, 2024, the Company did not have any clinical research study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and claims, whether asserted or unasserted, that arise in the ordinary course of business.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76"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Biocept License Agreement</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On September 7, 2023, the Company entered into a Non-Exclusive License and Services Agreement (the “Biocept Agreement”) with Biocept, Inc (“Biocept”), pursuant to which Biocept granted the Company a non-exclusive license to use the Biocept proprietary cell enumeration test, CNsideTM (“CNside”). In exchange for the license, the Company issued to Biocept 53,381 unregistered shares, the fair value of which was $75,000. The Biocept Agreement also provides that if Biocept fully transfers the technology to the Company, a tech transfer and validation fee of $300,000 will be payable. In addition, the Company was granted an option for an exclusive worldwide license for $1,000,000 on or before December 31, 2024, to process and perform cell enumeration testing for treatments for other patients including those on the Company’s radiotherapeutic drugs.</w:t>
      </w:r>
    </w:p>
    <w:p>
      <w:pPr>
        <w:spacing w:after="0" w:line="81"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On October 16, 2023, Biocept filed a voluntary petition for relief under the provisions of Chapter 7 of Title 11 of the United States Bankruptcy Code. See Note 12 for further information regarding the Company’s acquisition of substantially all right, title and interest in CNside.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UT Health Science Center at San Antonio (“UTHSCSA”) License Agreement</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76"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March 31, 2024, the Company accrued $0.5 million of payments due to NanoTx as a result of the CPRIT grant received (see Note 7, Grant Revenue of the condensed financial statements for additional information).</w:t>
      </w:r>
    </w:p>
    <w:p>
      <w:pPr>
        <w:spacing w:after="0" w:line="183" w:lineRule="exact"/>
        <w:rPr>
          <w:sz w:val="20"/>
          <w:szCs w:val="20"/>
          <w:color w:val="auto"/>
        </w:rPr>
      </w:pPr>
    </w:p>
    <w:p>
      <w:pPr>
        <w:ind w:left="520" w:right="9240" w:hanging="512"/>
        <w:spacing w:after="0" w:line="378" w:lineRule="auto"/>
        <w:tabs>
          <w:tab w:leader="none" w:pos="37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is authorized to designate the terms and conditions of any preferred stock the Company issues without further action by the common stockholders.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Series F Preferred Stock</w:t>
      </w:r>
    </w:p>
    <w:p>
      <w:pPr>
        <w:spacing w:after="0" w:line="119" w:lineRule="exact"/>
        <w:rPr>
          <w:sz w:val="20"/>
          <w:szCs w:val="20"/>
          <w:color w:val="auto"/>
        </w:rPr>
      </w:pPr>
    </w:p>
    <w:p>
      <w:pPr>
        <w:jc w:val="both"/>
        <w:ind w:left="520"/>
        <w:spacing w:after="0" w:line="273" w:lineRule="auto"/>
        <w:rPr>
          <w:sz w:val="20"/>
          <w:szCs w:val="20"/>
          <w:color w:val="auto"/>
        </w:rPr>
      </w:pPr>
      <w:r>
        <w:rPr>
          <w:rFonts w:ascii="Times New Roman" w:cs="Times New Roman" w:eastAsia="Times New Roman" w:hAnsi="Times New Roman"/>
          <w:sz w:val="17"/>
          <w:szCs w:val="17"/>
          <w:color w:val="auto"/>
        </w:rPr>
        <w:t>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would have 50,000,000 votes per share of Series F Preferred Stock and would vote together with the Company’s common stock, as a single class exclusively with respect to any proposal to amend the Company’s Charter to effect the Reverse Stock Split. On March 3, 2023, the Company entered into a subscription and investment representation agreement with Richard J. Hawkins, chairman of the board of the Company, who is an accredited investor (the “Series F Preferred Stock Purchaser”), pursuant to which the Company agreed to issue and sell one (1) share of the Company’s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Series F Preferred Stock, par value $0.001 per share, to the Series F Preferred Stock Purchaser for $1,000 in cash. The sale closed on March 3, 2023.</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Company’s 2023 annual meeting, the Series F Preferred Stock was voted, without action by the holder, on the proposal to approve the Reverse Stock Split in the same proportion as shares of common stock voted to approve the Reverse Stock Split. The Series F Preferred Stock otherwise had no voting rights except as otherwise required by the General Corporation Law of the State of Delaware.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F Preferred Stock was not convertible into, or exchangeable for, shares of any other class or series of stock or other securities of the Company. The Series F Preferred Stock had no rights with respect to any distribution of assets of the Company, including upon a liquidation, bankruptcy, reorganization, merger, acquisition, sale, dissolution or winding up of the Company, whether voluntarily or involuntarily. The holder of the Series F Preferred Stock was not entitled to receive dividends of any kind.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outstanding share of Series F Preferred Stock was redeemed in whole, automatically effective upon the approval by the Company’s stockholders of the Reverse Stock Split. Upon such redemption, the holder of the Series F Preferred Stock received consideration of $1,000 in cash.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and C Preferred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25, 2019, the Company completed an underwritten public offering. The Company issued 19,266 shares of its common stock, along with pre-funded warrants to purchase 180,733 shares of its common stock and Series U Warrants to purchase 230,000 shares of its common stock. The Series U Warrants have a term of five years from the issuance date. In addition, the Company issued warrants to H.C. Wainwright &amp; Co., LLC, as representatives of the underwriters, to purchase 5,000 shares of its common stock with a term of five years from the issuance date, in the form of Series U Warrants (the “Representative Warrants”). As of March 31, 2024, there were 142,733 outstanding Series U Warrants and Representative Warrants which can be exercised into an aggregate of 142,733 shares of common stock at a weighted average exercise price of $34.10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 2022, the Company entered into a purchase agreement (the “2022 Purchase Agreement”) and registration rights agreement pursuant to which Lincoln Park Capital Fund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execution of the 2022 Purchase Agreement, the Company paid $0.1 million in cash as the initial commitment fee, and issued 32,846 shares as the initial commitment shares, to Lincoln Park as consideration for its irrevocable commitment to purchase shares of the Company’s common stock at its direction under the 2022 Purchase Agreement. The Company has agreed to pay an additional commitment fee, which it may elect to pay in cash and/or shares of its common stock, upon receipt of $25.0 million aggregate gross proceeds from sales of common stock to Lincoln Park under the 2022 Purchase Agreement.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17, 2022, a registration statement (the “First Registration Statement”) was declared effective to cover the resale of up to 633,333 shares of the Company’s common stock comprised of (i) the 32,846 initial commitment shares, and (ii) up to 600,486 that the Company has reserved for issuance and sale to Lincoln Park under the 2022 Purchase Agreement from time to time from and after the date of the prospectus. The Company sold approximately 527,166 shares under the First Registration Statement.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18, 2023, a second registration statement (the “Second Registration Statement”) was declared effective to cover the resale of up to an additional 1,500,000</w:t>
      </w:r>
    </w:p>
    <w:p>
      <w:pPr>
        <w:spacing w:after="0" w:line="1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4" w:name="page15"/>
    <w:bookmarkEnd w:id="14"/>
    <w:p>
      <w:pPr>
        <w:jc w:val="both"/>
        <w:ind w:left="520" w:right="20" w:firstLine="47"/>
        <w:spacing w:after="0" w:line="266" w:lineRule="auto"/>
        <w:rPr>
          <w:sz w:val="20"/>
          <w:szCs w:val="20"/>
          <w:color w:val="auto"/>
        </w:rPr>
      </w:pPr>
      <w:r>
        <w:rPr>
          <w:rFonts w:ascii="Times New Roman" w:cs="Times New Roman" w:eastAsia="Times New Roman" w:hAnsi="Times New Roman"/>
          <w:sz w:val="18"/>
          <w:szCs w:val="18"/>
          <w:color w:val="auto"/>
        </w:rPr>
        <w:t>shares of the Company’s common stock that the Company reserved for issuance and sale to Lincoln Park under the 2022 Purchase Agreement from time to time. The Company sold 150,000 shares under the Second Registration Statement. The Company cannot sell more shares than registered under the Second Registration Statement under the 2022 Purchase Agreement without registering additional shares.</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During the period from August 17, 2022 to December 31, 2022, the Company issued 266,666 shares under the 2022 Purchase Agreement for net proceeds of approximately $3.2 million. The Company issued 410,500 shares under the 2022 Purchase Agreement for net proceeds of approximately $1.0 million from January 1, 2023 to December 31, 2023. The Company did not issue any common stock under the 2022 Purchase Agreement during the three months ended March 31,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Issuances</w:t>
      </w:r>
    </w:p>
    <w:p>
      <w:pPr>
        <w:spacing w:after="0" w:line="227"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On September 9, 2022, the Company entered into an Equity Distribution Agreement (the “September 2022 Distribution Agreement”) with Canaccord Genuity LLC (“Canaccord”), pursuant to which the Company could issue and sell, from time to time, shares of its common stock having an aggregate offering price of up to $5,000,000, depending on market demand, with Canaccord acting as an agent for sales. During the period from September 9, 2022 to December 31, 2022, the Company issued 68,758 shares of its common stock under the September 2022 Distribution Agreement for net proceeds of approximately $0.6 million. From January 1, 2023 through December 31, 2023, the Company issued 1,819,993 shares under the September 2022 Distribution Agreement for net proceeds of approximately $4.3 million. The Company has reached the capacity for sales of shares under the September 2022 Distribution Agreement and the agreement has terminated.</w:t>
      </w:r>
    </w:p>
    <w:p>
      <w:pPr>
        <w:spacing w:after="0" w:line="18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was obligated to pay Canaccord a commission of up to 3.0% of the gross proceeds from the sale of its common stock under the September 2022 Distribution Agreement. The Company also agreed to reimburse Canaccord for its reasonable documented out-of-pocket expenses, including fees and disbursements of its counsel, in the amount of $50,000. In addition, the Company agreed to provide customary indemnification rights to Canaccord.</w:t>
      </w:r>
    </w:p>
    <w:p>
      <w:pPr>
        <w:spacing w:after="0" w:line="180"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year ended December 31, 2023, the Company issued 460,151 shares under the January 2022 Distribution Agreement for net proceeds of approximately $4.8 million. The January 2022 Distribution Agreement has been terminated after all available registered shares were fully utilized.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 and Treasury Stock</w:t>
      </w:r>
    </w:p>
    <w:p>
      <w:pPr>
        <w:spacing w:after="0" w:line="22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October 31, 2023, the Company announced that its Board has approved a share repurchase program (the “Share Repurchase Program”), with authorization to repurchase up to $500,000 of the outstanding shares of the Company’s common stock. The Company funded repurchases under the Share Repurchase Program with available cash.</w:t>
      </w:r>
    </w:p>
    <w:p>
      <w:pPr>
        <w:spacing w:after="0" w:line="17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purchased 78,559 of its common stock for approximately $0.1 million as treasury stock. The Company purchased 179,866 of its common shares for approximately $0.4 million as treasury stock during the three months ended March 31, 2024. As of March 31, 2024, no amount remained authorized for repurchase.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March 31, 2024, there were 6,024 shares of common stock remaining and available for future issuances under the 2015 Plan.</w:t>
      </w:r>
    </w:p>
    <w:p>
      <w:pPr>
        <w:spacing w:after="0" w:line="180"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and the grant of both incentive stock options to purchase common stock to directors, officers, employees and consultants of the Company. The 2020 Plan, as amended, provides for the issuance of up to 236,667 shares of common stock, plus the number of shares available for issuance is increased to the extent that awards granted under the 2020 Plan and the Company’s 2014 Equity Incentive Plan are forfeited or expire (except as otherwise provided in the 2020 Plan). As of March 31, 2024, there were 17,582 shares remaining and available for future issuances under the 2020 Plan.</w:t>
      </w:r>
    </w:p>
    <w:p>
      <w:pPr>
        <w:spacing w:after="0" w:line="180"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the three months ended March 31, 2024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140,109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Cancelled/forfeited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289,125</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303,133</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278,083</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-548005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-205105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-205105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-205105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of March 31, 2024, the total compensation cost related to non-vested stock options not yet recognized for all the Company’s plans is approximately $0.8 million, which is expected to be recognized as a result of vesting under service conditions over a weighted average period of 2.3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May 5, 2024, the Company entered into a securities purchase agreement (the “Securities Purchase Agreement”) with certain investors, including certain of the Company’s directors and executive officers (“Company Insiders”) (collectively, the “Purchasers”), for the sale and issuance by the Company of its securities (the “Initial Subscription”). On May 8, 2024, the Company entered into a first amendment to the Securities Purchase Agreement (the “Amendment”) for the sale and issuance by the Company of additional securities to two of the Purchasers (the “Additional Subscription”, and together with the Initial Subscription, the “May 2024 Private Placement”). The Securities Purchase Agreement, as amended, provides for the sale and issuance by the Company of an aggregate of 3,591,532 shares (the “Private Placement Shares”) of the Company’s common stock or, at the election of each Purchaser, pre-funded warrants (the “Pre-Funded Warrants”), exercisable immediately at an exercise price of $0.001 per share (the “Pre-Funded Warrant Shares”), with each Private Placement Share or Pre-Funded Warrant accompanied by (i) a Series A common warrant (“Series A Warrants”) to purchase one share of common stock (the “Series A Warrant Shares”), for an aggregate of 3,591,532 Series A Warrants, and (ii) one Series B common warrant (“Series B Warrants”) to purchase one share of common stock (the “Series B Warrant Shares,” and together with the Series A Warrant Shares, the “Common Warrant Shares”), for an aggregate of 3,591,532 Series B Warrants.</w:t>
      </w:r>
    </w:p>
    <w:p>
      <w:pPr>
        <w:spacing w:after="0" w:line="19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combined purchase price for each Private Placement Share and Pre-Funded Warrant from the Initial Subscription was $2.022, and $2.158 from the Additional Subscription, in each case together with one accompanying Series A Warrant and one accompanying Series B Warrant, provided, that the Company Insiders participated in the Initial Subscription at an offering price of $2.04 per Private Placement Share and accompanying Series A Warrant and Series B Warrant.</w:t>
      </w:r>
    </w:p>
    <w:p>
      <w:pPr>
        <w:spacing w:after="0" w:line="180"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exercise price of each Series A Warrant and Series B Warrant from the Initial Subscription is $1.772 per share and $1.908 per share in the Additional Subscription, provided that the exercise price for the Series A Warrants and Series B Warrants issued to the Company Insiders is $1.79 per share. Subject to certain ownership limitations, the Series A Warrants will be exercisable until the five-year anniversary of issuance. Subject to certain ownership limitations, the Series B Warrants will be exercisable until the one-year anniversary of the declaration of effectiveness of a registration statement to be filed with the Securities and Exchange Commission covering the resale of the Series B Warrant Shares underlying the Series B Warrants. The Pre-Funded Warrant will not expire until exercised in full.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May 2024 Private Offering closed on May 9, 2024 (the “May 2024 Private Placement Closing”). The aggregate gross proceeds at the May 2024 Private Placement Closing were approximately $7.25 million, before deducting certain expenses payable by the Company, and excluding the proceeds, if any, from the exercise of the Series A Warrant, the Series B Warrant, and Pre-Funded Warrant.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the accounting treatment of the Series A Warrants, Series B Warrants and the Pre-Funded Warrants under the authoritative accounting guidance.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Biocept Asset Purchase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2024, the Company acquired from Biocept, for a total cash payment of $400,000, substantially all of the right, title and interest in CNside, including (i) intellectual property, (ii) inventory and raw materials, and (iii) data, information, results and reports pertaining to the completed and on-going clinical studies involving the use of the CNside test (including, but not limited to, the FORSEE clinical study), related to the development, making, selling, and exporting or importing of CNside, after the Company’s bid was approved by the United States Bankruptcy Court for the District of Delaware.</w:t>
      </w: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2023, as filed on March 5, 2024.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report, as well as under “Part I – Item 1A - Risk Factors” in our Annual Report on Form 10-K for the year ended December 31, 2023, in other subsequent filings with the Securities and Exchange Commission, and elsewhere in this Quarterly Report on Form 10-Q. These statements, like all statements in this report, speak only as of the date of this report (unless another date is indicated), and the Company undertakes no obligation to update or revise these statements in light of future developments.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880" w:right="3680"/>
        <w:spacing w:after="0" w:line="397" w:lineRule="auto"/>
        <w:rPr>
          <w:sz w:val="20"/>
          <w:szCs w:val="20"/>
          <w:color w:val="auto"/>
        </w:rPr>
      </w:pPr>
      <w:r>
        <w:rPr>
          <w:rFonts w:ascii="Times New Roman" w:cs="Times New Roman" w:eastAsia="Times New Roman" w:hAnsi="Times New Roman"/>
          <w:sz w:val="17"/>
          <w:szCs w:val="17"/>
          <w:color w:val="auto"/>
        </w:rPr>
        <w:t>Overview that discusses our operating results and some of the trends that affect our business. Results of Operations that includes a more detailed discussion of our revenue and expenses.</w:t>
      </w:r>
    </w:p>
    <w:p>
      <w:pPr>
        <w:spacing w:after="0" w:line="1" w:lineRule="exact"/>
        <w:rPr>
          <w:sz w:val="20"/>
          <w:szCs w:val="20"/>
          <w:color w:val="auto"/>
        </w:rPr>
      </w:pPr>
    </w:p>
    <w:p>
      <w:pPr>
        <w:ind w:left="900" w:hanging="15"/>
        <w:spacing w:after="0" w:line="282" w:lineRule="auto"/>
        <w:rPr>
          <w:sz w:val="20"/>
          <w:szCs w:val="20"/>
          <w:color w:val="auto"/>
        </w:rPr>
      </w:pPr>
      <w:r>
        <w:rPr>
          <w:rFonts w:ascii="Times New Roman" w:cs="Times New Roman" w:eastAsia="Times New Roman" w:hAnsi="Times New Roman"/>
          <w:sz w:val="18"/>
          <w:szCs w:val="18"/>
          <w:color w:val="auto"/>
        </w:rPr>
        <w:t>Liquidity and Capital Resources that discusses key aspects of our statements of cash flows, changes in our financial position and our financial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Plus Therapeutics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8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addition to our headquarters in Austin, we have an established, good manufacturing practice validated research and development and manufacturing facility in San Antonio, Texas, tailored to produce Current Good Manufacturing Practice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ongoing and planned Phase 2 and Phase 3 clinical trials in patients with GBM, LM and PBC.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 a Phase 2 clinical trial, including enrollment of up to 55 patients.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August 29, 2022, we announced feedback from a Type C meeting with the FDA regarding Chemistry, Manufacturing and Controls (“CMC”) practices. The meeting focused on our cGMP clinical and commercial manufacturing process for our lead investigational targeted radiotherapeutic, BMEDA-chelated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w:t>
      </w:r>
    </w:p>
    <w:p>
      <w:pPr>
        <w:spacing w:after="0" w:line="9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FDA indicated agreement with our proposed application of cGMP guidance for radiotherapeutics, small molecule drug products and liposome drug products for our novel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used in other clinical development programs, including LM and PBC.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 (</w:t>
      </w:r>
      <w:r>
        <w:rPr>
          <w:rFonts w:ascii="Times New Roman" w:cs="Times New Roman" w:eastAsia="Times New Roman" w:hAnsi="Times New Roman"/>
          <w:sz w:val="24"/>
          <w:szCs w:val="24"/>
          <w:i w:val="1"/>
          <w:iCs w:val="1"/>
          <w:color w:val="auto"/>
          <w:vertAlign w:val="superscript"/>
        </w:rPr>
        <w:t>186</w:t>
      </w:r>
      <w:r>
        <w:rPr>
          <w:rFonts w:ascii="Times New Roman" w:cs="Times New Roman" w:eastAsia="Times New Roman" w:hAnsi="Times New Roman"/>
          <w:sz w:val="18"/>
          <w:szCs w:val="18"/>
          <w:i w:val="1"/>
          <w:iCs w:val="1"/>
          <w:color w:val="auto"/>
        </w:rPr>
        <w:t>Re) obisbemeda versus External Beam Radiation Therapy for Recurrent GBM</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compared to standard external beam radiotherapy or external beam radiation therapy (“EBRT”) include:</w:t>
      </w:r>
    </w:p>
    <w:p>
      <w:pPr>
        <w:spacing w:after="0" w:line="17" w:lineRule="exact"/>
        <w:rPr>
          <w:sz w:val="20"/>
          <w:szCs w:val="20"/>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(186Re) obisbemeda radiation dose delivered to patients may be up to 20 times greater than what is possible with commonly used external beam radiation therapy (“EBRT”), which, unlike EBRT and proton beam devices, spares normal tissue and the brain from radiation exposure.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(186Re) obisbemeda can be visualized in real-time during administration, possibly giving clinicians better control of radiation dosing, distribution and retention.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(186Re) obisbemeda potentially more effectively treats a bulk tumor and microscopic disease that has already invaded healthy tissue.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(186Re)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(186Re) obisbemeda is given during a single, short, in-patient hospital visit, and is available in all hospitals with nuclear medicine and neurosurgery, while EBRT requires out-patient visits five days a week for approximately four to six weeks.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Recurrent GBM is the most common, complex, and aggressive primary brain cancer in adults. In the U.S., there are approximately 13,000 GBM cases diagnosed and approximately 10,000 patients succumb to the disease each year. The average length of overall survival (“OS”) for GBM patients is eight months, with a one-year survival rate of 40.8% and a five-year survival rate of only 6.8% and these estimates vary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head-to-head trial with chemo, immune, EBRT or systemic radiopharmaceutical products have been conducted, patient tolerability and safety considerations have been reported as expected.</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Interim results from our ongoing Phase 1/2a ReSPECT-GBM trial (ClinicalTrials.gov NCT01906385) show that the beta particle energy from our lead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20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w:t>
      </w:r>
    </w:p>
    <w:p>
      <w:pPr>
        <w:spacing w:after="0" w:line="20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multicenter, sequential cohort, open-label, volume and dose escalation study of the safety, tolerability, and distribution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National Institute of Health/National Cancer Institute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dose and will expand exploring higher radiation doses in larger volumes to treat larger tumors. Additionally, two or more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administrations, if indicated, will be evaluated, and reviewed with the FDA, as well as expanded safety, imaging and efficacy data to support a planned future registrational trial.</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and is targeted for full enrollment by the end of 2024. We currently have four clinical sites, with the plan to add additional sites to support the trial, and expect an initial data read-out by the end of 2024.</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June 2023, we presented data regarding the safety and feasibility results from our Phase 1/2 Clinical Trial of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RNL (Rhenium-186 Nanoliposome)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Recurrent Glioma: The ReSPECT-GBM Trial at the Society of Nuclear Medicine &amp; Molecular Imaging Annual Meeting.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2023, we announced positive data from the ongoing ReSPECT-GBM Phase 2 trial evaluating rhenium (</w:t>
      </w:r>
      <w:r>
        <w:rPr>
          <w:rFonts w:ascii="Times New Roman" w:cs="Times New Roman" w:eastAsia="Times New Roman" w:hAnsi="Times New Roman"/>
          <w:sz w:val="9"/>
          <w:szCs w:val="9"/>
          <w:color w:val="auto"/>
        </w:rPr>
        <w:t>186</w:t>
      </w:r>
      <w:r>
        <w:rPr>
          <w:rFonts w:ascii="Times New Roman" w:cs="Times New Roman" w:eastAsia="Times New Roman" w:hAnsi="Times New Roman"/>
          <w:sz w:val="18"/>
          <w:szCs w:val="18"/>
          <w:color w:val="auto"/>
        </w:rPr>
        <w:t>Re) obisbemeda, for the treatment of recurrent glioblastoma at the Society for NeuroOncology 28th Annual Meeting, which was held November 15-19, 2023 in Vancouver, Canada. Key findings included:</w:t>
      </w:r>
    </w:p>
    <w:p>
      <w:pPr>
        <w:spacing w:after="0" w:line="68"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overall survival (“mOS”) in 15 patients with recurrent glioblastoma (“rGBM”) from the Phase 2 study is 13 months, which is 63% better than current standard of care (bevacizumab monotherapy) of 8 months; 9 of the 15 patients remain alive.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progression free survival (“mPFS”) is 11 months, compared to SOC at 4 months.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(186Re) obisbemeda continues to demonstrate a favorable safety profile, despite delivering up to 20x the dose of radiation (up to 740 Gy) typically delivered by EBRT for rGBM patients (up to 35 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data presented by Andrew Brenner, MD, PhD is consistent with the efficacy signal of Rhenium (186Re) obisbemeda in rGBM.</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31, 2022, we entered into a Sales Order (the “Sales Order”) with Medidata Solutions, Inc. (“Medidata”), pursuant to which Medidata built a Synthetic Control Arm® platform that facilitates the use of historical clinical data to incorporate into our Phase 2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GBM. The Sales Order had a term of six (6) months. Work under this Sales Order has been completed. As part of this collaboration, we jointly submitted with Medidata a historical clinical trials control arm methodology abstract (“HCA”) to American Society of Clinical Oncology (“ASCO”) which was accepted for publication, further strengthening this collaboration and allowing applications to advance GBM development. We plan to use the HCA for breakthrough therapy designation and Phase 2 and/or a pivotal or registrational Phase 3 trial.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 for LM</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with preclinical studies in which tolerance to doses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20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November 2021, we initiated the trial and began screening patients for the ReSPECT-LM Phase 1 clinical trial in Q4 2021.</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ReSPECT-LM is a multi-center, sequential cohort, open-label, dose escalation study evaluating the safety, tolerability, and efficacy of a single-dose application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is expected by the end of 2024, with the plan to add additional clinical sites to support the trial.</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Cancer Prevention and Research Institute of Texas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 To date, we have received approximately $7 million in milestone payments under the CPRIT Contract. We anticipate a continuing flow of milestone payments that throughout 2024 will include $6.9 million upon the continued progression of the Phase 2 of the ReSPECT LM clinical trial.</w:t>
      </w:r>
    </w:p>
    <w:p>
      <w:pPr>
        <w:spacing w:after="0" w:line="21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Interim results showed that a single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resulted in a consistent decreased cerebrospinal fluid (“CSF”) tumor cell count/ml and was tolerated by all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 On March 11, 2024, we announced we had completed Cohort 5 of the ReSPECT-LM Phase 1/2a dose escalation trial.</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total of 18 patients have received a single-dose of rhenium (186Re) obisbemeda in the ReSPECT-LM trial as of March 31, 2024. There have been no dose limiting toxicities observed to date with administered radiation doses up to 66.14 millicuries in Cohort 5, a ten-fold increase over Cohort 1. We plan to initiate dosing in Cohort 6 in the second quarter of 2024, pending Data Safety Monitoring Board (DSMB) approval. In addition, five new clinical trial sites were added to this trial over the last year, bringing the total number of sites to seven. We are planning a new multiple dosing ReSPECT-LM clinical trial in late 2024 or early 2025.</w:t>
      </w:r>
    </w:p>
    <w:p>
      <w:pPr>
        <w:spacing w:after="0" w:line="190"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On August 10, 2023, we presented data from the ReSPECT-LM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obismeda at the Society for Neuro Oncology ASCO CNS Cancer Conference.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breast cancer with LM.</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December 12, 2023, we announced our partnership with K2bio to implement novel analysis for CSF tumor and molecular biomarkers for CNS cancers. Initial clinical specimen processing and testing began in the first quarter 2024 in our ongoing Phase 1 ReSPECT-LM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patients with LM.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Given the initial FDA feedback, receipt of adult GBM data and experience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and follow-up communications with the FDA, we plan to submit a pediatric brain tumor IND to investigate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two pediatric brain cancers, high-grade glioma and ependymoma, by the third quarter of 2024.</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1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2" w:name="page23"/>
    <w:bookmarkEnd w:id="22"/>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is a preclinical investigational drug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UTHSA,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Liquidity and Capital Resources section below for details on closing of the May 2024 Private Placement.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Biocept Asset Purchase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2023, we entered into a Non-Exclusive License and Services Agreement (the “Biocept Agreement”) with Biocept, Inc (“Biocept”), pursuant to which Biocept granted us a non-exclusive license to use the Biocept proprietary cell enumeration test, CNsideTM (“CNside”). On October 16, 2023, Biocept filed a voluntary petition for relief under the provisions of Chapter 7 of Title 11 of the United States Bankruptcy Code.</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we acquired from Biocept, for a total cash payment of $400,000, substantially all of the right, title and interest in CNside, including (i) intellectual property, (ii) inventory and raw materials, and (iii) data, information, results and reports pertaining to the completed and on-going clinical studies involving the use of the CNside test (including, but not limited to, the FORSEE clinical study), related to the development, making, selling, and exporting or importing of CNside, after having its bid accepted by the United States Bankruptcy Court for the District of Delaware.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Defense Grant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we were selected by the Department of Defense (DoD) office of the Congressionally Directed Medical Research Programs (CDMRP) to receive a $3 million fund for research and development purposes (“DoD Award”). Transfers of funds under the DoD Award are expected to commence in the third quarter of 2024, pending execution of formal agreements, in order to support the planned expansion of our clinical trial for pediatric brain cancer.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section below for information on our recent financings.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recognized $1.7 million and $0.5 million of grant revenue during the three months ended March 31, 2024 and 2023, respectively, which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three months ended March 31, 2024 and 2023 (in thousands):</w:t>
      </w:r>
    </w:p>
    <w:tbl>
      <w:tblPr>
        <w:tblLayout w:type="fixed"/>
        <w:tblInd w:w="18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360" w:type="dxa"/>
            <w:vAlign w:val="bottom"/>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shd w:val="clear" w:color="auto" w:fill="CFF0FC"/>
          </w:tcPr>
          <w:p>
            <w:pPr>
              <w:spacing w:after="0"/>
              <w:rPr>
                <w:sz w:val="20"/>
                <w:szCs w:val="20"/>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r>
      <w:tr>
        <w:trPr>
          <w:trHeight w:val="25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shd w:val="clear" w:color="auto" w:fill="CFF0FC"/>
          </w:tcPr>
          <w:p>
            <w:pPr>
              <w:spacing w:after="0"/>
              <w:rPr>
                <w:sz w:val="22"/>
                <w:szCs w:val="22"/>
                <w:color w:val="auto"/>
              </w:rPr>
            </w:pPr>
          </w:p>
        </w:tc>
      </w:tr>
      <w:tr>
        <w:trPr>
          <w:trHeight w:val="20"/>
        </w:trPr>
        <w:tc>
          <w:tcPr>
            <w:tcW w:w="73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approximately $0.2 million during the three months ended March 31, 2024 as compared to the same period in 2023. The decrease was due primarily to a reduction of $0.8 million of licenses fee to NanoTx, offset by an increase of approximately $0.3 million in clinical expenses related to the ReSPECT-LM trial, and an increase of approximately $0.2 million of professional research and development service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aggregate research and development expenses to largely remain consistent during the remainder of 2024 as compared to the corresponding comparable period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months ended March 31, 2024 and 2023 (in thousands):</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7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2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FF0FC"/>
          </w:tcPr>
          <w:p>
            <w:pPr>
              <w:spacing w:after="0"/>
              <w:rPr>
                <w:sz w:val="20"/>
                <w:szCs w:val="20"/>
                <w:color w:val="auto"/>
              </w:rPr>
            </w:pPr>
          </w:p>
        </w:tc>
      </w:tr>
      <w:tr>
        <w:trPr>
          <w:trHeight w:val="23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7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remained consistent during the three months ended March 31, 2024, as compared to the same period in 2023.</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remain generally consistent during the remainder of 2024 as compared with the corresponding comparable period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expenses for the three months ended March 31, 2024 and 2023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7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expenses, which are impacted by grants of share-based options, vesting schedule of such grants, as well as grant-date fair value of share-based awards, remained consistent for the three months ended March 31,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items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interest income, interest expense, and other income and expense for the three months ended March 31, 2024 and 2023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9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77"/>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2024 as compared to the same period in 2023 was primarily due to the repayment of debt principal of $1.6 million during the year ended December 31,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interest expense in 2024 to decrease as compared with 2023 due to scheduled debt payoff by June 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March 31, 2024 and December 31, 2023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2"/>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Pr>
          <w:p>
            <w:pPr>
              <w:spacing w:after="0"/>
              <w:rPr>
                <w:sz w:val="20"/>
                <w:szCs w:val="20"/>
                <w:color w:val="auto"/>
              </w:rPr>
            </w:pPr>
          </w:p>
        </w:tc>
      </w:tr>
      <w:tr>
        <w:trPr>
          <w:trHeight w:val="25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(6,186 )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-659130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net losses of $3.3 million for the three months ended March 31, 2024. We have an accumulated deficit of $483.8 million as of March 31, 2024. Additionally, we used net cash of $4.5 million to fund our operating activities for the three months ended March 31, 2024. These factors raise substantial doubt about our ability to continue as a going concern.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which was subsequently amended, with certain investors, including certain of the Company’s directors and executive officers (the “Purchasers”), whereby we issued and sold in a private placement (the “May 2024 Private Placement”): (i) 3,591,532 shares of common stock (“Private Placement Share”), or, at the election of each Purchaser, pre-funded warrants (the “Pre-Funded Warrants”) exercisable immediately to purchase shares of common stock. Each Private Placement Share or Pre-Funded Warrant are accompanied by (i) a Series A common warrant (“Series A Warrants”) to purchase one share of common stock, for an aggregate of 3,591,532 Series A Warrants, and (ii) one Series B common warrant (“Series B Warrants”, and together with the Pre-Funded Warrants and Series A Warrants, the “Warrants”) to purchase one share of common stock, for an aggregate of 3,591,532 Series B Warrants. At the closing of the May 2024 Private Placement, we received aggregate upfront gross proceeds of approximately $7.25 million, before deducting fees and other expenses associated with the closing of the May 2024 Private Placement. If the Warrants are exercised in full we will receive additional gross proceeds of approximately $12.0 million. None of the Warrants issued in the May 2024 Private Placement have been exercised as of the filing of this report. Please see Note 12 to the unaudited condensed financial statements for further information regarding the private placement.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We received $7.1 million of the available funding under the CPRIT Grant during 2022, 2023 and the three months ended March 31, 2024, of which we recognized $1.7 million, $4.9 million and $0.2 million of grant revenue during the three months ended March 31, 2024, and the years ended December 31, 2023 and 2022, respectively. The amounts recognized represents CPRIT’s share of the costs incurred for our rhenium (186Re) obisbemeda development for the treatment of patients with LM. As of March 31, 2024, we had $0.2 million of deferred revenue related to the CPRIT Grant.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Equity Lines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2022, we entered into an Equity Distribution Agreement (the “September 2022 Distribution Agreement”) with Canaccord Genuity LLC (“Canaccord”), pursuant to which we could issue and sell, from time to time, shares of our common stock in “at-the-market” offerings, having an aggregate offering price of up to $5,000,000, depending on market demand, with Canaccord acting as an agent for sales. During the period from September 9, 2022 to December 31, 2023, we issued 68,758 shares under the September 2022 Distribution Agreement for net proceeds of approximately $0.6 million. From January 1, 2023 through December 31, 2023, we issued 1,819,993 shares under the September 2022 Distribution Agreement for net proceeds of approximately $4.3 million. We have reached the capacity for sales of our shares under the September 2022 Distribution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 2022, we entered into a purchase agreement (the “2022 Purchase Agreement”) and registration rights agreement pursuant to which Lincoln Park Capital Fund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us from time to time, including, among others, market conditions, the trading price of the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and our determinations as to the appropriate sources of funding for the Company and its operations. As consideration for Lincoln Park’s irrevocable commitment to purchase shares of our common stock upon the terms of and subject to satisfaction of the conditions set forth in the 2022 Purchase Agreement, we paid $0.1 million in cash as an Initial Commitment Fee and issued 32,846 as the initial commitment shares to Lincoln Park in consideration for its commitment to purchase shares of our common stock at our direction under the 2022 Purchase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17, 2022, a registration statement (the “First Registration Statement”) was declared effective covering the resale of up to 633,333 shares of our common stock comprised of (i) the 32,846 initial commitment shares, and (ii) up to 600,486 shares that we have reserved for issuance and sale to Lincoln Park under the 2022 Purchase Agreement. An additional commitment fee equal to 2.5% of the remainder of the $50 million will be paid if and when we sell over $25.0 million of our common stock under the 2022 Purchase Agreement. The additional commitment fee may be paid in cash, common stock, or a combination thereof. We sold approximately 527,166 shares under the First Registration Statement.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2023, a second registration statement (the “Second Registration Statement”) was declared effective covering the resale of up to an additional 1,500,000 shares of our common stock that we reserved for issuance and sale to Lincoln Park under the 2022 Purchase Agreement from time to time. We sold 150,000 shares under the Second Registration Statement. We cannot sell more shares than registered under the Second Registration Statement under the 2022 Purchase Agreement without registering additional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from August 17, 2022 to December 31, 2022, we issued 266,666 shares under the 2022 Purchase Agreement for net proceeds of approximately $3.2 million. We issued 410,500 shares under the 2022 Purchase Agreement for net proceeds of approximately $1.0 million from January 1, 2023 to December 31, 2023. No shares of common stock was purchased under the 2022 Purchase Agreement during the three months ended March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$5,000,000, depending on market demand, with Canaccord acting as an agent for sales. During the year ended December 31, 2023, we issued 460,151 shares under the January 2022 Distribution Agreement for net proceeds of approximately $4.8 million. The January 2022 Distribution Agreement was terminated after all available registered shares were fully utilized.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8, 2024, we received a letter (the “Notice”) from the Listing Qualifications staff of Nasdaq Capital Market (“Nasdaq”), notifying us that we no longer complied with the requirement under Nasdaq Listing Rule 5550(b)(1) to maintain a minimum of $2.5 million in stockholders’ equity for continued listing on Nasdaq or the alternative requirements of having a market value of listed securities of $35 million or net income from continuing operations of $500,000 in the most recently completed fiscal year or two of the last three most recently completed fiscal years (the “Alternative Standards”). The Notice states that our Annual Report on Form 10-K for the fiscal year ended December 31, 2023, disclosed stockholders’ equity of ($1,348,000) as of December 31, 2023, and that, as of March 8, 2024, we did not meet the Alternative Standards.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2024, we provided Nasdaq with our plan to achieve and sustain compliance with the stockholders’ equity requirement and requested that Nasdaq grant an extension of time until September 4, 2024, to provide evidence of our compliance with the stockholders’ equity requirement. Nasdaq has not yet responded to the plan we submitted, and there can be no assurance that Nasdaq will grant an extension or that we will be able to comply with the applicable listing standards of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and Material Cash Requirements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our common and preferred stocks, proceeds from our term loan with Oxford Finance, LLC (“Oxford”) and grant funding. However, the Company has had, and will continue to have, an ongoing need to raise additional cash from outside sources through a combination of equity offerings, debt financings and potential collaboration, license or development agreements to fund our future clinical development programs and other operations in the next twelve months from the filing of this report.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the Company will be able to continue to raise additional capital in the future. Our inability to raise additional cash would have a material adverse impact on our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and cash requirements will depend on many factors, including, among other things:</w:t>
      </w:r>
    </w:p>
    <w:p>
      <w:pPr>
        <w:spacing w:after="0" w:line="333" w:lineRule="exact"/>
        <w:rPr>
          <w:sz w:val="20"/>
          <w:szCs w:val="20"/>
          <w:color w:val="auto"/>
        </w:rPr>
      </w:pPr>
    </w:p>
    <w:p>
      <w:pPr>
        <w:ind w:left="5540" w:right="2860" w:hanging="5023"/>
        <w:spacing w:after="0" w:line="532" w:lineRule="auto"/>
        <w:tabs>
          <w:tab w:leader="none" w:pos="10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our ongoing and planned clinical trials and nonclinical studies;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and the timing of receipt of, future regulatory approvals for our product candidates and the costs related thereto;</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and the timing of receipt of, future regulatory approvals for our product candidates and the costs related thereto;</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operations and building our sales and marketing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cost and timing of preparing, filing and prosecuting patent applications, maintaining and enforcing our intellectual property defending any intellectual property-related claims;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w:t>
      </w:r>
    </w:p>
    <w:p>
      <w:pPr>
        <w:spacing w:after="0" w:line="333" w:lineRule="exact"/>
        <w:rPr>
          <w:sz w:val="20"/>
          <w:szCs w:val="20"/>
          <w:color w:val="auto"/>
        </w:rPr>
      </w:pPr>
    </w:p>
    <w:p>
      <w:pPr>
        <w:sectPr>
          <w:pgSz w:w="11900" w:h="16838" w:orient="portrait"/>
          <w:cols w:equalWidth="0" w:num="3">
            <w:col w:w="580" w:space="440"/>
            <w:col w:w="9320" w:space="180"/>
            <w:col w:w="720"/>
          </w:cols>
          <w:pgMar w:left="320" w:top="1093" w:right="339" w:bottom="1440" w:gutter="0" w:footer="0" w:header="0"/>
          <w:type w:val="continuous"/>
        </w:sect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product candidates that the Company identifies and attempt to develop.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that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three months ended March 31, 2024 and 2023 is summarized as follows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(4,513 )</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(5,793 )</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(364 )</w:t>
            </w:r>
          </w:p>
        </w:tc>
        <w:tc>
          <w:tcPr>
            <w:tcW w:w="8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(776 )</w:t>
            </w: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21"/>
                <w:szCs w:val="21"/>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(5,653 )</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(5,397 )</w:t>
            </w:r>
          </w:p>
        </w:tc>
      </w:tr>
      <w:tr>
        <w:trPr>
          <w:trHeight w:val="20"/>
        </w:trPr>
        <w:tc>
          <w:tcPr>
            <w:tcW w:w="6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2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CPRIT Contract we receive matching funds for approximately two-thirds of the development costs for the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Term Loan with Oxford, we have ongoing principal and interest payment obligations and are required to make a final payment at maturity that in the aggregate will require approximately $3.6 million by June 1, 2024 (See Note 5, Term Loan Obligations of our condensed financial statements for more information). In addition, we are obligated to make operating lease payments for our office and laboratory space, and we may be required to make payments under certain of our other contractual agreements.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described above, we have no purchase commitments or long-term contractual obligations, except for lease obligations as of March 31, 2024. In addition, we have no off-balance sheet arrangements (as defined in the rules and regulations of the Securities and Exchange Commission)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$4.5 million compared to $5.8 million in the same period of 2023. Our operational cash use decreased $1.3 million during the three months ended March 31, 2024 as compared to the same period in 2023, due primarily to increased reimbursement under the CPRIT grant agreement for research and development costs related to the ReSPECT-LM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related to purchase of short-term investments of $0.3 million and purchases of fixed assets of $40,000. Net cash used in investing activities for the three months ended March 31, 2023 was related to purchases of fixed assets of $0.1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related to repurchase of treasury stock for approximately $0.4 million and repayment of principle balance under the Oxford loan of $0.4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primarily related to sales of common stock of $0.9 million, net of offering cost through the September 2022 Distribution Agreement with Canaccord, and offset by repayment of principle balance under the Oxford loan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financial statements prospectively as we become aware of the necessity for an adjustment.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it is important for you to understand our most critical accounting policies. Our critical accounting policies and estimates are discussed in our Annual Report on Form 10-K for the fiscal year ended December 31, 2023 and there have been no material changes during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w:t>
      </w:r>
      <w:r>
        <w:rPr>
          <w:rFonts w:ascii="Times New Roman" w:cs="Times New Roman" w:eastAsia="Times New Roman" w:hAnsi="Times New Roman"/>
          <w:sz w:val="18"/>
          <w:szCs w:val="18"/>
          <w:color w:val="333333"/>
        </w:rPr>
        <w:t>as defined in Rules 13a-15(e) and 15d-15(e) under the Exchange Act)</w:t>
      </w:r>
      <w:r>
        <w:rPr>
          <w:rFonts w:ascii="Times New Roman" w:cs="Times New Roman" w:eastAsia="Times New Roman" w:hAnsi="Times New Roman"/>
          <w:sz w:val="18"/>
          <w:szCs w:val="18"/>
          <w:color w:val="auto"/>
        </w:rPr>
        <w:t xml:space="preserve"> were effective at the reasonable assurance level as of the end of the period covered by this Quarterly Report on Form 10-Q.</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previously reported on our Form 10-Q for the quarter ended June 30, 2023, that the Company did not design and maintain effective internal controls over the application of appropriate accounting principles to significant and unusual grant revenue transactions. Specifically, controls over identification of significant and/or unusual transactions requiring technical analysis were not operating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effectively. Management evaluated the impact of this deficiency on our disclosure controls and procedures and concluded that the control deficiency represented a material weakness.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the identification of the material weakness, we have taken steps to remediate the material weakness mentioned above, including strengthening our review process related to significant and unusual transactions, such as multiple level of review of categorization of the research and development expenses eligible for grant revenue and supporting evidence of such expenses.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2024, the Company completed the testing of the design and operating effectiveness of the controls over application of appropriate accounting principles to significant and unusual grant revenue transaction. Management has determined that the controls are adequately designed and are operating effectively, and concluded that the material weakness identified in the Quarterly Report on Form 10-Q for the quarter ended June 30, 2023 had been remediated.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2024, other than remediation of the material weakness discussed above,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notified by Nasdaq of our failure to comply with certain continued listing requirements and, if we are unable to regain compliance with all applicable continued listing requirements and standards of Nasdaq, our common stock could be delisted from Nasdaq.</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In order to maintain that listing, we must satisfy continued listing requirements and standards. There can be no assurances that we will be able to comply with the applicable listing standards of Nasdaq.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8, 2024, we received the Notice from Nasdaq, notifying us that we no longer complied with the requirement under Nasdaq Listing Rule 5550(b)</w:t>
      </w:r>
    </w:p>
    <w:p>
      <w:pPr>
        <w:spacing w:after="0" w:line="27" w:lineRule="exact"/>
        <w:rPr>
          <w:sz w:val="20"/>
          <w:szCs w:val="20"/>
          <w:color w:val="auto"/>
        </w:rPr>
      </w:pPr>
    </w:p>
    <w:p>
      <w:pPr>
        <w:jc w:val="both"/>
        <w:ind w:firstLine="8"/>
        <w:spacing w:after="0" w:line="255"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 minimum of $2.5 million in stockholders’ equity for continued listing on Nasdaq or the Alternative Requirements. The Notice states that our Annual Report on Form 10-K for the fiscal year ended December 31, 2023, disclosed stockholders’ equity of ($1.3 million) as of December 31, 2023, and that, as of March 8, 2024, we did not meet the Alternative Standards.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2024, we provided Nasdaq with our plan to achieve and sustain compliance with the stockholders’ equity requirement and requested that Nasdaq grant us an extension of time until September 4, 2024, to provide evidence of compliance with the stockholders’ equity requirement. Nasdaq has not yet responded to our plan, and there can be no assurance that Nasdaq will grant an extension or that we will be able to comply with the applicable listing standards of Nasdaq.</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our common stock is delisted from Nasdaq, as a result of our failure to comply with the stockholders’ equity requirement, or as a result of Nasdaq not granting us an extension or due to our failure to continue to comply with any other requirement for continued listing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our stockholder approval, and holders of warrants and other securities convertible into shares of our common stock may choose to exercise their warrants and other securities requiring us to issue shares of common stock; all of these actions would dilute your ownership interest and may depress the market price of our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with certain investors, including certain of the Company’s directors and executive officers, and issued and sold in a private placement: (i) an aggregate of 3,591,532 shares of common stock (or in lieu of shares of common stock, Pre-Funded Warrants), and (ii) Warrants to purchase up to 7,183,064 shares of common stock. If these Warrants are exercised, it will result in significant dilution to our stockholders. In the alternative, these Warrants may not be exercised, in which event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we are likely to seek alternative sources of financing to continue the clinical development of our product candidates. Please see Note 12 for further information regarding the May 2024 Private Placement and the terms of the Warrants.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outstanding securities convertible into our shares of common stock may be exercised and restricted stock units may vest resulting in the issuance of additional shares of common stock, which will result in further dilution to our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additional capital may be needed in the future to continue our planned operations, including further development of our product candidates,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shares of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would have the following effects:</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stock may be diminished;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above, there have been no material changes to the risk factors disclosed in Part I, Item 1A, “Risk Factors” of our Annual Report on Form 10-K for the year ended December 31, 2023.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2(a):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2(b): Use of Proceeds from Registered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2(c):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purchases of the Company’s common stock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Company Purchases of Common stock</w:t>
            </w:r>
          </w:p>
        </w:tc>
        <w:tc>
          <w:tcPr>
            <w:tcW w:w="820" w:type="dxa"/>
            <w:vAlign w:val="bottom"/>
            <w:tcBorders>
              <w:bottom w:val="single" w:sz="8" w:color="auto"/>
            </w:tcBorders>
          </w:tcPr>
          <w:p>
            <w:pPr>
              <w:spacing w:after="0"/>
              <w:rPr>
                <w:sz w:val="20"/>
                <w:szCs w:val="20"/>
                <w:color w:val="auto"/>
              </w:rPr>
            </w:pPr>
          </w:p>
        </w:tc>
      </w:tr>
      <w:tr>
        <w:trPr>
          <w:trHeight w:val="211"/>
        </w:trPr>
        <w:tc>
          <w:tcPr>
            <w:tcW w:w="57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Period</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Total number</w:t>
            </w:r>
          </w:p>
        </w:tc>
        <w:tc>
          <w:tcPr>
            <w:tcW w:w="1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Average price paid</w:t>
            </w:r>
          </w:p>
        </w:tc>
        <w:tc>
          <w:tcPr>
            <w:tcW w:w="2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Approximate dollar value of</w:t>
            </w:r>
          </w:p>
        </w:tc>
      </w:tr>
      <w:tr>
        <w:trPr>
          <w:trHeight w:val="216"/>
        </w:trPr>
        <w:tc>
          <w:tcPr>
            <w:tcW w:w="574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 shares</w:t>
            </w:r>
          </w:p>
        </w:tc>
        <w:tc>
          <w:tcPr>
            <w:tcW w:w="54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per share</w:t>
            </w:r>
          </w:p>
        </w:tc>
        <w:tc>
          <w:tcPr>
            <w:tcW w:w="2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shares that may yet be</w:t>
            </w:r>
          </w:p>
        </w:tc>
      </w:tr>
      <w:tr>
        <w:trPr>
          <w:trHeight w:val="216"/>
        </w:trPr>
        <w:tc>
          <w:tcPr>
            <w:tcW w:w="5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purchased under plan or</w:t>
            </w:r>
          </w:p>
        </w:tc>
      </w:tr>
      <w:tr>
        <w:trPr>
          <w:trHeight w:val="241"/>
        </w:trPr>
        <w:tc>
          <w:tcPr>
            <w:tcW w:w="5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programs</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102,194</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1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157,000</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77,062</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610</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5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179,866</w:t>
            </w: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8"/>
        <w:spacing w:after="0" w:line="236" w:lineRule="auto"/>
        <w:tabs>
          <w:tab w:leader="none" w:pos="21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31, 2023, the Company announced that the Board authorized a $500,000 a share repurchase program (the “Share Repurchase Program”). Repurchases are funded from available cash and may be made at management’s discretion from time to time. As of March 31, 2024, there was no remaining amount available for future share repurchases under the Share Repurchase Program. The repurchase authorization will expire on October 31, 2024. Refer to Note 10. Stockholders’ Equity in Part I, Item 1 of this Quarterly Report on Form 10-Q for more information on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ectPr>
          <w:pgSz w:w="11900" w:h="16838" w:orient="portrait"/>
          <w:cols w:equalWidth="0" w:num="1">
            <w:col w:w="10580"/>
          </w:cols>
          <w:pgMar w:left="320" w:top="981" w:right="99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with this</w:t>
            </w:r>
          </w:p>
        </w:tc>
      </w:tr>
      <w:tr>
        <w:trPr>
          <w:trHeight w:val="212"/>
        </w:trPr>
        <w:tc>
          <w:tcPr>
            <w:tcW w:w="1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tc>
      </w:tr>
      <w:tr>
        <w:trPr>
          <w:trHeight w:val="24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Composite Certificate of Incorporation</w:t>
              </w:r>
            </w:hyperlink>
          </w:p>
        </w:tc>
        <w:tc>
          <w:tcPr>
            <w:tcW w:w="1060" w:type="dxa"/>
            <w:vAlign w:val="bottom"/>
          </w:tcPr>
          <w:p>
            <w:pPr>
              <w:spacing w:after="0"/>
              <w:rPr>
                <w:sz w:val="21"/>
                <w:szCs w:val="2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Certificate of Amendment to Amended and Restated Certificate</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Bylaws of Plus Therapeutics, Inc.</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Certificate of Designation of Preferences, Rights and Limitations of</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Series B Convertible Preferred Stock</w:t>
              </w:r>
            </w:hyperlink>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Certificate of Designation of Preferences, Rights and Limitations of</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3"/>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Series C Convertible Preferred Stock</w:t>
              </w:r>
            </w:hyperlink>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Certificate of Designation of Series F Preferred Stock, dated March 3,</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170">
              <w:r>
                <w:rPr>
                  <w:rFonts w:ascii="Times New Roman" w:cs="Times New Roman" w:eastAsia="Times New Roman" w:hAnsi="Times New Roman"/>
                  <w:sz w:val="18"/>
                  <w:szCs w:val="18"/>
                  <w:color w:val="0000FF"/>
                  <w:w w:val="88"/>
                </w:rPr>
                <w:t>2023</w:t>
              </w:r>
            </w:hyperlink>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Series U Warrant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Warrant Amendment Agreement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Underwriters' Warrant Amendment Agreement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Pre-Funded Warrant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Series A Warrant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2220" w:type="dxa"/>
            <w:vAlign w:val="bottom"/>
            <w:tcBorders>
              <w:left w:val="single" w:sz="8" w:color="0000EE"/>
            </w:tcBorders>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Series B Warrant</w:t>
              </w:r>
            </w:hyperlink>
          </w:p>
        </w:tc>
        <w:tc>
          <w:tcPr>
            <w:tcW w:w="10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8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060" w:type="dxa"/>
            <w:vAlign w:val="bottom"/>
            <w:gridSpan w:val="1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Securities Purchase Agreement, dated May 5, 2024, by and among</w:t>
              </w:r>
            </w:hyperlink>
          </w:p>
        </w:tc>
        <w:tc>
          <w:tcPr>
            <w:tcW w:w="10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Borders>
              <w:right w:val="single" w:sz="8" w:color="0000FF"/>
            </w:tcBorders>
            <w:gridSpan w:val="9"/>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3"/>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Plus Therapeutics, Inc. and the purchasers named therein</w:t>
              </w:r>
            </w:hyperlink>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Borders>
              <w:right w:val="single" w:sz="8" w:color="0000EE"/>
            </w:tcBorders>
            <w:gridSpan w:val="9"/>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709"/>
        </w:trPr>
        <w:tc>
          <w:tcPr>
            <w:tcW w:w="1040" w:type="dxa"/>
            <w:vAlign w:val="bottom"/>
          </w:tcPr>
          <w:p>
            <w:pPr>
              <w:spacing w:after="0"/>
              <w:rPr>
                <w:sz w:val="24"/>
                <w:szCs w:val="24"/>
                <w:color w:val="auto"/>
              </w:rPr>
            </w:pPr>
          </w:p>
        </w:tc>
        <w:tc>
          <w:tcPr>
            <w:tcW w:w="4560" w:type="dxa"/>
            <w:vAlign w:val="bottom"/>
            <w:gridSpan w:val="10"/>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30480</wp:posOffset>
            </wp:positionV>
            <wp:extent cx="2057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9" w:lineRule="exact"/>
        <w:rPr>
          <w:sz w:val="20"/>
          <w:szCs w:val="20"/>
          <w:color w:val="auto"/>
        </w:rPr>
      </w:pPr>
    </w:p>
    <w:p>
      <w:pPr>
        <w:spacing w:after="0"/>
        <w:tabs>
          <w:tab w:leader="none" w:pos="820" w:val="left"/>
          <w:tab w:leader="none" w:pos="20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43" w:lineRule="exact"/>
        <w:rPr>
          <w:sz w:val="20"/>
          <w:szCs w:val="20"/>
          <w:color w:val="auto"/>
        </w:rPr>
      </w:pPr>
    </w:p>
    <w:p>
      <w:pPr>
        <w:ind w:left="720" w:right="20" w:hanging="731"/>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03/11/2016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05/10/2016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05/23/2018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07/29/2019 Exhibit 3.1</w:t>
      </w:r>
    </w:p>
    <w:p>
      <w:pPr>
        <w:spacing w:after="0" w:line="12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08/06/2019 Exhibit 3.1</w:t>
      </w:r>
    </w:p>
    <w:p>
      <w:pPr>
        <w:spacing w:after="0" w:line="113" w:lineRule="exact"/>
        <w:rPr>
          <w:sz w:val="20"/>
          <w:szCs w:val="20"/>
          <w:color w:val="auto"/>
        </w:rPr>
      </w:pPr>
    </w:p>
    <w:p>
      <w:pPr>
        <w:ind w:left="40"/>
        <w:spacing w:after="0"/>
        <w:tabs>
          <w:tab w:leader="none" w:pos="700" w:val="left"/>
          <w:tab w:leader="none" w:pos="19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8"/>
          <w:szCs w:val="18"/>
          <w:color w:val="auto"/>
        </w:rPr>
        <w:t>04/28/2023</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3.1</w:t>
      </w:r>
    </w:p>
    <w:p>
      <w:pPr>
        <w:spacing w:after="0" w:line="165"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09/21/2021 Exhibit 3.1</w:t>
      </w:r>
    </w:p>
    <w:p>
      <w:pPr>
        <w:spacing w:after="0" w:line="216" w:lineRule="exact"/>
        <w:rPr>
          <w:sz w:val="20"/>
          <w:szCs w:val="20"/>
          <w:color w:val="auto"/>
        </w:rPr>
      </w:pPr>
    </w:p>
    <w:p>
      <w:pPr>
        <w:ind w:left="700" w:right="20" w:hanging="641"/>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11/28/2017 Exhibit 3.1</w:t>
      </w:r>
    </w:p>
    <w:p>
      <w:pPr>
        <w:spacing w:after="0" w:line="216"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07/25/2018 Exhibit 3.1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03/03/2023 Exhibit 3.1</w:t>
      </w:r>
    </w:p>
    <w:p>
      <w:pPr>
        <w:spacing w:after="0" w:line="216" w:lineRule="exact"/>
        <w:rPr>
          <w:sz w:val="20"/>
          <w:szCs w:val="20"/>
          <w:color w:val="auto"/>
        </w:rPr>
      </w:pPr>
    </w:p>
    <w:p>
      <w:pPr>
        <w:ind w:left="680" w:right="20" w:hanging="69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S-1/A</w:t>
        <w:tab/>
        <w:t>333-229485 09/16/2019 Exhibit 4.37</w:t>
      </w:r>
    </w:p>
    <w:p>
      <w:pPr>
        <w:spacing w:after="0" w:line="216"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04/23/2020 Exhibit 4.1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10/05/2020 Exhibit 4.1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4.1</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4.2</w:t>
      </w:r>
    </w:p>
    <w:p>
      <w:pPr>
        <w:spacing w:after="0" w:line="216"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4.3</w:t>
      </w:r>
    </w:p>
    <w:p>
      <w:pPr>
        <w:spacing w:after="0" w:line="216" w:lineRule="exact"/>
        <w:rPr>
          <w:sz w:val="20"/>
          <w:szCs w:val="20"/>
          <w:color w:val="auto"/>
        </w:rPr>
      </w:pPr>
    </w:p>
    <w:p>
      <w:pPr>
        <w:ind w:left="680" w:right="20" w:hanging="619"/>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10.1</w:t>
      </w:r>
    </w:p>
    <w:p>
      <w:pPr>
        <w:sectPr>
          <w:pgSz w:w="11900" w:h="16838" w:orient="portrait"/>
          <w:cols w:equalWidth="0" w:num="2">
            <w:col w:w="7580" w:space="160"/>
            <w:col w:w="2840"/>
          </w:cols>
          <w:pgMar w:left="320" w:top="981" w:right="999" w:bottom="1440" w:gutter="0" w:footer="0" w:header="0"/>
          <w:type w:val="continuous"/>
        </w:sectPr>
      </w:pPr>
    </w:p>
    <w:bookmarkStart w:id="31" w:name="page32"/>
    <w:bookmarkEnd w:id="31"/>
    <w:tbl>
      <w:tblPr>
        <w:tblLayout w:type="fixed"/>
        <w:tblInd w:w="412"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100" w:type="dxa"/>
            <w:vAlign w:val="bottom"/>
            <w:gridSpan w:val="10"/>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First Amendment to Securities Purchase Agreement, dated May 8,</w:t>
              </w:r>
            </w:hyperlink>
          </w:p>
        </w:tc>
        <w:tc>
          <w:tcPr>
            <w:tcW w:w="16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05/09/2024</w:t>
            </w:r>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2024, by and among Plus Therapeutics, Inc. and the purchasers named</w:t>
              </w:r>
            </w:hyperlink>
          </w:p>
        </w:tc>
        <w:tc>
          <w:tcPr>
            <w:tcW w:w="168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therein</w:t>
              </w:r>
            </w:hyperlink>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13a-14(a), as adopted pursuant to Section 302 of</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and Accounting Officer Pursuant to</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Securities</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13a-14(b), as adopted pursuant to Section 906 of</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the Sarbanes - Oxley Act of 2002</w:t>
            </w: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63" w:lineRule="exact"/>
        <w:rPr>
          <w:sz w:val="20"/>
          <w:szCs w:val="20"/>
          <w:color w:val="auto"/>
        </w:rPr>
      </w:pPr>
    </w:p>
    <w:p>
      <w:pPr>
        <w:jc w:val="both"/>
        <w:ind w:left="512" w:hanging="512"/>
        <w:spacing w:after="0" w:line="231" w:lineRule="exact"/>
        <w:tabs>
          <w:tab w:leader="none" w:pos="3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86" w:right="41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83"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7"/>
          <w:szCs w:val="17"/>
          <w:color w:val="auto"/>
        </w:rPr>
        <w:t>Marc H. Hedrick</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(Duly Authorized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Officer and Principal Executive Officer)</w:t>
      </w:r>
    </w:p>
    <w:p>
      <w:pPr>
        <w:spacing w:after="0" w:line="261"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 (Duly Authorized Officer and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5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jc w:val="both"/>
        <w:ind w:left="1020" w:right="80" w:hanging="479"/>
        <w:spacing w:after="0" w:line="266" w:lineRule="auto"/>
        <w:tabs>
          <w:tab w:leader="none" w:pos="9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9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020" w:hanging="479"/>
        <w:spacing w:after="0" w:line="282" w:lineRule="auto"/>
        <w:tabs>
          <w:tab w:leader="none" w:pos="9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9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 H. Hedrick,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Sims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SECURITIES EXCHANGE ACT RULE 13a-14(b), AS ADOPTED PURSUANT TO SECTION 906 OF THE SARBANES-OXLEY ACT OF 2002</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Plus Therapeutics, Inc. for the quarterly period ended March 31, 2024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95" w:lineRule="exact"/>
        <w:rPr>
          <w:sz w:val="20"/>
          <w:szCs w:val="20"/>
          <w:color w:val="auto"/>
        </w:rPr>
      </w:pPr>
    </w:p>
    <w:p>
      <w:pPr>
        <w:ind w:left="520" w:right="440" w:hanging="512"/>
        <w:spacing w:after="0" w:line="282"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report of Plus Therapeutics, Inc. that this certification accompanies fully complies with the requirements of Section 13(a) of the Securities Exchange Act of 1934.</w:t>
      </w:r>
    </w:p>
    <w:p>
      <w:pPr>
        <w:spacing w:after="0" w:line="80"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6740"/>
        <w:spacing w:after="0"/>
        <w:tabs>
          <w:tab w:leader="none" w:pos="7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10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7"/>
          <w:szCs w:val="17"/>
          <w:color w:val="auto"/>
        </w:rPr>
        <w:t>Marc H. Hedrick</w:t>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30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6740"/>
        <w:spacing w:after="0"/>
        <w:tabs>
          <w:tab w:leader="none" w:pos="7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100" w:val="left"/>
        </w:tabs>
        <w:rPr>
          <w:sz w:val="20"/>
          <w:szCs w:val="20"/>
          <w:color w:val="auto"/>
        </w:rPr>
      </w:pPr>
      <w:r>
        <w:rPr>
          <w:rFonts w:ascii="Times New Roman" w:cs="Times New Roman" w:eastAsia="Times New Roman" w:hAnsi="Times New Roman"/>
          <w:sz w:val="18"/>
          <w:szCs w:val="18"/>
          <w:color w:val="auto"/>
        </w:rPr>
        <w:t>Dated: May 15, 2024</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35"/>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 "/>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61" Type="http://schemas.openxmlformats.org/officeDocument/2006/relationships/hyperlink" Target="https://www.sec.gov/Archives/edgar/data/0001095981/000114036116057505/ex3_1.htm" TargetMode="External"/><Relationship Id="rId162" Type="http://schemas.openxmlformats.org/officeDocument/2006/relationships/hyperlink" Target="https://www.sec.gov/Archives/edgar/data/0001095981/000109598116000063/ex3_1.htm" TargetMode="External"/><Relationship Id="rId163" Type="http://schemas.openxmlformats.org/officeDocument/2006/relationships/hyperlink" Target="https://www.sec.gov/Archives/edgar/data/0001095981/000156459018014245/cytx-ex31_6.htm" TargetMode="External"/><Relationship Id="rId164" Type="http://schemas.openxmlformats.org/officeDocument/2006/relationships/hyperlink" Target="https://www.sec.gov/Archives/edgar/data/1095981/000156459019026454/cytx-ex31_6.htm" TargetMode="External"/><Relationship Id="rId165" Type="http://schemas.openxmlformats.org/officeDocument/2006/relationships/hyperlink" Target="https://www.sec.gov/Archives/edgar/data/0001095981/000156459019028996/pstv-ex31_18.htm" TargetMode="External"/><Relationship Id="rId166" Type="http://schemas.openxmlformats.org/officeDocument/2006/relationships/hyperlink" Target="https://www.sec.gov/Archives/edgar/data/0001095981/000119312523127227/d475493dex31.htm" TargetMode="External"/><Relationship Id="rId167" Type="http://schemas.openxmlformats.org/officeDocument/2006/relationships/hyperlink" Target="https://www.sec.gov/Archives/edgar/data/0001095981/000119312521277718/d164672dex31.htm" TargetMode="External"/><Relationship Id="rId168" Type="http://schemas.openxmlformats.org/officeDocument/2006/relationships/hyperlink" Target="https://www.sec.gov/Archives/edgar/data/1095981/000156459017024297/cytx-ex31_6.htm" TargetMode="External"/><Relationship Id="rId169" Type="http://schemas.openxmlformats.org/officeDocument/2006/relationships/hyperlink" Target="https://www.sec.gov/Archives/edgar/data/1095981/000156459018017443/cytx-ex31_7.htm" TargetMode="External"/><Relationship Id="rId170" Type="http://schemas.openxmlformats.org/officeDocument/2006/relationships/hyperlink" Target="https://www.sec.gov/Archives/edgar/data/1095981/000119312523060090/d449434dex31.htm" TargetMode="External"/><Relationship Id="rId171" Type="http://schemas.openxmlformats.org/officeDocument/2006/relationships/hyperlink" Target="https://www.sec.gov/Archives/edgar/data/1095981/000156459019034798/pstv-ex437_7.htm" TargetMode="External"/><Relationship Id="rId172" Type="http://schemas.openxmlformats.org/officeDocument/2006/relationships/hyperlink" Target="https://www.sec.gov/Archives/edgar/data/1095981/000156459020018034/pstv-ex41_6.htm" TargetMode="External"/><Relationship Id="rId173" Type="http://schemas.openxmlformats.org/officeDocument/2006/relationships/hyperlink" Target="https://www.sec.gov/Archives/edgar/data/1095981/000156459020045822/pstv-ex41_6.htm" TargetMode="External"/><Relationship Id="rId174" Type="http://schemas.openxmlformats.org/officeDocument/2006/relationships/hyperlink" Target="https://www.sec.gov/Archives/edgar/data/1095981/000119312524135399/d827838dex41.htm" TargetMode="External"/><Relationship Id="rId175" Type="http://schemas.openxmlformats.org/officeDocument/2006/relationships/hyperlink" Target="https://www.sec.gov/Archives/edgar/data/1095981/000119312524135399/d827838dex42.htm" TargetMode="External"/><Relationship Id="rId176" Type="http://schemas.openxmlformats.org/officeDocument/2006/relationships/hyperlink" Target="https://www.sec.gov/Archives/edgar/data/1095981/000119312524135399/d827838dex43.htm" TargetMode="External"/><Relationship Id="rId177" Type="http://schemas.openxmlformats.org/officeDocument/2006/relationships/hyperlink" Target="https://www.sec.gov/Archives/edgar/data/1095981/000119312524135399/d827838dex101.htm" TargetMode="External"/><Relationship Id="rId180" Type="http://schemas.openxmlformats.org/officeDocument/2006/relationships/hyperlink" Target="https://www.sec.gov/Archives/edgar/data/1095981/000119312524135399/d82783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2024-05-15T15:17:18Z</dcterms:created>
  <dcterms:modified xsi:type="dcterms:W3CDTF">2024-05-15T15:17:18Z</dcterms:modified>
</cp:coreProperties>
</file>