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14" w:lineRule="exact"/>
        <w:rPr>
          <w:rFonts w:ascii="MS PGothic" w:cs="MS PGothic" w:eastAsia="MS PGothic" w:hAnsi="MS PGothic"/>
          <w:sz w:val="22"/>
          <w:szCs w:val="22"/>
          <w:color w:val="auto"/>
        </w:rPr>
      </w:pPr>
    </w:p>
    <w:p>
      <w:pPr>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3" w:lineRule="exact"/>
        <w:rPr>
          <w:sz w:val="24"/>
          <w:szCs w:val="24"/>
          <w:color w:val="auto"/>
        </w:rPr>
      </w:pPr>
    </w:p>
    <w:p>
      <w:pPr>
        <w:spacing w:after="0"/>
        <w:tabs>
          <w:tab w:leader="none" w:pos="174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b w:val="1"/>
          <w:bCs w:val="1"/>
          <w:color w:val="auto"/>
        </w:rPr>
        <w:t>TRANSITION REPORT PURSUANT TO SECTION 13 OR 15(d) OF THE SECURITIES</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22"/>
          <w:szCs w:val="22"/>
          <w:b w:val="1"/>
          <w:bCs w:val="1"/>
          <w:color w:val="auto"/>
        </w:rPr>
        <w:t>EXCHANGE ACT OF 1934</w:t>
      </w:r>
    </w:p>
    <w:p>
      <w:pPr>
        <w:spacing w:after="0" w:line="83"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PLUS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99"/>
              </w:rPr>
              <w:t>DELAWARE</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right"/>
              <w:ind w:right="2399"/>
              <w:spacing w:after="0"/>
              <w:rPr>
                <w:sz w:val="20"/>
                <w:szCs w:val="20"/>
                <w:color w:val="auto"/>
              </w:rPr>
            </w:pPr>
            <w:r>
              <w:rPr>
                <w:rFonts w:ascii="Arial" w:cs="Arial" w:eastAsia="Arial" w:hAnsi="Arial"/>
                <w:sz w:val="16"/>
                <w:szCs w:val="16"/>
                <w:b w:val="1"/>
                <w:bCs w:val="1"/>
                <w:color w:val="auto"/>
              </w:rPr>
              <w:t>33-0827593</w:t>
            </w:r>
          </w:p>
        </w:tc>
      </w:tr>
      <w:tr>
        <w:trPr>
          <w:trHeight w:val="222"/>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2"/>
              </w:rPr>
              <w:t>(State or other jurisdiction</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2"/>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Identification No.)</w:t>
            </w:r>
          </w:p>
        </w:tc>
      </w:tr>
      <w:tr>
        <w:trPr>
          <w:trHeight w:val="459"/>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9"/>
              </w:rPr>
              <w:t>4200 MARATHON BLVD., SUITE 200, AUSTIN,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Arial" w:cs="Arial" w:eastAsia="Arial" w:hAnsi="Arial"/>
                <w:sz w:val="16"/>
                <w:szCs w:val="16"/>
                <w:b w:val="1"/>
                <w:bCs w:val="1"/>
                <w:color w:val="auto"/>
              </w:rPr>
              <w:t>78756</w:t>
            </w:r>
          </w:p>
        </w:tc>
      </w:tr>
      <w:tr>
        <w:trPr>
          <w:trHeight w:val="229"/>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0"/>
        </w:trPr>
        <w:tc>
          <w:tcPr>
            <w:tcW w:w="7620" w:type="dxa"/>
            <w:vAlign w:val="bottom"/>
            <w:gridSpan w:val="5"/>
          </w:tcPr>
          <w:p>
            <w:pPr>
              <w:jc w:val="center"/>
              <w:ind w:left="355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620" w:type="dxa"/>
            <w:vAlign w:val="bottom"/>
          </w:tcPr>
          <w:p>
            <w:pPr>
              <w:spacing w:after="0"/>
              <w:rPr>
                <w:sz w:val="18"/>
                <w:szCs w:val="18"/>
                <w:color w:val="auto"/>
              </w:rPr>
            </w:pPr>
          </w:p>
        </w:tc>
      </w:tr>
      <w:tr>
        <w:trPr>
          <w:trHeight w:val="87"/>
        </w:trPr>
        <w:tc>
          <w:tcPr>
            <w:tcW w:w="4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620" w:type="dxa"/>
            <w:vAlign w:val="bottom"/>
          </w:tcPr>
          <w:p>
            <w:pPr>
              <w:spacing w:after="0"/>
              <w:rPr>
                <w:sz w:val="24"/>
                <w:szCs w:val="24"/>
                <w:color w:val="auto"/>
              </w:rPr>
            </w:pPr>
          </w:p>
        </w:tc>
      </w:tr>
      <w:tr>
        <w:trPr>
          <w:trHeight w:val="225"/>
        </w:trPr>
        <w:tc>
          <w:tcPr>
            <w:tcW w:w="4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0"/>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6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1"/>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73"/>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187"/>
        </w:trPr>
        <w:tc>
          <w:tcPr>
            <w:tcW w:w="4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26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5"/>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Arial" w:cs="Arial" w:eastAsia="Arial" w:hAnsi="Arial"/>
                <w:sz w:val="16"/>
                <w:szCs w:val="16"/>
                <w:color w:val="auto"/>
                <w:w w:val="93"/>
              </w:rPr>
              <w:t>Nasdaq Capital Market</w:t>
            </w:r>
          </w:p>
        </w:tc>
      </w:tr>
      <w:tr>
        <w:trPr>
          <w:trHeight w:val="60"/>
        </w:trPr>
        <w:tc>
          <w:tcPr>
            <w:tcW w:w="4240" w:type="dxa"/>
            <w:vAlign w:val="bottom"/>
            <w:tcBorders>
              <w:left w:val="single" w:sz="8" w:color="auto"/>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bl>
    <w:p>
      <w:pPr>
        <w:spacing w:after="0" w:line="98"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ind w:right="40"/>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71" w:right="339" w:bottom="1440" w:gutter="0" w:footer="0" w:header="0"/>
        </w:sectPr>
      </w:pPr>
    </w:p>
    <w:p>
      <w:pPr>
        <w:spacing w:after="0" w:line="99"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Accelerated Filer</w:t>
      </w:r>
    </w:p>
    <w:p>
      <w:pPr>
        <w:spacing w:after="0" w:line="86" w:lineRule="exact"/>
        <w:rPr>
          <w:sz w:val="24"/>
          <w:szCs w:val="24"/>
          <w:color w:val="auto"/>
        </w:rPr>
      </w:pPr>
    </w:p>
    <w:p>
      <w:pPr>
        <w:ind w:left="20"/>
        <w:spacing w:after="0" w:line="184" w:lineRule="exact"/>
        <w:tabs>
          <w:tab w:leader="none" w:pos="2500" w:val="left"/>
          <w:tab w:leader="none" w:pos="844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w:t>
      </w:r>
    </w:p>
    <w:p>
      <w:pPr>
        <w:spacing w:after="0" w:line="46" w:lineRule="exact"/>
        <w:rPr>
          <w:sz w:val="24"/>
          <w:szCs w:val="24"/>
          <w:color w:val="auto"/>
        </w:rPr>
      </w:pPr>
    </w:p>
    <w:p>
      <w:pPr>
        <w:ind w:left="8460"/>
        <w:spacing w:after="0"/>
        <w:rPr>
          <w:sz w:val="20"/>
          <w:szCs w:val="20"/>
          <w:color w:val="auto"/>
        </w:rPr>
      </w:pPr>
      <w:r>
        <w:rPr>
          <w:rFonts w:ascii="Arial" w:cs="Arial" w:eastAsia="Arial" w:hAnsi="Arial"/>
          <w:sz w:val="16"/>
          <w:szCs w:val="16"/>
          <w:color w:val="auto"/>
        </w:rPr>
        <w:t>Emerging growth company</w:t>
      </w:r>
    </w:p>
    <w:p>
      <w:pPr>
        <w:spacing w:after="0" w:line="221"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080"/>
        <w:spacing w:after="0" w:line="28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7, 2023 , there were </w:t>
      </w:r>
      <w:r>
        <w:rPr>
          <w:rFonts w:ascii="Arial" w:cs="Arial" w:eastAsia="Arial" w:hAnsi="Arial"/>
          <w:sz w:val="17"/>
          <w:szCs w:val="17"/>
          <w:color w:val="auto"/>
        </w:rPr>
        <w:t>2,879,620</w:t>
      </w:r>
      <w:r>
        <w:rPr>
          <w:rFonts w:ascii="Arial" w:cs="Arial" w:eastAsia="Arial" w:hAnsi="Arial"/>
          <w:sz w:val="16"/>
          <w:szCs w:val="16"/>
          <w:color w:val="auto"/>
        </w:rPr>
        <w:t xml:space="preserve">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57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37"/>
        </w:trPr>
        <w:tc>
          <w:tcPr>
            <w:tcW w:w="1280" w:type="dxa"/>
            <w:vAlign w:val="bottom"/>
          </w:tcPr>
          <w:p>
            <w:pPr>
              <w:ind w:left="20"/>
              <w:spacing w:after="0"/>
              <w:rPr>
                <w:sz w:val="20"/>
                <w:szCs w:val="20"/>
                <w:color w:val="auto"/>
              </w:rPr>
            </w:pPr>
            <w:r>
              <w:rPr>
                <w:rFonts w:ascii="Arial" w:cs="Arial" w:eastAsia="Arial" w:hAnsi="Arial"/>
                <w:sz w:val="18"/>
                <w:szCs w:val="18"/>
                <w:color w:val="auto"/>
              </w:rPr>
              <w:t>PART I</w:t>
            </w:r>
          </w:p>
        </w:tc>
        <w:tc>
          <w:tcPr>
            <w:tcW w:w="2480" w:type="dxa"/>
            <w:vAlign w:val="bottom"/>
            <w:tcBorders>
              <w:bottom w:val="single" w:sz="8" w:color="0000EE"/>
            </w:tcBorders>
            <w:gridSpan w:val="6"/>
          </w:tcPr>
          <w:p>
            <w:pPr>
              <w:spacing w:after="0"/>
              <w:rPr>
                <w:sz w:val="20"/>
                <w:szCs w:val="20"/>
                <w:color w:val="auto"/>
              </w:rPr>
            </w:pPr>
            <w:r>
              <w:rPr>
                <w:rFonts w:ascii="Arial" w:cs="Arial" w:eastAsia="Arial" w:hAnsi="Arial"/>
                <w:sz w:val="20"/>
                <w:szCs w:val="20"/>
                <w:color w:val="0000FF"/>
                <w:w w:val="98"/>
              </w:rPr>
              <w:t>FINANCIAL INFORMATION</w:t>
            </w:r>
          </w:p>
        </w:tc>
        <w:tc>
          <w:tcPr>
            <w:tcW w:w="6920" w:type="dxa"/>
            <w:vAlign w:val="bottom"/>
            <w:gridSpan w:val="11"/>
          </w:tcPr>
          <w:p>
            <w:pPr>
              <w:spacing w:after="0"/>
              <w:rPr>
                <w:sz w:val="20"/>
                <w:szCs w:val="20"/>
                <w:color w:val="auto"/>
              </w:rPr>
            </w:pPr>
          </w:p>
        </w:tc>
        <w:tc>
          <w:tcPr>
            <w:tcW w:w="56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59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6"/>
              </w:rPr>
              <w:t>Condensed Balance Sheets</w:t>
            </w:r>
          </w:p>
        </w:tc>
        <w:tc>
          <w:tcPr>
            <w:tcW w:w="6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8"/>
              </w:rPr>
              <w:t>Condensed Statements of Operations</w:t>
            </w:r>
          </w:p>
        </w:tc>
        <w:tc>
          <w:tcPr>
            <w:tcW w:w="57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89"/>
              </w:rPr>
              <w:t>Condensed Statements of Stockholders’ Equity</w:t>
            </w:r>
          </w:p>
        </w:tc>
        <w:tc>
          <w:tcPr>
            <w:tcW w:w="500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FF"/>
                <w:w w:val="87"/>
              </w:rPr>
              <w:t>Condensed Statements of Cash Flows</w:t>
            </w:r>
          </w:p>
        </w:tc>
        <w:tc>
          <w:tcPr>
            <w:tcW w:w="56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88"/>
              </w:rPr>
              <w:t>Notes to Condensed Financial Statements</w:t>
            </w:r>
          </w:p>
        </w:tc>
        <w:tc>
          <w:tcPr>
            <w:tcW w:w="540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9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40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1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ind w:left="20"/>
              <w:spacing w:after="0"/>
              <w:rPr>
                <w:sz w:val="20"/>
                <w:szCs w:val="20"/>
                <w:color w:val="auto"/>
              </w:rPr>
            </w:pPr>
            <w:r>
              <w:rPr>
                <w:rFonts w:ascii="Arial" w:cs="Arial" w:eastAsia="Arial" w:hAnsi="Arial"/>
                <w:sz w:val="18"/>
                <w:szCs w:val="18"/>
                <w:color w:val="auto"/>
              </w:rPr>
              <w:t>PART II</w:t>
            </w:r>
          </w:p>
        </w:tc>
        <w:tc>
          <w:tcPr>
            <w:tcW w:w="9400" w:type="dxa"/>
            <w:vAlign w:val="bottom"/>
            <w:gridSpan w:val="17"/>
          </w:tcPr>
          <w:p>
            <w:pPr>
              <w:spacing w:after="0"/>
              <w:rPr>
                <w:sz w:val="20"/>
                <w:szCs w:val="20"/>
                <w:color w:val="auto"/>
              </w:rPr>
            </w:pPr>
            <w:r>
              <w:rPr>
                <w:rFonts w:ascii="Arial" w:cs="Arial" w:eastAsia="Arial" w:hAnsi="Arial"/>
                <w:sz w:val="20"/>
                <w:szCs w:val="20"/>
                <w:color w:val="0000FF"/>
              </w:rPr>
              <w:t>OTHER INFORMATION</w:t>
            </w:r>
          </w:p>
        </w:tc>
        <w:tc>
          <w:tcPr>
            <w:tcW w:w="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2"/>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FF"/>
              </w:rPr>
              <w:t>Risk Factors</w:t>
            </w:r>
          </w:p>
        </w:tc>
        <w:tc>
          <w:tcPr>
            <w:tcW w:w="70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0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520"/>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1"/>
              </w:rPr>
              <w:t>Exhibits</w:t>
            </w:r>
          </w:p>
        </w:tc>
        <w:tc>
          <w:tcPr>
            <w:tcW w:w="78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68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12"/>
          </w:tcPr>
          <w:p>
            <w:pPr>
              <w:ind w:left="3300"/>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This report and the exhibits incorporated herein by reference contain “forward-looking statements” which are made pursuant to the safe harbor provisions of Section 27A of the Securities Act of 1933, as amended, and Section 21E of the Securities Exchange Act of 1934, as amended, or the Exchange Act.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0"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These statements include, without limitation, statements about our anticipated expenditures, including research and development, and general and administrative expenses; our strategic collaborations and license agreements, intellectual property, FDA and EMA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report, including our potential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manufacture to a contract drug manufacturing organization; and the potential enhancement of our cash position through development, marketing, and licensing arrangements.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2022, and under “Part II – Item 1A – Risk Factors” in this Quarterly Report. These risks and uncertainties could cause actual results to differ materially from expectations or those expressed in these forward-looking statements.</w:t>
      </w:r>
    </w:p>
    <w:p>
      <w:pPr>
        <w:spacing w:after="0" w:line="8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2022, and under “Part</w:t>
      </w:r>
    </w:p>
    <w:p>
      <w:pPr>
        <w:spacing w:after="0" w:line="2" w:lineRule="exact"/>
        <w:rPr>
          <w:sz w:val="20"/>
          <w:szCs w:val="20"/>
          <w:color w:val="auto"/>
        </w:rPr>
      </w:pPr>
    </w:p>
    <w:p>
      <w:pPr>
        <w:ind w:right="340" w:firstLine="8"/>
        <w:spacing w:after="0" w:line="260" w:lineRule="auto"/>
        <w:tabs>
          <w:tab w:leader="none" w:pos="16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Item 1A – Risk Factors” in this Quarterly Report. These risks and uncertainties could cause actual results to differ materially from expectations or those expressed in these forward-looking statements.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We encourage you to read the risks described under “Risk Factor Summary” and “Part II – Item 1A – Risk Factors”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Grant receivable</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14,197</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6,580</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Term loan obligation</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obligation</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Noncurrent operating lease liability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grant liability</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Preferred stock, $0.001 par value; 5,000,000 shares authorized; 1,952 shares issued and outstanding at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June 30, 2023 and December 31, 2022, respectively</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8"/>
                <w:szCs w:val="18"/>
                <w:color w:val="auto"/>
                <w:w w:val="95"/>
              </w:rPr>
              <w:t>Common stock, $0.001 par value; 100,000,000 shares authorized; 2,879,620 and 2,240,092 shares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issued and outstanding at June 30, 2023 and December 31, 2022,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476,131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(473,472 )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(467,185 )</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14,197</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-4868545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-3616960</wp:posOffset>
            </wp:positionV>
            <wp:extent cx="121729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7295"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-2022475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3"/>
              </w:rPr>
              <w:t>For the Three Months Ended June 30,</w:t>
            </w:r>
          </w:p>
        </w:tc>
        <w:tc>
          <w:tcPr>
            <w:tcW w:w="160" w:type="dxa"/>
            <w:vAlign w:val="bottom"/>
          </w:tcPr>
          <w:p>
            <w:pPr>
              <w:spacing w:after="0"/>
              <w:rPr>
                <w:sz w:val="16"/>
                <w:szCs w:val="16"/>
                <w:color w:val="auto"/>
              </w:rPr>
            </w:pPr>
          </w:p>
        </w:tc>
        <w:tc>
          <w:tcPr>
            <w:tcW w:w="258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169"/>
        </w:trPr>
        <w:tc>
          <w:tcPr>
            <w:tcW w:w="56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Development revenues: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Government contracts and other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00" w:type="dxa"/>
            <w:vAlign w:val="bottom"/>
            <w:shd w:val="clear" w:color="auto" w:fill="CFF0FC"/>
          </w:tcPr>
          <w:p>
            <w:pPr>
              <w:spacing w:after="0"/>
              <w:rPr>
                <w:sz w:val="21"/>
                <w:szCs w:val="21"/>
                <w:color w:val="auto"/>
              </w:rPr>
            </w:pP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0"/>
                <w:szCs w:val="20"/>
                <w:color w:val="auto"/>
              </w:rPr>
            </w:pPr>
          </w:p>
        </w:tc>
      </w:tr>
      <w:tr>
        <w:trPr>
          <w:trHeight w:val="237"/>
        </w:trPr>
        <w:tc>
          <w:tcPr>
            <w:tcW w:w="5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8,570</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600" w:type="dxa"/>
            <w:vAlign w:val="bottom"/>
          </w:tcPr>
          <w:p>
            <w:pPr>
              <w:ind w:left="56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(1,490 )</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(5,120 )</w:t>
            </w:r>
          </w:p>
        </w:tc>
        <w:tc>
          <w:tcPr>
            <w:tcW w:w="16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(6,210 )</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(9,046 )</w:t>
            </w:r>
          </w:p>
        </w:tc>
      </w:tr>
      <w:tr>
        <w:trPr>
          <w:trHeight w:val="249"/>
        </w:trPr>
        <w:tc>
          <w:tcPr>
            <w:tcW w:w="5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1"/>
                <w:szCs w:val="21"/>
                <w:color w:val="auto"/>
              </w:rPr>
            </w:pP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(112 )</w:t>
            </w:r>
          </w:p>
        </w:tc>
        <w:tc>
          <w:tcPr>
            <w:tcW w:w="2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(181 )</w:t>
            </w:r>
          </w:p>
        </w:tc>
        <w:tc>
          <w:tcPr>
            <w:tcW w:w="16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(246 )</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(379 )</w:t>
            </w:r>
          </w:p>
        </w:tc>
      </w:tr>
      <w:tr>
        <w:trPr>
          <w:trHeight w:val="249"/>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Change in fair value of liability instruments</w:t>
            </w:r>
          </w:p>
        </w:tc>
        <w:tc>
          <w:tcPr>
            <w:tcW w:w="1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36"/>
        </w:trPr>
        <w:tc>
          <w:tcPr>
            <w:tcW w:w="5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(1,482 )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(5,282 )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(6,287 )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(9,398 )</w:t>
            </w: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spacing w:after="0"/>
              <w:rPr>
                <w:sz w:val="19"/>
                <w:szCs w:val="19"/>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(0.59 )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(3.56 )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(2.60 )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(6.43 )</w:t>
            </w:r>
          </w:p>
        </w:tc>
      </w:tr>
      <w:tr>
        <w:trPr>
          <w:trHeight w:val="221"/>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Basic and diluted weighted average shares used in calculating net loss per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 attributable to common stockholders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2,509,378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1,483,655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2,415,221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1,461,330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-2039620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-2039620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-2039620</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-788035</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-788035</wp:posOffset>
            </wp:positionV>
            <wp:extent cx="685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-788035</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20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paid-in</w:t>
            </w:r>
          </w:p>
        </w:tc>
        <w:tc>
          <w:tcPr>
            <w:tcW w:w="200" w:type="dxa"/>
            <w:vAlign w:val="bottom"/>
          </w:tcPr>
          <w:p>
            <w:pPr>
              <w:spacing w:after="0"/>
              <w:rPr>
                <w:sz w:val="16"/>
                <w:szCs w:val="16"/>
                <w:color w:val="auto"/>
              </w:rPr>
            </w:pPr>
          </w:p>
        </w:tc>
        <w:tc>
          <w:tcPr>
            <w:tcW w:w="108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stockholders’</w:t>
            </w: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4"/>
                <w:szCs w:val="14"/>
                <w:color w:val="auto"/>
              </w:rPr>
            </w:pPr>
          </w:p>
        </w:tc>
        <w:tc>
          <w:tcPr>
            <w:tcW w:w="1080" w:type="dxa"/>
            <w:vAlign w:val="bottom"/>
            <w:gridSpan w:val="2"/>
          </w:tcPr>
          <w:p>
            <w:pPr>
              <w:jc w:val="right"/>
              <w:ind w:right="374"/>
              <w:spacing w:after="0"/>
              <w:rPr>
                <w:sz w:val="20"/>
                <w:szCs w:val="20"/>
                <w:color w:val="auto"/>
              </w:rPr>
            </w:pPr>
            <w:r>
              <w:rPr>
                <w:rFonts w:ascii="Arial" w:cs="Arial" w:eastAsia="Arial" w:hAnsi="Arial"/>
                <w:sz w:val="14"/>
                <w:szCs w:val="14"/>
                <w:b w:val="1"/>
                <w:bCs w:val="1"/>
                <w:color w:val="auto"/>
              </w:rPr>
              <w:t>deficit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equity</w:t>
            </w:r>
          </w:p>
        </w:tc>
      </w:tr>
      <w:tr>
        <w:trPr>
          <w:trHeight w:val="169"/>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1,034,002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457,745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(446,910</w:t>
            </w:r>
          </w:p>
        </w:tc>
        <w:tc>
          <w:tcPr>
            <w:tcW w:w="200" w:type="dxa"/>
            <w:vAlign w:val="bottom"/>
            <w:shd w:val="clear" w:color="auto" w:fill="CFF0FC"/>
          </w:tcPr>
          <w:p>
            <w:pPr>
              <w:spacing w:after="0"/>
              <w:rPr>
                <w:sz w:val="20"/>
                <w:szCs w:val="20"/>
                <w:color w:val="auto"/>
              </w:rPr>
            </w:pPr>
            <w:r>
              <w:rPr>
                <w:rFonts w:ascii="Arial" w:cs="Arial" w:eastAsia="Arial" w:hAnsi="Arial"/>
                <w:sz w:val="14"/>
                <w:szCs w:val="14"/>
                <w:color w:val="auto"/>
              </w:rPr>
              <w:t>) $</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10,836</w:t>
            </w:r>
          </w:p>
        </w:tc>
        <w:tc>
          <w:tcPr>
            <w:tcW w:w="100" w:type="dxa"/>
            <w:vAlign w:val="bottom"/>
            <w:shd w:val="clear" w:color="auto" w:fill="CFF0FC"/>
          </w:tcPr>
          <w:p>
            <w:pPr>
              <w:spacing w:after="0"/>
              <w:rPr>
                <w:sz w:val="14"/>
                <w:szCs w:val="14"/>
                <w:color w:val="auto"/>
              </w:rPr>
            </w:pPr>
          </w:p>
        </w:tc>
      </w:tr>
      <w:tr>
        <w:trPr>
          <w:trHeight w:val="176"/>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200" w:type="dxa"/>
            <w:vAlign w:val="bottom"/>
          </w:tcPr>
          <w:p>
            <w:pPr>
              <w:spacing w:after="0"/>
              <w:rPr>
                <w:sz w:val="15"/>
                <w:szCs w:val="15"/>
                <w:color w:val="auto"/>
              </w:rPr>
            </w:pPr>
          </w:p>
        </w:tc>
        <w:tc>
          <w:tcPr>
            <w:tcW w:w="1080" w:type="dxa"/>
            <w:vAlign w:val="bottom"/>
            <w:gridSpan w:val="2"/>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r>
      <w:tr>
        <w:trPr>
          <w:trHeight w:val="175"/>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445,841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7,742</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FF0FC"/>
          </w:tcPr>
          <w:p>
            <w:pPr>
              <w:spacing w:after="0"/>
              <w:rPr>
                <w:sz w:val="15"/>
                <w:szCs w:val="15"/>
                <w:color w:val="auto"/>
              </w:rPr>
            </w:pPr>
          </w:p>
        </w:tc>
      </w:tr>
      <w:tr>
        <w:trPr>
          <w:trHeight w:val="176"/>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74"/>
              <w:spacing w:after="0"/>
              <w:rPr>
                <w:sz w:val="20"/>
                <w:szCs w:val="20"/>
                <w:color w:val="auto"/>
              </w:rPr>
            </w:pPr>
            <w:r>
              <w:rPr>
                <w:rFonts w:ascii="Arial" w:cs="Arial" w:eastAsia="Arial" w:hAnsi="Arial"/>
                <w:sz w:val="14"/>
                <w:szCs w:val="14"/>
                <w:color w:val="auto"/>
              </w:rPr>
              <w:t>(4,116 )</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(4,116 )</w:t>
            </w:r>
          </w:p>
        </w:tc>
      </w:tr>
      <w:tr>
        <w:trPr>
          <w:trHeight w:val="209"/>
        </w:trPr>
        <w:tc>
          <w:tcPr>
            <w:tcW w:w="25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3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1,479,842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465,667</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(451,026</w:t>
            </w:r>
          </w:p>
        </w:tc>
        <w:tc>
          <w:tcPr>
            <w:tcW w:w="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2420" w:type="dxa"/>
            <w:vAlign w:val="bottom"/>
          </w:tcPr>
          <w:p>
            <w:pPr>
              <w:ind w:left="20"/>
              <w:spacing w:after="0" w:line="156" w:lineRule="exact"/>
              <w:rPr>
                <w:sz w:val="20"/>
                <w:szCs w:val="20"/>
                <w:color w:val="auto"/>
              </w:rPr>
            </w:pPr>
            <w:r>
              <w:rPr>
                <w:rFonts w:ascii="Arial" w:cs="Arial" w:eastAsia="Arial" w:hAnsi="Arial"/>
                <w:sz w:val="14"/>
                <w:szCs w:val="14"/>
                <w:color w:val="auto"/>
              </w:rPr>
              <w:t>Sale of common stock, net</w:t>
            </w:r>
          </w:p>
        </w:tc>
        <w:tc>
          <w:tcPr>
            <w:tcW w:w="120" w:type="dxa"/>
            <w:vAlign w:val="bottom"/>
            <w:shd w:val="clear" w:color="auto" w:fill="CFF0FC"/>
          </w:tcPr>
          <w:p>
            <w:pPr>
              <w:spacing w:after="0"/>
              <w:rPr>
                <w:sz w:val="13"/>
                <w:szCs w:val="13"/>
                <w:color w:val="auto"/>
              </w:rPr>
            </w:pPr>
          </w:p>
        </w:tc>
        <w:tc>
          <w:tcPr>
            <w:tcW w:w="76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ind w:left="500"/>
              <w:spacing w:after="0" w:line="156"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600" w:type="dxa"/>
            <w:vAlign w:val="bottom"/>
          </w:tcPr>
          <w:p>
            <w:pPr>
              <w:ind w:left="440"/>
              <w:spacing w:after="0" w:line="156" w:lineRule="exact"/>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18,070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3"/>
                <w:szCs w:val="13"/>
                <w:color w:val="auto"/>
              </w:rPr>
            </w:pPr>
          </w:p>
        </w:tc>
        <w:tc>
          <w:tcPr>
            <w:tcW w:w="1080" w:type="dxa"/>
            <w:vAlign w:val="bottom"/>
            <w:gridSpan w:val="2"/>
          </w:tcPr>
          <w:p>
            <w:pPr>
              <w:jc w:val="right"/>
              <w:ind w:right="154"/>
              <w:spacing w:after="0" w:line="156"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FF0FC"/>
          </w:tcPr>
          <w:p>
            <w:pPr>
              <w:spacing w:after="0"/>
              <w:rPr>
                <w:sz w:val="15"/>
                <w:szCs w:val="15"/>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FF0FC"/>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74"/>
              <w:spacing w:after="0"/>
              <w:rPr>
                <w:sz w:val="20"/>
                <w:szCs w:val="20"/>
                <w:color w:val="auto"/>
              </w:rPr>
            </w:pPr>
            <w:r>
              <w:rPr>
                <w:rFonts w:ascii="Arial" w:cs="Arial" w:eastAsia="Arial" w:hAnsi="Arial"/>
                <w:sz w:val="14"/>
                <w:szCs w:val="14"/>
                <w:color w:val="auto"/>
              </w:rPr>
              <w:t>(5,282 )</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(5,282 )</w:t>
            </w:r>
          </w:p>
        </w:tc>
      </w:tr>
      <w:tr>
        <w:trPr>
          <w:trHeight w:val="209"/>
        </w:trPr>
        <w:tc>
          <w:tcPr>
            <w:tcW w:w="24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June 30, 2022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FF0FC"/>
          </w:tcPr>
          <w:p>
            <w:pPr>
              <w:ind w:left="5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1,952</w:t>
            </w:r>
          </w:p>
        </w:tc>
        <w:tc>
          <w:tcPr>
            <w:tcW w:w="34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ind w:left="44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1,497,912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465,986</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(456,308</w:t>
            </w:r>
          </w:p>
        </w:tc>
        <w:tc>
          <w:tcPr>
            <w:tcW w:w="20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vertAlign w:val="subscript"/>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32"/>
        </w:trPr>
        <w:tc>
          <w:tcPr>
            <w:tcW w:w="2540" w:type="dxa"/>
            <w:vAlign w:val="bottom"/>
            <w:gridSpan w:val="2"/>
          </w:tcPr>
          <w:p>
            <w:pPr>
              <w:spacing w:after="0"/>
              <w:rPr>
                <w:sz w:val="24"/>
                <w:szCs w:val="24"/>
                <w:color w:val="auto"/>
              </w:rPr>
            </w:pPr>
          </w:p>
        </w:tc>
        <w:tc>
          <w:tcPr>
            <w:tcW w:w="7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Balance at December 31, 2022</w:t>
            </w: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2,240,092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473,628</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(467,185 ) $</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6,445</w:t>
            </w:r>
          </w:p>
        </w:tc>
        <w:tc>
          <w:tcPr>
            <w:tcW w:w="100" w:type="dxa"/>
            <w:vAlign w:val="bottom"/>
            <w:shd w:val="clear" w:color="auto" w:fill="CFF0FC"/>
          </w:tcPr>
          <w:p>
            <w:pPr>
              <w:spacing w:after="0"/>
              <w:rPr>
                <w:sz w:val="15"/>
                <w:szCs w:val="15"/>
                <w:color w:val="auto"/>
              </w:rPr>
            </w:pPr>
          </w:p>
        </w:tc>
      </w:tr>
      <w:tr>
        <w:trPr>
          <w:trHeight w:val="176"/>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15"/>
                <w:szCs w:val="15"/>
                <w:color w:val="auto"/>
              </w:rPr>
            </w:pPr>
          </w:p>
        </w:tc>
        <w:tc>
          <w:tcPr>
            <w:tcW w:w="1080" w:type="dxa"/>
            <w:vAlign w:val="bottom"/>
            <w:gridSpan w:val="2"/>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r>
      <w:tr>
        <w:trPr>
          <w:trHeight w:val="175"/>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168,164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FF0FC"/>
          </w:tcPr>
          <w:p>
            <w:pPr>
              <w:spacing w:after="0"/>
              <w:rPr>
                <w:sz w:val="15"/>
                <w:szCs w:val="15"/>
                <w:color w:val="auto"/>
              </w:rPr>
            </w:pPr>
          </w:p>
        </w:tc>
      </w:tr>
      <w:tr>
        <w:trPr>
          <w:trHeight w:val="176"/>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Issuance of Series F preferred stock</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1080" w:type="dxa"/>
            <w:vAlign w:val="bottom"/>
            <w:gridSpan w:val="2"/>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r>
      <w:tr>
        <w:trPr>
          <w:trHeight w:val="176"/>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74"/>
              <w:spacing w:after="0"/>
              <w:rPr>
                <w:sz w:val="20"/>
                <w:szCs w:val="20"/>
                <w:color w:val="auto"/>
              </w:rPr>
            </w:pPr>
            <w:r>
              <w:rPr>
                <w:rFonts w:ascii="Arial" w:cs="Arial" w:eastAsia="Arial" w:hAnsi="Arial"/>
                <w:sz w:val="14"/>
                <w:szCs w:val="14"/>
                <w:color w:val="auto"/>
              </w:rPr>
              <w:t>(4,805 )</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(4,805 )</w:t>
            </w: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Balance at March 31, 2023</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1,952</w:t>
            </w:r>
          </w:p>
        </w:tc>
        <w:tc>
          <w:tcPr>
            <w:tcW w:w="340" w:type="dxa"/>
            <w:vAlign w:val="bottom"/>
          </w:tcPr>
          <w:p>
            <w:pPr>
              <w:spacing w:after="0"/>
              <w:rPr>
                <w:sz w:val="14"/>
                <w:szCs w:val="14"/>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2,408,256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474,664</w:t>
            </w:r>
          </w:p>
        </w:tc>
        <w:tc>
          <w:tcPr>
            <w:tcW w:w="200" w:type="dxa"/>
            <w:vAlign w:val="bottom"/>
          </w:tcPr>
          <w:p>
            <w:pPr>
              <w:spacing w:after="0"/>
              <w:rPr>
                <w:sz w:val="14"/>
                <w:szCs w:val="14"/>
                <w:color w:val="auto"/>
              </w:rPr>
            </w:pPr>
          </w:p>
        </w:tc>
        <w:tc>
          <w:tcPr>
            <w:tcW w:w="1080" w:type="dxa"/>
            <w:vAlign w:val="bottom"/>
            <w:gridSpan w:val="2"/>
          </w:tcPr>
          <w:p>
            <w:pPr>
              <w:jc w:val="right"/>
              <w:ind w:right="74"/>
              <w:spacing w:after="0"/>
              <w:rPr>
                <w:sz w:val="20"/>
                <w:szCs w:val="20"/>
                <w:color w:val="auto"/>
              </w:rPr>
            </w:pPr>
            <w:r>
              <w:rPr>
                <w:rFonts w:ascii="Arial" w:cs="Arial" w:eastAsia="Arial" w:hAnsi="Arial"/>
                <w:sz w:val="14"/>
                <w:szCs w:val="14"/>
                <w:color w:val="auto"/>
              </w:rPr>
              <w:t>(471,990 )</w:t>
            </w:r>
          </w:p>
        </w:tc>
        <w:tc>
          <w:tcPr>
            <w:tcW w:w="920" w:type="dxa"/>
            <w:vAlign w:val="bottom"/>
          </w:tcPr>
          <w:p>
            <w:pPr>
              <w:jc w:val="right"/>
              <w:spacing w:after="0"/>
              <w:rPr>
                <w:sz w:val="20"/>
                <w:szCs w:val="20"/>
                <w:color w:val="auto"/>
              </w:rPr>
            </w:pPr>
            <w:r>
              <w:rPr>
                <w:rFonts w:ascii="Arial" w:cs="Arial" w:eastAsia="Arial" w:hAnsi="Arial"/>
                <w:sz w:val="14"/>
                <w:szCs w:val="14"/>
                <w:color w:val="auto"/>
              </w:rPr>
              <w:t>2,676</w:t>
            </w:r>
          </w:p>
        </w:tc>
        <w:tc>
          <w:tcPr>
            <w:tcW w:w="100" w:type="dxa"/>
            <w:vAlign w:val="bottom"/>
          </w:tcPr>
          <w:p>
            <w:pPr>
              <w:spacing w:after="0"/>
              <w:rPr>
                <w:sz w:val="14"/>
                <w:szCs w:val="14"/>
                <w:color w:val="auto"/>
              </w:rPr>
            </w:pPr>
          </w:p>
        </w:tc>
      </w:tr>
      <w:tr>
        <w:trPr>
          <w:trHeight w:val="20"/>
        </w:trPr>
        <w:tc>
          <w:tcPr>
            <w:tcW w:w="25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540" w:type="dxa"/>
            <w:vAlign w:val="bottom"/>
            <w:gridSpan w:val="2"/>
            <w:shd w:val="clear" w:color="auto" w:fill="CFF0FC"/>
          </w:tcPr>
          <w:p>
            <w:pPr>
              <w:ind w:left="20"/>
              <w:spacing w:after="0" w:line="156" w:lineRule="exact"/>
              <w:rPr>
                <w:sz w:val="20"/>
                <w:szCs w:val="20"/>
                <w:color w:val="auto"/>
              </w:rPr>
            </w:pPr>
            <w:r>
              <w:rPr>
                <w:rFonts w:ascii="Arial" w:cs="Arial" w:eastAsia="Arial" w:hAnsi="Arial"/>
                <w:sz w:val="14"/>
                <w:szCs w:val="14"/>
                <w:color w:val="auto"/>
              </w:rPr>
              <w:t>Redemption of Series F preferred stock</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ind w:left="500"/>
              <w:spacing w:after="0" w:line="156"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600" w:type="dxa"/>
            <w:vAlign w:val="bottom"/>
            <w:shd w:val="clear" w:color="auto" w:fill="CFF0FC"/>
          </w:tcPr>
          <w:p>
            <w:pPr>
              <w:ind w:left="440"/>
              <w:spacing w:after="0" w:line="156"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r>
      <w:tr>
        <w:trPr>
          <w:trHeight w:val="175"/>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Fractional adjustment</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(1,310 )</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154"/>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 of common stock, net</w:t>
            </w:r>
          </w:p>
        </w:tc>
        <w:tc>
          <w:tcPr>
            <w:tcW w:w="7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472,674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FF0FC"/>
          </w:tcPr>
          <w:p>
            <w:pPr>
              <w:spacing w:after="0"/>
              <w:rPr>
                <w:sz w:val="15"/>
                <w:szCs w:val="15"/>
                <w:color w:val="auto"/>
              </w:rPr>
            </w:pPr>
          </w:p>
        </w:tc>
      </w:tr>
      <w:tr>
        <w:trPr>
          <w:trHeight w:val="175"/>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15"/>
                <w:szCs w:val="15"/>
                <w:color w:val="auto"/>
              </w:rPr>
            </w:pPr>
          </w:p>
        </w:tc>
        <w:tc>
          <w:tcPr>
            <w:tcW w:w="1080" w:type="dxa"/>
            <w:vAlign w:val="bottom"/>
            <w:gridSpan w:val="2"/>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r>
      <w:tr>
        <w:trPr>
          <w:trHeight w:val="176"/>
        </w:trPr>
        <w:tc>
          <w:tcPr>
            <w:tcW w:w="2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74"/>
              <w:spacing w:after="0"/>
              <w:rPr>
                <w:sz w:val="20"/>
                <w:szCs w:val="20"/>
                <w:color w:val="auto"/>
              </w:rPr>
            </w:pPr>
            <w:r>
              <w:rPr>
                <w:rFonts w:ascii="Arial" w:cs="Arial" w:eastAsia="Arial" w:hAnsi="Arial"/>
                <w:sz w:val="14"/>
                <w:szCs w:val="14"/>
                <w:color w:val="auto"/>
              </w:rPr>
              <w:t>(1,482 )</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(1,482 )</w:t>
            </w:r>
          </w:p>
        </w:tc>
      </w:tr>
      <w:tr>
        <w:trPr>
          <w:trHeight w:val="20"/>
        </w:trPr>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5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Balance at June 30, 2023</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ind w:left="5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1,952</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ind w:left="44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2,879,620</w:t>
            </w:r>
          </w:p>
        </w:tc>
        <w:tc>
          <w:tcPr>
            <w:tcW w:w="8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476,131</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 xml:space="preserve">(473,472 ) </w:t>
            </w:r>
            <w:r>
              <w:rPr>
                <w:rFonts w:ascii="Arial" w:cs="Arial" w:eastAsia="Arial" w:hAnsi="Arial"/>
                <w:sz w:val="18"/>
                <w:szCs w:val="18"/>
                <w:color w:val="auto"/>
                <w:vertAlign w:val="subscript"/>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2,662</w:t>
            </w:r>
          </w:p>
        </w:tc>
        <w:tc>
          <w:tcPr>
            <w:tcW w:w="100" w:type="dxa"/>
            <w:vAlign w:val="bottom"/>
          </w:tcPr>
          <w:p>
            <w:pPr>
              <w:spacing w:after="0"/>
              <w:rPr>
                <w:sz w:val="14"/>
                <w:szCs w:val="14"/>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-2133600</wp:posOffset>
            </wp:positionV>
            <wp:extent cx="51435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13716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-1653540</wp:posOffset>
            </wp:positionV>
            <wp:extent cx="514350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24892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-847725</wp:posOffset>
            </wp:positionV>
            <wp:extent cx="7683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-847725</wp:posOffset>
            </wp:positionV>
            <wp:extent cx="7747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-847725</wp:posOffset>
            </wp:positionV>
            <wp:extent cx="7747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-847725</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-847725</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-847725</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-847725</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-847725</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-144780</wp:posOffset>
            </wp:positionV>
            <wp:extent cx="7683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-144780</wp:posOffset>
            </wp:positionV>
            <wp:extent cx="7747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-144780</wp:posOffset>
            </wp:positionV>
            <wp:extent cx="7747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-144780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-144780</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-144780</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-144780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-144780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For the 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used in operating activities:</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(6,287 )</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(9,398 )</w:t>
            </w: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318</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deferred financing costs and debt discount</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Change in fair value of liability instruments</w:t>
            </w:r>
          </w:p>
        </w:tc>
        <w:tc>
          <w:tcPr>
            <w:tcW w:w="10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operating lease right-of-use assets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Increases (decreases) in cash caused by changes in operating assets and liabilities: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Grant receivable</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Other current assets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(3,589 )</w:t>
            </w: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Change in operating lease liabilities</w:t>
            </w: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(56 )</w:t>
            </w: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(74 )</w:t>
            </w: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(1,643 )</w:t>
            </w: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77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20" w:type="dxa"/>
            <w:vAlign w:val="bottom"/>
          </w:tcPr>
          <w:p>
            <w:pPr>
              <w:ind w:left="56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(8,571 )</w:t>
            </w: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(6,516 )</w:t>
            </w:r>
          </w:p>
        </w:tc>
      </w:tr>
      <w:tr>
        <w:trPr>
          <w:trHeight w:val="229"/>
        </w:trPr>
        <w:tc>
          <w:tcPr>
            <w:tcW w:w="772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Cash flows used in investing activities: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(108 )</w:t>
            </w:r>
          </w:p>
        </w:tc>
        <w:tc>
          <w:tcPr>
            <w:tcW w:w="10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(348 )</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Purchase of intangible assets</w:t>
            </w:r>
          </w:p>
        </w:tc>
        <w:tc>
          <w:tcPr>
            <w:tcW w:w="10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(117 )</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 process research and development acquired</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(250 )</w:t>
            </w:r>
          </w:p>
        </w:tc>
      </w:tr>
      <w:tr>
        <w:trPr>
          <w:trHeight w:val="23"/>
        </w:trPr>
        <w:tc>
          <w:tcPr>
            <w:tcW w:w="77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20" w:type="dxa"/>
            <w:vAlign w:val="bottom"/>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(108 )</w:t>
            </w: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(715 )</w:t>
            </w:r>
          </w:p>
        </w:tc>
      </w:tr>
      <w:tr>
        <w:trPr>
          <w:trHeight w:val="229"/>
        </w:trPr>
        <w:tc>
          <w:tcPr>
            <w:tcW w:w="772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 payments of term loan obligation</w:t>
            </w:r>
          </w:p>
        </w:tc>
        <w:tc>
          <w:tcPr>
            <w:tcW w:w="10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(804 )</w:t>
            </w:r>
          </w:p>
        </w:tc>
        <w:tc>
          <w:tcPr>
            <w:tcW w:w="10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(804 )</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sale of common stock, net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w:t>
            </w:r>
          </w:p>
        </w:tc>
        <w:tc>
          <w:tcPr>
            <w:tcW w:w="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7,725</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1,454</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20" w:type="dxa"/>
            <w:vAlign w:val="bottom"/>
          </w:tcPr>
          <w:p>
            <w:pPr>
              <w:ind w:left="560"/>
              <w:spacing w:after="0"/>
              <w:rPr>
                <w:sz w:val="20"/>
                <w:szCs w:val="20"/>
                <w:color w:val="auto"/>
              </w:rPr>
            </w:pPr>
            <w:r>
              <w:rPr>
                <w:rFonts w:ascii="Arial" w:cs="Arial" w:eastAsia="Arial" w:hAnsi="Arial"/>
                <w:sz w:val="16"/>
                <w:szCs w:val="16"/>
                <w:color w:val="auto"/>
              </w:rPr>
              <w:t>Net decrease in cash and cash equivalents</w:t>
            </w: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(7,225 )</w:t>
            </w:r>
          </w:p>
        </w:tc>
        <w:tc>
          <w:tcPr>
            <w:tcW w:w="10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(310 )</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18,120</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10,895</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during period for:</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380"/>
              <w:spacing w:after="0"/>
              <w:rPr>
                <w:sz w:val="20"/>
                <w:szCs w:val="20"/>
                <w:color w:val="auto"/>
              </w:rPr>
            </w:pPr>
            <w:r>
              <w:rPr>
                <w:rFonts w:ascii="Arial" w:cs="Arial" w:eastAsia="Arial" w:hAnsi="Arial"/>
                <w:sz w:val="16"/>
                <w:szCs w:val="16"/>
                <w:color w:val="auto"/>
              </w:rPr>
              <w:t>Interest</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9"/>
                <w:szCs w:val="19"/>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7720" w:type="dxa"/>
            <w:vAlign w:val="bottom"/>
          </w:tcPr>
          <w:p>
            <w:pPr>
              <w:ind w:left="380"/>
              <w:spacing w:after="0"/>
              <w:rPr>
                <w:sz w:val="20"/>
                <w:szCs w:val="20"/>
                <w:color w:val="auto"/>
              </w:rPr>
            </w:pPr>
            <w:r>
              <w:rPr>
                <w:rFonts w:ascii="Arial" w:cs="Arial" w:eastAsia="Arial" w:hAnsi="Arial"/>
                <w:sz w:val="16"/>
                <w:szCs w:val="16"/>
                <w:color w:val="auto"/>
              </w:rPr>
              <w:t>Unpaid offering cost</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-3133090</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-2241550</wp:posOffset>
            </wp:positionV>
            <wp:extent cx="685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-2241550</wp:posOffset>
            </wp:positionV>
            <wp:extent cx="6858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-1341120</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-1341120</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-1041400</wp:posOffset>
            </wp:positionV>
            <wp:extent cx="685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-1041400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900" w:hanging="892"/>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88" w:lineRule="auto"/>
        <w:rPr>
          <w:sz w:val="20"/>
          <w:szCs w:val="20"/>
          <w:color w:val="auto"/>
        </w:rPr>
      </w:pPr>
      <w:r>
        <w:rPr>
          <w:rFonts w:ascii="Arial" w:cs="Arial" w:eastAsia="Arial" w:hAnsi="Arial"/>
          <w:sz w:val="16"/>
          <w:szCs w:val="16"/>
          <w:color w:val="auto"/>
        </w:rPr>
        <w:t>The accompanying unaudited condensed financial statements for the six months ended June 30, 2023 and 2022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2022 has been derived from the audited financial statements at December 31, 2022, but does not include all of the information and footnotes required by accounting principles generally accepted in the United States of America for complete financial statements. In the opinion of management, all adjustments (consisting of normal recurring adjustments) considered necessary for a fair presentation of the financial position and results of operations of Plus Therapeutics, Inc. (the “Company”) have been included. Operating results for the six months ended June 30, 2023 are not necessarily indicative of the results that may be expected for the year ending December 31, 2023. These financial statements should be read in conjunction with the financial statements and notes therein included in the Company’s Annual Report on Form 10-K for the year ended December 31, 2022, filed with the Securities and Exchange Commission on February 23, 2023.</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Amendments to Certificate of Incorporation and Reverse Stock Split</w:t>
      </w:r>
    </w:p>
    <w:p>
      <w:pPr>
        <w:spacing w:after="0" w:line="229" w:lineRule="exact"/>
        <w:rPr>
          <w:sz w:val="20"/>
          <w:szCs w:val="20"/>
          <w:color w:val="auto"/>
        </w:rPr>
      </w:pPr>
    </w:p>
    <w:p>
      <w:pPr>
        <w:ind w:left="520" w:right="40"/>
        <w:spacing w:after="0" w:line="275" w:lineRule="auto"/>
        <w:rPr>
          <w:sz w:val="20"/>
          <w:szCs w:val="20"/>
          <w:color w:val="auto"/>
        </w:rPr>
      </w:pPr>
      <w:r>
        <w:rPr>
          <w:rFonts w:ascii="Arial" w:cs="Arial" w:eastAsia="Arial" w:hAnsi="Arial"/>
          <w:sz w:val="17"/>
          <w:szCs w:val="17"/>
          <w:color w:val="auto"/>
        </w:rPr>
        <w:t>At the Annual Meeting of Stockholders of the Company held on April 20, 2023 (the “Annual Meeting”), the stockholders of the Company approved an amendment to the Company’s Amended and Restated Certificate of Incorporation (the “Charter”) to implement a reverse stock split of the Company’s common stock, par value $0.001 per share, with the ratio to be determined by the Board of Directors (the “Board”) of the Company, within a range of not less than 1-for-3 and not greater than 1-for-15. Subsequently, on April 21, 2023, the Board determined to fix the ratio for the reverse stock split at 1-for-15, without any change to its par value (the "Reverse Stock Split").</w:t>
      </w:r>
    </w:p>
    <w:p>
      <w:pPr>
        <w:spacing w:after="0" w:line="176"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On April 27, 2023, following stockholder and Board approval, the Company filed a Certificate of Amendment to its Charter (the “Amendment”), with the Secretary of State of the State of Delaware to effectuate the Reverse Stock Split. The Amendment became effective on May 1, 2023. Upon effectiveness of the Reverse Stock Split, the number of shares of the Company’s common stock (x) issued and outstanding decreased from approximately 37.4 million shares to approximately 2.5 million shares; (y) reserved for issuance upon exercise of outstanding warrants and options decreased from approximately 2.0 million shares to approximately 0.1 million shares, and (z) reserved but unallocated under the Company’s current equity incentive plans decreased from approximately 3.0 million common shares to approximately 0.2 million common shares. The Company's common stock began trading on the NASDAQ Capital Market on a post-split basis on May 1, 2023. The Company’s 5,000,000 shares of authorized Preferred Stock were not affected by the Reverse Stock Split. No fractional shares were issued in connection with the Reverse Stock Split, and accordingly, the outstanding number of shares post Reverse Stock Split was adjusted down by approximately 1,310 (post-effect of Reverse Stock Split) shares. Proportional adjustments for the reverse stock split were made to the Company’s outstanding stock options, warrants and equity incentive plans for all periods presented in the condensed financial statements in this Form 10-Q. The Company’s financial statements, and all references thereto have been retroactively adjusted to reflect the reverse split unless specifically stated otherwise.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Grant Receivable and Revenue Recognition</w:t>
      </w:r>
    </w:p>
    <w:p>
      <w:pPr>
        <w:spacing w:after="0" w:line="121"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has a collaboration in accordance with ASC Topic 808, Collaborative Arrangements (“ASC 808”). For grants outside the scope of ASC 808, the Company applies ASC 606 or International Accounting Standards No. 20 ("IAS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7"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The Company also considers the guidance in ASC Topic 730, Research and Development,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left="520"/>
        <w:spacing w:after="0" w:line="308" w:lineRule="auto"/>
        <w:rPr>
          <w:sz w:val="20"/>
          <w:szCs w:val="20"/>
          <w:color w:val="auto"/>
        </w:rPr>
      </w:pPr>
      <w:r>
        <w:rPr>
          <w:rFonts w:ascii="Arial" w:cs="Arial" w:eastAsia="Arial" w:hAnsi="Arial"/>
          <w:sz w:val="17"/>
          <w:szCs w:val="17"/>
          <w:color w:val="auto"/>
        </w:rPr>
        <w:t>Grant receivable represents qualified expenses incurred to date in excess of the amounts submitted for reimbursement. Deferred grant liability represents grant funds received or receivable for which the allowable expenses have not yet been incurred as of the balance sheet date.</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520"/>
        <w:spacing w:after="0" w:line="271"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The standard amends the impairment model by requiring entities to use a forward-looking approach based on expected losses to estimate credit losses for most financial assets and certain other instruments that aren’t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in the first quarter of 2023 for calendar-year SEC filers that are smaller reporting companies as of the one-time determination date. Early adoption is permitted beginning in 2019. The Company has adopted the new guidance as of January 1, 2023, and it did not have a material impact on its financial statements and related disclosures.</w:t>
      </w:r>
    </w:p>
    <w:p>
      <w:pPr>
        <w:spacing w:after="0" w:line="215" w:lineRule="exact"/>
        <w:rPr>
          <w:sz w:val="20"/>
          <w:szCs w:val="20"/>
          <w:color w:val="auto"/>
        </w:rPr>
      </w:pPr>
    </w:p>
    <w:p>
      <w:pPr>
        <w:ind w:left="900" w:hanging="891"/>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grant revenue recognition, reviewing assets for impairment, and determining the assumptions used in measuring stock-based compensation expense.</w:t>
      </w:r>
    </w:p>
    <w:p>
      <w:pPr>
        <w:spacing w:after="0" w:line="346" w:lineRule="exact"/>
        <w:rPr>
          <w:sz w:val="20"/>
          <w:szCs w:val="20"/>
          <w:color w:val="auto"/>
        </w:rPr>
      </w:pPr>
    </w:p>
    <w:p>
      <w:pPr>
        <w:ind w:left="900" w:hanging="892"/>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Going Concern</w:t>
      </w:r>
    </w:p>
    <w:p>
      <w:pPr>
        <w:spacing w:after="0" w:line="121"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The Company incurred a net loss of $(6.3) million for the six months ended June 30, 2023. The Company had an accumulated deficit of $473.5 million as of June 30, 2023. Additionally, the Company used net cash of $(8.6) million to fund its operating activities for the six months ended June 30, 2023. These factors raise substantial doubt about the Company’s ability to continue as a going concern.</w:t>
      </w:r>
    </w:p>
    <w:p>
      <w:pPr>
        <w:spacing w:after="0" w:line="76"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To date, the Company’s operating losses have been funded primarily from outside sources of invested capital from issuance of its common and preferred stocks, proceeds from its term loan and grant funding. However, the Company has had, and will continue to have, an ongoing need to raise additional cash from outside sources to fund its future clinical development programs and other operations. There can be no assurance that the Company will be able to continue to raise additional capital in the future. The Company’s inability to raise additional cash would have a material and adverse impact on its operations and would cause the Company to default on its term loan.</w:t>
      </w:r>
    </w:p>
    <w:p>
      <w:pPr>
        <w:spacing w:after="0" w:line="176"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On May 24, 2022, the Company received notice from The Nasdaq Stock Market LLC (“Nasdaq”) that, because the closing bid price for the Company’s common stock had fallen below $1.00 per share for 30 consecutive business days, the Company no longer complied with the minimum bid price requirement pursuant to Nasdaq Listing Rule 5550(a)(2) (the “Minimum Bid Requirement”).</w:t>
      </w:r>
    </w:p>
    <w:p>
      <w:pPr>
        <w:spacing w:after="0" w:line="184"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Nasdaq’s notice had no immediate effect on the listing or trading of the Company’s common stock. On November 22, 2022, the Company received a second letter from Nasdaq advising that the Company had been granted an additional 180 calendar days, or to May 22, 2023, to regain compliance with the Minimum Bid Requirement, in accordance with Nasdaq Listing Rule 5810(c)(3)(A).</w:t>
      </w:r>
    </w:p>
    <w:p>
      <w:pPr>
        <w:spacing w:after="0" w:line="184" w:lineRule="exact"/>
        <w:rPr>
          <w:sz w:val="20"/>
          <w:szCs w:val="20"/>
          <w:color w:val="auto"/>
        </w:rPr>
      </w:pPr>
    </w:p>
    <w:p>
      <w:pPr>
        <w:jc w:val="both"/>
        <w:ind w:left="520"/>
        <w:spacing w:after="0" w:line="293" w:lineRule="auto"/>
        <w:rPr>
          <w:sz w:val="20"/>
          <w:szCs w:val="20"/>
          <w:color w:val="auto"/>
        </w:rPr>
      </w:pPr>
      <w:r>
        <w:rPr>
          <w:rFonts w:ascii="Arial" w:cs="Arial" w:eastAsia="Arial" w:hAnsi="Arial"/>
          <w:sz w:val="16"/>
          <w:szCs w:val="16"/>
          <w:color w:val="auto"/>
        </w:rPr>
        <w:t>On April 20, 2023, the Company held its annual meeting of stockholders and its stockholders approved an amendment to the Company’s Charter, to effect a reverse stock split of its issued and outstanding shares of common stock, at a specific ratio, ranging from one-for-three (1:3) to one-for-fifteen (1:15). After receiving approval from the Board, on April 27, 2023, the Company filed the Amendment with the Secretary of State of the State of Delaware, to implement the Reverse Stock Split at the one-for-fifteen ratio (1:15). The Reverse Stock Split was effective on May 1, 2023, and the Company’s common stock began trading on The Nasdaq Capital Market on a post-split basis on May 1, 2023. On May 15, 2023, the Company received written notice from Nasdaq notifying the Company that it had regained compliance with the Minimum Bid Requirement.</w:t>
      </w:r>
    </w:p>
    <w:p>
      <w:pPr>
        <w:spacing w:after="0" w:line="16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Company continues to seek additional capital from other financing alternatives and other sources. Without additional capital, current working capital will not provide adequate funding for research and product development activities at their current levels. If sufficient capital is not raised, the Company will at a minimum need to significantly reduce or curtail its research and development and other operations, and this would negatively affect its ability to achieve corporate growth goals.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Should the Company fail to raise additional cash from outside sources, this would have a material adverse impact on its operations.</w:t>
      </w:r>
    </w:p>
    <w:p>
      <w:pPr>
        <w:spacing w:after="0" w:line="225"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accompanying condensed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83" w:lineRule="exact"/>
        <w:rPr>
          <w:sz w:val="20"/>
          <w:szCs w:val="20"/>
          <w:color w:val="auto"/>
        </w:rPr>
      </w:pPr>
    </w:p>
    <w:p>
      <w:pPr>
        <w:ind w:left="860" w:hanging="852"/>
        <w:spacing w:after="0"/>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9"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30"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 in active markets.</w:t>
      </w:r>
    </w:p>
    <w:p>
      <w:pPr>
        <w:spacing w:after="0" w:line="14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Certain warrants issued in an underwritten public offering in September 2019 (the “Series U Warrants”) are classified as liability instruments. The Company estimated the fair value of the Series U Warrants with the Black Scholes model. Because some of the inputs to the Company’s valuation model are either not observable or are not derived principally from or corroborated by observable market data by correlation or other means, the warrant liability is classified as Level 3 in the fair value hierarchy.</w:t>
      </w:r>
    </w:p>
    <w:p>
      <w:pPr>
        <w:spacing w:after="0" w:line="18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Liability-classified Series U Warrants are marked to market as of each balance sheet date until they are exercised or upon expiration, with the changes in fair value recorded as non-operating income or loss in the statements of operations. As of June 30, 2023, the fair value of the Series U Warrants was immaterial, and the change in the fair value of liability classified Series U Warrants during the three and six months ended June 30, 2023 and 2022 was immaterial.</w:t>
      </w:r>
    </w:p>
    <w:p>
      <w:pPr>
        <w:spacing w:after="0" w:line="183"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Obligations</w:t>
      </w:r>
    </w:p>
    <w:p>
      <w:pPr>
        <w:spacing w:after="0" w:line="243"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accrues interest at a floating rate of at least 8.95% per annum, comprised of a three-month LIBOR rate with a floor of 1.00% plus 7.95%. Pursuant to the Loan and Security Agreement, as amended, the Company made interest only payments through May 1, 2021, and thereafter is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w:t>
      </w:r>
    </w:p>
    <w:p>
      <w:pPr>
        <w:spacing w:after="0" w:line="84"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From September 2017 to March 2020, the Company entered into a total of nine amendments to the Term Loan that, among other things, extended the interest only period, required repayment of $3.1 million using the proceeds received from sale of the Company’s former UK and Japan subsidiaries in April 2019, increased the final payment, increased the final payment fee upon maturity or early repayment of the Term Loan, increased the minimum liquidity covenant level to $2.0 million and deferred the start date of principal repayment from May 1, 2020 to May 1, 2021 and extended the term of the Term Loan from September 1, 2021 to June 1, 2024.</w:t>
      </w:r>
    </w:p>
    <w:p>
      <w:pPr>
        <w:spacing w:after="0" w:line="93"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On June 28, 2023, the Company and Oxford entered into a tenth amendment to the Loan and Security Agreement (the “Tenth Amendment”), and revised the interest rate of the Loan to be the greater of: (1) 8.95%, or (2) the sum of 1-month Secured Overnight Financing Rate and 8.05%, effective July 1, 2023.</w:t>
      </w:r>
    </w:p>
    <w:p>
      <w:pPr>
        <w:spacing w:after="0" w:line="76"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The Term Loan, as amended, is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will be released upon the Company achieving a certain liquidity level when the total principal outstanding under the Loan and Security Agreement is less than $3.0 million. As of June 30, 2023, there was $2.0 million principal amount outstanding under the Term Loan, excluding the $3.2 million final payment fee, and the Company was in compliance with all of the debt covenants under the Loan and Security Agreement.</w:t>
      </w:r>
    </w:p>
    <w:p>
      <w:pPr>
        <w:spacing w:after="0" w:line="84"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Company’s interest expense for the three and six months ended June 30, 2023 and 2022 was $0.1 million and $0.2 million, and $0.2 million and $0.4 million, respectively. Interest expense is calculated using the effective interest method; therefore it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left="520"/>
        <w:spacing w:after="0" w:line="263" w:lineRule="auto"/>
        <w:rPr>
          <w:sz w:val="20"/>
          <w:szCs w:val="20"/>
          <w:color w:val="auto"/>
        </w:rPr>
      </w:pPr>
      <w:r>
        <w:rPr>
          <w:rFonts w:ascii="Arial" w:cs="Arial" w:eastAsia="Arial" w:hAnsi="Arial"/>
          <w:sz w:val="18"/>
          <w:szCs w:val="18"/>
          <w:color w:val="auto"/>
        </w:rPr>
        <w:t>inclusive of non-cash amortization in the amount of $0.1 million for each of the three and six months ended June 30, 2023, and $0.1 million and $0.2 million for the three and six months ended June 30, 2022, respectively, related to the amortization of the debt discount, capitalized loan costs, and accretion of final payment.</w:t>
      </w:r>
    </w:p>
    <w:p>
      <w:pPr>
        <w:spacing w:after="0" w:line="76"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The Loan and Security Agreement, as amended,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June 30, 2023, the Company has not received any notification or indication from Oxford that it intends to invoke the material adverse change clause.</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Loss per Share</w:t>
      </w:r>
    </w:p>
    <w:p>
      <w:pPr>
        <w:spacing w:after="0" w:line="121"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to outstanding but unexercised options, multiple series of convertible preferred stock, and warrants for all periods presented.</w:t>
      </w:r>
    </w:p>
    <w:p>
      <w:pPr>
        <w:spacing w:after="0" w:line="82"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following were excluded from the diluted loss per share calculation for the three and six months periods presented because their effect would be anti-dilutive:</w:t>
      </w:r>
    </w:p>
    <w:p>
      <w:pPr>
        <w:spacing w:after="0" w:line="351"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8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June 30, 2023</w:t>
            </w:r>
          </w:p>
        </w:tc>
        <w:tc>
          <w:tcPr>
            <w:tcW w:w="7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r>
      <w:tr>
        <w:trPr>
          <w:trHeight w:val="23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18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128,582</w:t>
            </w:r>
          </w:p>
        </w:tc>
        <w:tc>
          <w:tcPr>
            <w:tcW w:w="360" w:type="dxa"/>
            <w:vAlign w:val="bottom"/>
            <w:shd w:val="clear" w:color="auto" w:fill="CFF0FC"/>
          </w:tcPr>
          <w:p>
            <w:pPr>
              <w:spacing w:after="0"/>
              <w:rPr>
                <w:sz w:val="20"/>
                <w:szCs w:val="20"/>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78,925</w:t>
            </w:r>
          </w:p>
        </w:tc>
        <w:tc>
          <w:tcPr>
            <w:tcW w:w="100" w:type="dxa"/>
            <w:vAlign w:val="bottom"/>
            <w:shd w:val="clear" w:color="auto" w:fill="CFF0FC"/>
          </w:tcPr>
          <w:p>
            <w:pPr>
              <w:spacing w:after="0"/>
              <w:rPr>
                <w:sz w:val="20"/>
                <w:szCs w:val="20"/>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Outstanding warrants</w:t>
            </w:r>
          </w:p>
        </w:tc>
        <w:tc>
          <w:tcPr>
            <w:tcW w:w="740" w:type="dxa"/>
            <w:vAlign w:val="bottom"/>
          </w:tcPr>
          <w:p>
            <w:pPr>
              <w:jc w:val="right"/>
              <w:spacing w:after="0"/>
              <w:rPr>
                <w:sz w:val="20"/>
                <w:szCs w:val="20"/>
                <w:color w:val="auto"/>
              </w:rPr>
            </w:pPr>
            <w:r>
              <w:rPr>
                <w:rFonts w:ascii="Arial" w:cs="Arial" w:eastAsia="Arial" w:hAnsi="Arial"/>
                <w:sz w:val="18"/>
                <w:szCs w:val="18"/>
                <w:color w:val="auto"/>
              </w:rPr>
              <w:t>142,733</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142,746</w:t>
            </w:r>
          </w:p>
        </w:tc>
        <w:tc>
          <w:tcPr>
            <w:tcW w:w="100" w:type="dxa"/>
            <w:vAlign w:val="bottom"/>
          </w:tcPr>
          <w:p>
            <w:pPr>
              <w:spacing w:after="0"/>
              <w:rPr>
                <w:sz w:val="20"/>
                <w:szCs w:val="20"/>
                <w:color w:val="auto"/>
              </w:rPr>
            </w:pPr>
          </w:p>
        </w:tc>
      </w:tr>
      <w:tr>
        <w:trPr>
          <w:trHeight w:val="243"/>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Preferred stock</w:t>
            </w:r>
          </w:p>
        </w:tc>
        <w:tc>
          <w:tcPr>
            <w:tcW w:w="18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28,190</w:t>
            </w:r>
          </w:p>
        </w:tc>
        <w:tc>
          <w:tcPr>
            <w:tcW w:w="360" w:type="dxa"/>
            <w:vAlign w:val="bottom"/>
            <w:tcBorders>
              <w:bottom w:val="single" w:sz="8" w:color="CFF0FC"/>
            </w:tcBorders>
            <w:shd w:val="clear" w:color="auto" w:fill="CFF0FC"/>
          </w:tcPr>
          <w:p>
            <w:pPr>
              <w:spacing w:after="0"/>
              <w:rPr>
                <w:sz w:val="21"/>
                <w:szCs w:val="21"/>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rPr>
              <w:t>299,506</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249,862</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-170815</wp:posOffset>
            </wp:positionV>
            <wp:extent cx="60325"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-170815</wp:posOffset>
            </wp:positionV>
            <wp:extent cx="5969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232"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Grant Revenue</w:t>
      </w:r>
    </w:p>
    <w:p>
      <w:pPr>
        <w:spacing w:after="0" w:line="121" w:lineRule="exact"/>
        <w:rPr>
          <w:sz w:val="20"/>
          <w:szCs w:val="20"/>
          <w:color w:val="auto"/>
        </w:rPr>
      </w:pPr>
    </w:p>
    <w:p>
      <w:pPr>
        <w:jc w:val="both"/>
        <w:ind w:left="520"/>
        <w:spacing w:after="0" w:line="257" w:lineRule="auto"/>
        <w:rPr>
          <w:sz w:val="20"/>
          <w:szCs w:val="20"/>
          <w:color w:val="auto"/>
        </w:rPr>
      </w:pPr>
      <w:r>
        <w:rPr>
          <w:rFonts w:ascii="Arial" w:cs="Arial" w:eastAsia="Arial" w:hAnsi="Arial"/>
          <w:sz w:val="16"/>
          <w:szCs w:val="16"/>
          <w:color w:val="auto"/>
        </w:rPr>
        <w:t>On September 19, 2022, the Company entered into the CPRIT Contract, effective as of August 31, 2022, with CPRIT, pursuant to which CPRIT will provide the Company with the CPRIT Grant over a three-year period to fund the continued development of rhenium (</w:t>
      </w:r>
      <w:r>
        <w:rPr>
          <w:rFonts w:ascii="Arial" w:cs="Arial" w:eastAsia="Arial" w:hAnsi="Arial"/>
          <w:sz w:val="21"/>
          <w:szCs w:val="21"/>
          <w:color w:val="auto"/>
          <w:vertAlign w:val="superscript"/>
        </w:rPr>
        <w:t>186</w:t>
      </w:r>
      <w:r>
        <w:rPr>
          <w:rFonts w:ascii="Arial" w:cs="Arial" w:eastAsia="Arial" w:hAnsi="Arial"/>
          <w:sz w:val="16"/>
          <w:szCs w:val="16"/>
          <w:color w:val="auto"/>
        </w:rPr>
        <w:t xml:space="preserve">Re) obisbemeda (previously known as </w:t>
      </w:r>
      <w:r>
        <w:rPr>
          <w:rFonts w:ascii="Arial" w:cs="Arial" w:eastAsia="Arial" w:hAnsi="Arial"/>
          <w:sz w:val="21"/>
          <w:szCs w:val="21"/>
          <w:color w:val="auto"/>
          <w:vertAlign w:val="superscript"/>
        </w:rPr>
        <w:t>186</w:t>
      </w:r>
      <w:r>
        <w:rPr>
          <w:rFonts w:ascii="Arial" w:cs="Arial" w:eastAsia="Arial" w:hAnsi="Arial"/>
          <w:sz w:val="16"/>
          <w:szCs w:val="16"/>
          <w:color w:val="auto"/>
        </w:rPr>
        <w:t>RNL)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based on specific dollar thresholds and tiered low single digit royalty rates until CPRIT receives the aggregate amount of 400% of the proceeds awarded under the CPRIT Grant, and certain reporting requirements.</w:t>
      </w:r>
    </w:p>
    <w:p>
      <w:pPr>
        <w:spacing w:after="0" w:line="78"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pacing w:after="0" w:line="8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retains ownership over any intellectual property developed under the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88" w:lineRule="exact"/>
        <w:rPr>
          <w:sz w:val="20"/>
          <w:szCs w:val="20"/>
          <w:color w:val="auto"/>
        </w:rPr>
      </w:pPr>
    </w:p>
    <w:p>
      <w:pPr>
        <w:jc w:val="both"/>
        <w:ind w:left="520" w:right="20"/>
        <w:spacing w:after="0" w:line="342" w:lineRule="auto"/>
        <w:rPr>
          <w:sz w:val="20"/>
          <w:szCs w:val="20"/>
          <w:color w:val="auto"/>
        </w:rPr>
      </w:pPr>
      <w:r>
        <w:rPr>
          <w:rFonts w:ascii="Arial" w:cs="Arial" w:eastAsia="Arial" w:hAnsi="Arial"/>
          <w:sz w:val="16"/>
          <w:szCs w:val="16"/>
          <w:color w:val="auto"/>
        </w:rPr>
        <w:t>The Company determined that the CPRIT Contract is not in the scope of ASC 808, ASC 958-605, or ASC 606. Applying IAS 20 by analogy, the Company recognizes proceeds received under the CPRIT Contract as grant revenue on the statement of operations when related costs are incurred.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left="520"/>
        <w:spacing w:after="0" w:line="296" w:lineRule="auto"/>
        <w:rPr>
          <w:sz w:val="20"/>
          <w:szCs w:val="20"/>
          <w:color w:val="auto"/>
        </w:rPr>
      </w:pPr>
      <w:r>
        <w:rPr>
          <w:rFonts w:ascii="Arial" w:cs="Arial" w:eastAsia="Arial" w:hAnsi="Arial"/>
          <w:sz w:val="16"/>
          <w:szCs w:val="16"/>
          <w:color w:val="auto"/>
        </w:rPr>
        <w:t>During the three months ended June 30, 2023, the Company identified eligible costs of approximately $637,000 and $168,000 that were incurred in the fourth quarter of 2022 and the three months ended March 31, 2023, respectively, that were reimbursable under the CPRIT arrangement. The Company determined that these costs should have been recorded in these respective periods as grant revenue. The Company assessed the impact of this error on the Company’s previously issued financial statements and determined that it was immaterial. As a result, an out-of-period adjustment of approximately $805,000 has been recorded as an increase in grant revenue in the three months ended June 30, 2023.</w:t>
      </w:r>
    </w:p>
    <w:p>
      <w:pPr>
        <w:spacing w:after="0" w:line="161"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Company recognized $1.9 million and $2.4 million in grant revenue from the CPRIT Contract during the three and six months ended June 30, 2023, respectively. No CPRIT revenue was recognized in the three and six months ended June 30, 2022.</w:t>
      </w:r>
    </w:p>
    <w:p>
      <w:pPr>
        <w:spacing w:after="0" w:line="234" w:lineRule="exact"/>
        <w:rPr>
          <w:sz w:val="20"/>
          <w:szCs w:val="20"/>
          <w:color w:val="auto"/>
        </w:rPr>
      </w:pPr>
    </w:p>
    <w:p>
      <w:pPr>
        <w:ind w:left="520" w:right="8260" w:hanging="512"/>
        <w:spacing w:after="0" w:line="378" w:lineRule="auto"/>
        <w:tabs>
          <w:tab w:leader="none" w:pos="44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Leases</w:t>
      </w:r>
    </w:p>
    <w:p>
      <w:pPr>
        <w:jc w:val="both"/>
        <w:ind w:left="520"/>
        <w:spacing w:after="0" w:line="254" w:lineRule="auto"/>
        <w:rPr>
          <w:sz w:val="20"/>
          <w:szCs w:val="20"/>
          <w:color w:val="auto"/>
        </w:rPr>
      </w:pPr>
      <w:r>
        <w:rPr>
          <w:rFonts w:ascii="Arial" w:cs="Arial" w:eastAsia="Arial" w:hAnsi="Arial"/>
          <w:sz w:val="18"/>
          <w:szCs w:val="18"/>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the Company has the ability to renew for three additional one-year periods. The Charlottesville Lease is currently set to expire on March 31, 2024, and is renewable twice for twelve months each time. On March 31, 2023, Company believed that it was reasonably certain that the Charlottesville Lease will be renewed through March 31, 2026, and as a result, it remeasured the related lease liability as of March 31, 2023 to be $80,000 using the then-in-effect discount rate of 12.76%.</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Services Agreement and Sales Order with Medidata</w:t>
      </w:r>
    </w:p>
    <w:p>
      <w:pPr>
        <w:spacing w:after="0" w:line="117"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On March 31, 2022, the Company and Medidata Solutions, Inc. (“Medidata”) entered into a Sales Order (the “Sales Order”), pursuant to which Medidata will build a Synthetic Control Arm</w:t>
      </w:r>
      <w:r>
        <w:rPr>
          <w:rFonts w:ascii="Arial" w:cs="Arial" w:eastAsia="Arial" w:hAnsi="Arial"/>
          <w:sz w:val="20"/>
          <w:szCs w:val="20"/>
          <w:color w:val="auto"/>
          <w:vertAlign w:val="superscript"/>
        </w:rPr>
        <w:t>®</w:t>
      </w:r>
      <w:r>
        <w:rPr>
          <w:rFonts w:ascii="Arial" w:cs="Arial" w:eastAsia="Arial" w:hAnsi="Arial"/>
          <w:sz w:val="18"/>
          <w:szCs w:val="18"/>
          <w:color w:val="auto"/>
        </w:rPr>
        <w:t xml:space="preserve"> (“SCA”) platform that facilitates the use of historical clinical data to incorporate into the Company’s Phase 2 clinical trial of rhenium (</w:t>
      </w:r>
      <w:r>
        <w:rPr>
          <w:rFonts w:ascii="Arial" w:cs="Arial" w:eastAsia="Arial" w:hAnsi="Arial"/>
          <w:sz w:val="20"/>
          <w:szCs w:val="20"/>
          <w:color w:val="auto"/>
          <w:vertAlign w:val="superscript"/>
        </w:rPr>
        <w:t>186</w:t>
      </w:r>
      <w:r>
        <w:rPr>
          <w:rFonts w:ascii="Arial" w:cs="Arial" w:eastAsia="Arial" w:hAnsi="Arial"/>
          <w:sz w:val="18"/>
          <w:szCs w:val="18"/>
          <w:color w:val="auto"/>
        </w:rPr>
        <w:t>Re) obisbemeda in recurrent glioblastoma (“GBM”). The Sales Order is governed under the terms of a services agreement, dated November 5, 2021.</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Sales Order had a term of six months, and work under the Sales Order has been completed.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Piramal Master Services Agreement</w:t>
      </w:r>
    </w:p>
    <w:p>
      <w:pPr>
        <w:spacing w:after="0" w:line="117"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 xml:space="preserve">On January 8, 2021, the Company entered into a Master Services Agreement (the “MSA”) with Piramal Pharma Solutions, Inc. (“Piramal”), for Piramal to perform certain services related to the development, manufacture, and supply of the Company’s rhenium </w:t>
      </w:r>
      <w:r>
        <w:rPr>
          <w:rFonts w:ascii="Arial" w:cs="Arial" w:eastAsia="Arial" w:hAnsi="Arial"/>
          <w:sz w:val="21"/>
          <w:szCs w:val="21"/>
          <w:color w:val="auto"/>
        </w:rPr>
        <w:t>(</w:t>
      </w:r>
      <w:r>
        <w:rPr>
          <w:rFonts w:ascii="Arial" w:cs="Arial" w:eastAsia="Arial" w:hAnsi="Arial"/>
          <w:sz w:val="20"/>
          <w:szCs w:val="20"/>
          <w:color w:val="auto"/>
          <w:vertAlign w:val="superscript"/>
        </w:rPr>
        <w:t>186</w:t>
      </w:r>
      <w:r>
        <w:rPr>
          <w:rFonts w:ascii="Arial" w:cs="Arial" w:eastAsia="Arial" w:hAnsi="Arial"/>
          <w:sz w:val="18"/>
          <w:szCs w:val="18"/>
          <w:color w:val="auto"/>
        </w:rPr>
        <w:t>Re) obisbemeda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w:t>
      </w:r>
    </w:p>
    <w:p>
      <w:pPr>
        <w:spacing w:after="0" w:line="83"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June 30, 2023, the Company did not have any clinical research study obligations.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On December 9, 2022, the Company entered into a settlement agreement (the “Settlement Agreement”) with Lorem Vascular, Pte. Ltd. (“Lorem”) to settle a prior litigation matter. Under the terms of the Settlement Agreement, the Company made a payment to Lorem, and Lorem moved to dismiss the lawsuit with prejudice. The Settlement Agreement released the Company from all claims made by Lorem. The parties to the Settlement Agreement recognized that it did not constitute an admission of liability, wrongdoing, or any matter of fact or law. The Settlement was conditioned on the customary terms contained in the Settlement Agreement and was approved by the Court and the case was dismissed on January 17, 2023. As of December 31, 2022, the Company accrued the settlement amount, as well as the accounts that the Company has confirmed to be recoverable under its insurance claims on the matter. The net amount of $1.4 million that was not recoverable under the Company’s insurance has been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left="520" w:right="20"/>
        <w:spacing w:after="0" w:line="277" w:lineRule="auto"/>
        <w:rPr>
          <w:sz w:val="20"/>
          <w:szCs w:val="20"/>
          <w:color w:val="auto"/>
        </w:rPr>
      </w:pPr>
      <w:r>
        <w:rPr>
          <w:rFonts w:ascii="Arial" w:cs="Arial" w:eastAsia="Arial" w:hAnsi="Arial"/>
          <w:sz w:val="18"/>
          <w:szCs w:val="18"/>
          <w:color w:val="auto"/>
        </w:rPr>
        <w:t>reflected as an expense in the condensed statement of operations for the year ended December 31, 2022. The full settlement amount was paid in January 2023. All legal costs related to the Lorem Claim were expensed as incurred.</w:t>
      </w:r>
    </w:p>
    <w:p>
      <w:pPr>
        <w:spacing w:after="0" w:line="76"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color w:val="auto"/>
        </w:rPr>
        <w:t>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16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UT Health Science Center at San Antonio (“UTHSCSA”) License Agreement</w:t>
      </w:r>
    </w:p>
    <w:p>
      <w:pPr>
        <w:spacing w:after="0" w:line="11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8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Pursuant to the UTHSCSA License Agreement, the Company was required to make an upfront payment, which was recorded as in-process research and development acquired in the condensed statement of operations for the year ended December 31, 2021. The upfront payment of $0.3 million was paid in cash in January 2022.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NanoTx License Agreement</w:t>
      </w:r>
    </w:p>
    <w:p>
      <w:pPr>
        <w:spacing w:after="0" w:line="117"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187"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June 30, 2023, the Company accrued $0.8 million of payments due to NanoTx as a result of the CPRIT grant received (Note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520"/>
        <w:spacing w:after="0" w:line="342" w:lineRule="auto"/>
        <w:rPr>
          <w:sz w:val="20"/>
          <w:szCs w:val="20"/>
          <w:color w:val="auto"/>
        </w:rPr>
      </w:pPr>
      <w:r>
        <w:rPr>
          <w:rFonts w:ascii="Arial" w:cs="Arial" w:eastAsia="Arial" w:hAnsi="Arial"/>
          <w:sz w:val="16"/>
          <w:szCs w:val="16"/>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Series F Preferred Stock</w:t>
      </w:r>
    </w:p>
    <w:p>
      <w:pPr>
        <w:spacing w:after="0" w:line="117"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color w:val="auto"/>
        </w:rPr>
        <w:t>On March 3, 2023, the Company filed a certificate of designation (the “Certificate of Designation”) with the Secretary of State of the State of Delaware, effective as of the time of filing, designating the rights, preferences, privileges and restrictions of the Series F Preferred Stock, with the total authorization of one (1) share of Series F Preferred Stock. The Certificate of Designation provided that the share of Series F Preferred Stock will have 50,000,000 votes per share of Series F Preferred Stock and will vote together with the Company’s common stock, $0.001 par value (the “Common Stock”) as a single class exclusively with respect to any proposal to amend the Company’s Charter to effect a reverse stock split of the Common Stock (the “Reverse Stock Split”). On March 3, 2023, the Company entered into a Subscription and Investment Representation Agreement (the “Subscription Agreement”) with Richard J. Hawkins, Chairman of the board of directors of the Company, who is an accredited investor (the “Purchaser”), pursuant to which the Company agreed to issue and sell one (1) share of the Company’s Series F Preferred Stock, par value $0.001 per share (the “Preferred Stock”), to the Purchaser for $1,000 in cash. The sale closed on March 3, 2023.</w:t>
      </w:r>
    </w:p>
    <w:p>
      <w:pPr>
        <w:spacing w:after="0" w:line="73"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color w:val="auto"/>
        </w:rPr>
        <w:t>At the Company’s annual meeting of stockholders held on April 20, 2023, the Series F Preferred Stock was voted, without action by the holder, on the proposal to approve the Reverse Stock Split in the same proportion as shares of Common Stock voted to approve the Reverse Stock Split. The Series F Preferred Stock otherwise had no voting rights except as otherwise required by the General Corporation Law of the State of Delaware.</w:t>
      </w:r>
    </w:p>
    <w:p>
      <w:pPr>
        <w:spacing w:after="0" w:line="41" w:lineRule="exact"/>
        <w:rPr>
          <w:sz w:val="20"/>
          <w:szCs w:val="20"/>
          <w:color w:val="auto"/>
        </w:rPr>
      </w:pPr>
    </w:p>
    <w:p>
      <w:pPr>
        <w:jc w:val="both"/>
        <w:ind w:left="520" w:right="20"/>
        <w:spacing w:after="0" w:line="277" w:lineRule="auto"/>
        <w:rPr>
          <w:sz w:val="20"/>
          <w:szCs w:val="20"/>
          <w:color w:val="auto"/>
        </w:rPr>
      </w:pPr>
      <w:r>
        <w:rPr>
          <w:rFonts w:ascii="Arial" w:cs="Arial" w:eastAsia="Arial" w:hAnsi="Arial"/>
          <w:sz w:val="18"/>
          <w:szCs w:val="18"/>
          <w:color w:val="auto"/>
        </w:rPr>
        <w:t>The Series F Preferred Stock was not convertible into, or exchangeable for, shares of any other class or series of stock or other securities of the Company. The Series F Preferred Stock had no rights with respect to any distribution of assets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including upon a liquidation, bankruptcy, reorganization, merger, acquisition, sale, dissolution or winding up of the Company, whether voluntarily or involuntarily. The holder of the Series F Preferred Stock was not entitled to receive dividends of any kind.</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outstanding share of Series F Preferred Stock was redeemed in whole, automatically effective upon the approval by the Company’s stockholders of a Reverse Stock Split. Upon such redemption, the holder of the Series F Preferred Stock received consideration of $1,000 in cash.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and C Preferred Stock</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2023,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25, 2019, the Company completed an underwritten public offering. The Company issued 19,266 shares of its common stock, along with pre-funded warrants to purchase 180,733 shares of its common stock and Series U Warrants to purchase 230,000 shares of its common stock at $75.00 per share. The Series U Warrants have a term of five years from the issuance date. In addition, the Company issued warrants to H.C. Wainwright &amp; Co., LLC, as representatives of the underwriters, to purchase 5,000 shares of its common stock at $93.75 per share with a term of 5 years from the issuance date, in the form of Series U Warrants (the “Representative Warrants”).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were 142,733 outstanding Series U Warrants which can be exercised into an aggregate of 142,733 shares of common stock at a weighted average exercise price of $34.10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Purchase Agreements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2, 2022, the Company entered into a purchase agreement (the “2022 Purchase Agreement”) and registration rights agreement pursuant to which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 Lincoln Park has no right to require the Company to sell any shares of common stock to Lincoln Park, but Lincoln Park is obligated to make purchases as the Company directs, subject to certain conditions.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execution of the 2022 Purchase Agreement, the Company paid $125,000 in cash as the initial commitment fee, and issued 32,846 shares as the initial commitment shares, to Lincoln Park as consideration for its irrevocable commitment to purchase shares of the Company’s common stock at its direction under the Purchase Agreement. The Company has agreed to pay an additional commitment fee, which it may elect to pay in cash and/or shares of its common stock, upon receipt of $25.0 million aggregate gross proceeds from sales of common stock to Lincoln Park under the 2022 Purchase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17, 2022, a registration statement was declared effective to cover the resale of up to 633,333 shares of the Company’s common stock comprised of (i) the 32,846 initial commitment shares, and (ii) up to 600,486 that the Company has reserved for issuance and sale to Lincoln Park under the Purchase Agreement from time to time from and after the date of this prospectus. The Company cannot sell more shares under the 2022 Purchase Agreement without registering additional shares.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spacing w:after="0" w:line="3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49"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During the period from August 17, 2022 to December 31, 2022, the Company issued 266,666 shares under the 2022 Purchase Agreement for net proceeds of approximately $3.2 million. The Company issued 260,500 shares under the 2022 Purchase Agreement for net proceeds of approximately $0.7 million from January 1, 2023 to June 30, 2023.</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30, 2020, the Company entered into a purchase agreement (the “2020 Purchase Agreement”) and registration rights agreement pursuant to which Lincoln Park committed to purchase up to $25.0 million of the Company’s common stock. Under the terms and subject to the conditions of the 2020 Purchase Agreement, the Company had the right, but not the obligation, to sell to Lincoln Park, and Lincoln Park was obligated to purchase up to $25.0 million of the Company’s common stock. Such sales of common stock by the Company were subject to certain limitations, and could occur from time to time, at the Company’s sole discretion, over the 36-month period commencing on November 6, 2020, subject to the satisfaction of certain conditions.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2021, the Company issued 379,012 shares of its common stock under the 2020 Purchase Agreement for net proceeds of approximately $12.5 million. During the year ended December 31, 2022, the Company issued 377,666 shares of its common stock under the 2020 Purchase Agreement for net proceeds of approximately $7.0 million. The Company no longer has any additional shares of common stock registered to sell under the 2020 Purchase Agreement and has terminated the 2020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Issuances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9, 2022, the Company entered into an Equity Distribution Agreement (the “September 2022 Distribution Agreement”) with Canaccord Genuity LLC (“Canaccord”), pursuant to which the Company may issue and sell, from time to time, shares of its common stock having an aggregate offering price of up to $5,000,000, depending on market demand, with Canaccord acting as an agent for sales. Sales of the Company’s common stock may be made by any method permitted by law deemed to be an “at-the-market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The Company has no obligation to sell any of its common stock. The Company may instruct Canaccord not to sell any common stock if the sales cannot be effected at or above the price designated by the Company from time to time and the Company may at any time suspend sales pursuant to the September 2022 Distribution Agreement. During the period from September 9, 2022 to December 31, 2022, the Company issued 68,758 shares of its common stock under the September 2022 Distribution Agreement for net proceeds of approximately $0.6 million. From January 1, 2023 through June 30, 2023, the Company issued 380,338 shares under the September 2022 Distribution Agreement for net proceeds of approximately $1.5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pay Canaccord a commission of up to 3.0% of the gross proceeds from the sale of its common stock under the September 2022 Distribution Agreement. The Company has also agreed to reimburse Canaccord for its reasonable documented out-of-pocket expenses, including fees and disbursements of its counsel, in the amount of $50,000. In addition, the Company has agreed to provide customary indemnification rights to Canaccord.</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offering pursuant to the September 2022 Distribution Agreement will terminate upon the earlier of (1) the issuance and sale of all shares of the Company’s common stock subject to the September 2022 Distribution Agreement, or (2) the termination of the September 2022 Distribution Agreement as permitted therein, including by either party at any time without liability of any party.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14, 2022, the Company entered into an Equity Distribution Agreement (the “January 2022 Distribution Agreement”) with Canaccord, pursuant to which the Company could issue and sell, from time to time, shares of its common stock having an aggregate offering price of up to $5,000,000, with Canaccord acting as an agent for sales. The Company had no obligation to sell any of the Company’s shares and it could instruct Canaccord not to sell any shares if the sales could not be effected at or above the price designated by the Company from time to time and the Company could at any time suspend sales pursuant to the January 2022 Distribution Agreement. During the year ended December 31, 2022, the Company issued 460,151 shares under the January 2022 Distribution Agreement for net proceeds of approximately $4.8 million. The January 2022 Distribution Agreement has been terminated after all available registered shares were fully utilized.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15, 2022, the Company announced that its Board of Directors has approved a share repurchase program pursuant to which the Company is authorized to repurchase up to $2.0 million of the Company’s outstanding common stock. The timing and amount of any shares repurchased will be determined based on the Company’s evaluation of market conditions and other factors, including consent of Oxford. Repurchases may be made from time to time on the open market over the course of 12 months. The</w:t>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41" w:right="339" w:bottom="1440" w:gutter="0" w:footer="0" w:header="0"/>
        </w:sectPr>
      </w:pPr>
    </w:p>
    <w:bookmarkStart w:id="15" w:name="page16"/>
    <w:bookmarkEnd w:id="15"/>
    <w:p>
      <w:pPr>
        <w:jc w:val="both"/>
        <w:ind w:left="520" w:right="20"/>
        <w:spacing w:after="0" w:line="277" w:lineRule="auto"/>
        <w:rPr>
          <w:sz w:val="20"/>
          <w:szCs w:val="20"/>
          <w:color w:val="auto"/>
        </w:rPr>
      </w:pPr>
      <w:r>
        <w:rPr>
          <w:rFonts w:ascii="Arial" w:cs="Arial" w:eastAsia="Arial" w:hAnsi="Arial"/>
          <w:sz w:val="18"/>
          <w:szCs w:val="18"/>
          <w:color w:val="auto"/>
        </w:rPr>
        <w:t>Company is not obligated to acquire any shares and the program may be discontinued or suspended at any time. Through the date of filing of this Form 10-Q, the Company has not repurchased any of its common stock under this share repurchase program.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35"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June 30, 2023, there were 6,026 shares of common stock remaining and available for future issuances under the 2015 Plan.</w:t>
      </w:r>
    </w:p>
    <w:p>
      <w:pPr>
        <w:spacing w:after="0" w:line="149" w:lineRule="exact"/>
        <w:rPr>
          <w:sz w:val="20"/>
          <w:szCs w:val="20"/>
          <w:color w:val="auto"/>
        </w:rPr>
      </w:pPr>
    </w:p>
    <w:p>
      <w:pPr>
        <w:jc w:val="both"/>
        <w:ind w:left="520"/>
        <w:spacing w:after="0" w:line="293" w:lineRule="auto"/>
        <w:rPr>
          <w:sz w:val="20"/>
          <w:szCs w:val="20"/>
          <w:color w:val="auto"/>
        </w:rPr>
      </w:pPr>
      <w:r>
        <w:rPr>
          <w:rFonts w:ascii="Arial" w:cs="Arial" w:eastAsia="Arial" w:hAnsi="Arial"/>
          <w:sz w:val="16"/>
          <w:szCs w:val="16"/>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236,666 shares of common stock, plus the number of shares available for issuance is increased to the extent that awards granted under the 2020 Plan and the Company’s 2014 Equity Incentive Plan are forfeited or expire (except as otherwise provided in the 2020 Plan). As of June 30, 2023, there were 192,131 shares remaining and available for future issuances under the 2020 Plan.</w:t>
      </w:r>
    </w:p>
    <w:p>
      <w:pPr>
        <w:spacing w:after="0" w:line="164"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the six months ended June 30, 2023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86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Exercise Price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Contractual Life</w:t>
            </w:r>
          </w:p>
        </w:tc>
        <w:tc>
          <w:tcPr>
            <w:tcW w:w="260" w:type="dxa"/>
            <w:vAlign w:val="bottom"/>
          </w:tcPr>
          <w:p>
            <w:pPr>
              <w:spacing w:after="0"/>
              <w:rPr>
                <w:sz w:val="15"/>
                <w:szCs w:val="15"/>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78,334</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55,951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Cancelled/forfeited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(5,703 )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219.45</w:t>
            </w: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June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128,582</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34.35</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top w:val="single" w:sz="8" w:color="CFF0FC"/>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tcPr>
          <w:p>
            <w:pPr>
              <w:jc w:val="right"/>
              <w:ind w:right="37"/>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as of June 30, 2023</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56,616</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Vested and expected to be vested as of June 30, 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121,665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35.40</w:t>
            </w:r>
          </w:p>
        </w:tc>
        <w:tc>
          <w:tcPr>
            <w:tcW w:w="1200" w:type="dxa"/>
            <w:vAlign w:val="bottom"/>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-548005</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-205105</wp:posOffset>
            </wp:positionV>
            <wp:extent cx="6858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82"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As of June 30, 2023, the total compensation cost related to non-vested stock options not yet recognized for all the Company’s plans is approximately $0.9 million, which is expected to be recognized as a result of vesting under service conditions over a weighted average period of 2.11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2022, as filed on February 23, 2023.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report, as well as under “Part I – Item 1A - Risk Factors” in our Annual Report on Form 10-K for the year ended December 31, 2022, in other subsequent filings with the SEC, and elsewhere in this Form 10-Q. These statements, like all statements in this report, speak only as of the date of this Form 10-Q (unless another date is indicated), and we undertake no obligation to update or revise these statements in light of future developments.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or MD&amp;A, includes the following sections:</w:t>
      </w:r>
    </w:p>
    <w:p>
      <w:pPr>
        <w:spacing w:after="0" w:line="117" w:lineRule="exact"/>
        <w:rPr>
          <w:sz w:val="20"/>
          <w:szCs w:val="20"/>
          <w:color w:val="auto"/>
        </w:rPr>
      </w:pPr>
    </w:p>
    <w:p>
      <w:pPr>
        <w:ind w:left="880" w:right="3680"/>
        <w:spacing w:after="0" w:line="422" w:lineRule="auto"/>
        <w:rPr>
          <w:sz w:val="20"/>
          <w:szCs w:val="20"/>
          <w:color w:val="auto"/>
        </w:rPr>
      </w:pPr>
      <w:r>
        <w:rPr>
          <w:rFonts w:ascii="Arial" w:cs="Arial" w:eastAsia="Arial" w:hAnsi="Arial"/>
          <w:sz w:val="16"/>
          <w:szCs w:val="16"/>
          <w:color w:val="auto"/>
        </w:rPr>
        <w:t>Overview that discusses our operating results and some of the trends that affect our business. Results of Operations that includes a more detailed discussion of our revenue and expenses.</w:t>
      </w:r>
    </w:p>
    <w:p>
      <w:pPr>
        <w:ind w:left="900" w:hanging="15"/>
        <w:spacing w:after="0" w:line="277" w:lineRule="auto"/>
        <w:rPr>
          <w:sz w:val="20"/>
          <w:szCs w:val="20"/>
          <w:color w:val="auto"/>
        </w:rPr>
      </w:pPr>
      <w:r>
        <w:rPr>
          <w:rFonts w:ascii="Arial" w:cs="Arial" w:eastAsia="Arial" w:hAnsi="Arial"/>
          <w:sz w:val="18"/>
          <w:szCs w:val="18"/>
          <w:color w:val="auto"/>
        </w:rPr>
        <w:t>Liquidity and Capital Resources that discusses key aspects of our statements of cash flows, changes in our financial position and our financial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Plus Therapeutics, Inc. is a U.S. pharmaceutical company developing targeted radiotherapeutics with advanced platform technologies for central nervous system (“CNS”)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 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19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193"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18"/>
          <w:szCs w:val="18"/>
          <w:color w:val="auto"/>
        </w:rPr>
        <w:t>Our lead radiotherapeutic candidate,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(formerly, “</w:t>
      </w:r>
      <w:r>
        <w:rPr>
          <w:rFonts w:ascii="Arial" w:cs="Arial" w:eastAsia="Arial" w:hAnsi="Arial"/>
          <w:sz w:val="24"/>
          <w:szCs w:val="24"/>
          <w:color w:val="auto"/>
          <w:vertAlign w:val="superscript"/>
        </w:rPr>
        <w:t>186</w:t>
      </w:r>
      <w:r>
        <w:rPr>
          <w:rFonts w:ascii="Arial" w:cs="Arial" w:eastAsia="Arial" w:hAnsi="Arial"/>
          <w:sz w:val="18"/>
          <w:szCs w:val="18"/>
          <w:color w:val="auto"/>
        </w:rPr>
        <w:t>RNL”),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Arial" w:cs="Arial" w:eastAsia="Arial" w:hAnsi="Arial"/>
          <w:sz w:val="24"/>
          <w:szCs w:val="24"/>
          <w:color w:val="auto"/>
          <w:vertAlign w:val="superscript"/>
        </w:rPr>
        <w:t>188</w:t>
      </w:r>
      <w:r>
        <w:rPr>
          <w:rFonts w:ascii="Arial" w:cs="Arial" w:eastAsia="Arial" w:hAnsi="Arial"/>
          <w:sz w:val="18"/>
          <w:szCs w:val="18"/>
          <w:color w:val="auto"/>
        </w:rPr>
        <w:t>RNL-BAM”) is designed to treat many solid organ cancers including primary and secondary liver cancers by intra-arterial injection.</w:t>
      </w:r>
    </w:p>
    <w:p>
      <w:pPr>
        <w:spacing w:after="0" w:line="20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Our headquarters and manufacturing facilities are in Texas and are in proximity to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87"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18"/>
          <w:szCs w:val="18"/>
          <w:color w:val="auto"/>
        </w:rPr>
        <w:t>In addition to our headquarters in Austin, we have an established, GMP-validated research and development and manufacturing facility in San Antonio, Texas, tailored to produce Current Good Manufacturing Practice (“cGMP</w:t>
      </w:r>
      <w:r>
        <w:rPr>
          <w:rFonts w:ascii="Arial" w:cs="Arial" w:eastAsia="Arial" w:hAnsi="Arial"/>
          <w:sz w:val="18"/>
          <w:szCs w:val="18"/>
          <w:i w:val="1"/>
          <w:iCs w:val="1"/>
          <w:color w:val="auto"/>
        </w:rPr>
        <w:t>”</w:t>
      </w:r>
      <w:r>
        <w:rPr>
          <w:rFonts w:ascii="Arial" w:cs="Arial" w:eastAsia="Arial" w:hAnsi="Arial"/>
          <w:sz w:val="18"/>
          <w:szCs w:val="18"/>
          <w:color w:val="auto"/>
        </w:rPr>
        <w:t>)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We have built a robust supply chain through strategic partnerships that enable the development, manufacturing and future potential commercialization of our products. Our current supply chain and key partners are positioned to supply cGMP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ongoing and planned Phase 2 and Phase 3 clinical trials in patients with GBM, LM and PBC.</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Pipeline</w:t>
      </w:r>
    </w:p>
    <w:p>
      <w:pPr>
        <w:spacing w:after="0" w:line="166" w:lineRule="exact"/>
        <w:rPr>
          <w:sz w:val="20"/>
          <w:szCs w:val="20"/>
          <w:color w:val="auto"/>
        </w:rPr>
      </w:pPr>
    </w:p>
    <w:p>
      <w:pPr>
        <w:jc w:val="both"/>
        <w:ind w:firstLine="749"/>
        <w:spacing w:after="0" w:line="221" w:lineRule="auto"/>
        <w:rPr>
          <w:sz w:val="20"/>
          <w:szCs w:val="20"/>
          <w:color w:val="auto"/>
        </w:rPr>
      </w:pPr>
      <w:r>
        <w:rPr>
          <w:rFonts w:ascii="Arial" w:cs="Arial" w:eastAsia="Arial" w:hAnsi="Arial"/>
          <w:sz w:val="17"/>
          <w:szCs w:val="17"/>
          <w:color w:val="auto"/>
        </w:rPr>
        <w:t>Our most advanced investigational drug,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a patented radiotherapy potentially useful for patients with CNS and other cancers. Preclinical study data describing the use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several cancer targets have been published in peer-reviewed journals and reported at a variety of medical society peer-reviewed meetings. Besides GBM, LM and PBC,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has been reported to have potential applications for head and neck cancer, ovarian cancer, breast cancer and peritoneal metastases.</w:t>
      </w:r>
    </w:p>
    <w:p>
      <w:pPr>
        <w:spacing w:after="0" w:line="10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The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technology was part of a licensed radiotherapeutic portfolio that we acquired from NanoTx, Corp.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recurrent GBM through the completion of a Phase 2 clinical trial, including enrollment of up to 55 patients.</w:t>
      </w:r>
    </w:p>
    <w:p>
      <w:pPr>
        <w:spacing w:after="0" w:line="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On August 29, 2022, we announced feedback from a Type C meeting with the FDA regarding Chemistry, Manufacturing and Controls (“CMC”) practices. The meeting focused on our cGMP clinical and commercial manufacturing process for our lead investigational targeted radiotherapeutic, BMEDA-chelated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recurrent GBM.</w:t>
      </w:r>
    </w:p>
    <w:p>
      <w:pPr>
        <w:spacing w:after="0" w:line="101"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18"/>
          <w:szCs w:val="18"/>
          <w:color w:val="auto"/>
        </w:rPr>
        <w:t>The FDA indicated agreement with our proposed application of cGMP guidance for radiotherapeutics, small molecule drug products and liposome drug products for our novel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used in other clinical development programs, including LM and PBC.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Rhenium (</w:t>
      </w:r>
      <w:r>
        <w:rPr>
          <w:rFonts w:ascii="Arial" w:cs="Arial" w:eastAsia="Arial" w:hAnsi="Arial"/>
          <w:sz w:val="24"/>
          <w:szCs w:val="24"/>
          <w:i w:val="1"/>
          <w:iCs w:val="1"/>
          <w:color w:val="auto"/>
          <w:vertAlign w:val="superscript"/>
        </w:rPr>
        <w:t>186</w:t>
      </w:r>
      <w:r>
        <w:rPr>
          <w:rFonts w:ascii="Arial" w:cs="Arial" w:eastAsia="Arial" w:hAnsi="Arial"/>
          <w:sz w:val="18"/>
          <w:szCs w:val="18"/>
          <w:i w:val="1"/>
          <w:iCs w:val="1"/>
          <w:color w:val="auto"/>
        </w:rPr>
        <w:t>Re) obisbemeda versus External Beam Radiation Therapy for Recurrent GBM</w:t>
      </w:r>
    </w:p>
    <w:p>
      <w:pPr>
        <w:spacing w:after="0" w:line="6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a novel injectable radiotherapy designed to deliver targeted, high dose radiation directly into GBM tumors in a safe, effective, and convenient manner that may ultimately prolong patient survival.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compared to standard external beam radiotherapy or EBRT include:</w:t>
      </w:r>
    </w:p>
    <w:p>
      <w:pPr>
        <w:spacing w:after="0" w:line="6" w:lineRule="exact"/>
        <w:rPr>
          <w:sz w:val="20"/>
          <w:szCs w:val="20"/>
          <w:color w:val="auto"/>
        </w:rPr>
      </w:pPr>
    </w:p>
    <w:p>
      <w:pPr>
        <w:jc w:val="both"/>
        <w:ind w:left="1140" w:hanging="519"/>
        <w:spacing w:after="0" w:line="23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radiation dose delivered to patients may be up to 20 times greater than what is possible with commonly used external beam radiation therapy (“EBRT”), which, unlike EBRT and proton beam devices, spares normal tissue and the brain from radiation exposure.</w:t>
      </w:r>
    </w:p>
    <w:p>
      <w:pPr>
        <w:ind w:left="1140" w:hanging="519"/>
        <w:spacing w:after="0" w:line="22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can be visualized in real-time during administration, possibly giving clinicians better control of radiation dosing, distribution and retention.</w:t>
      </w:r>
    </w:p>
    <w:p>
      <w:pPr>
        <w:ind w:left="1140" w:right="20" w:hanging="519"/>
        <w:spacing w:after="0" w:line="22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potentially more effectively treats a bulk tumor and microscopic disease that has already invaded healthy tissue.</w:t>
      </w:r>
    </w:p>
    <w:p>
      <w:pPr>
        <w:jc w:val="both"/>
        <w:ind w:left="1140" w:hanging="519"/>
        <w:spacing w:after="0" w:line="251"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1" w:lineRule="exact"/>
        <w:rPr>
          <w:rFonts w:ascii="Arial" w:cs="Arial" w:eastAsia="Arial" w:hAnsi="Arial"/>
          <w:sz w:val="17"/>
          <w:szCs w:val="17"/>
          <w:color w:val="auto"/>
        </w:rPr>
      </w:pPr>
    </w:p>
    <w:p>
      <w:pPr>
        <w:ind w:left="1140" w:hanging="519"/>
        <w:spacing w:after="0" w:line="239"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ReSPECT-GBM Trial for Recurrent GBM</w:t>
      </w:r>
    </w:p>
    <w:p>
      <w:pPr>
        <w:spacing w:after="0" w:line="22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Recurrent GBM is the most common, complex, and aggressive primary brain cancer in adults. In the U.S., there are more than 13,000 GBM cases diagnosed and approximately 10,000 patients succumb to the disease each year. The average length of overall survival ("OS") for GBM patients is eight months, with a one-year survival rate of 40.8% and a five-year survival rate of only 6.8% and these estimates vary and are lower in some publications.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Approximately 90% or more of patients with primary GBM experience tumor recurrence. Complete surgical removal of GBM is usually not possible and GBM is often resistant or quickly develops resistance to most available current and investigational therapies. Even today, the treatment of GBM remains a significant challenge and it has been nearly a decade since the FDA approved a new therapy for this disease, and these more recent approvals have not improved GBM patients OS over past decades, and a significant unmet medical need persists.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749"/>
        <w:spacing w:after="0" w:line="277" w:lineRule="auto"/>
        <w:rPr>
          <w:sz w:val="20"/>
          <w:szCs w:val="20"/>
          <w:color w:val="auto"/>
        </w:rPr>
      </w:pPr>
      <w:r>
        <w:rPr>
          <w:rFonts w:ascii="Arial" w:cs="Arial" w:eastAsia="Arial" w:hAnsi="Arial"/>
          <w:sz w:val="18"/>
          <w:szCs w:val="18"/>
          <w:color w:val="auto"/>
        </w:rPr>
        <w:t>For recurrent GBM, there are few currently approved treatments, which in the aggregate, provide only marginal survival benefit. Furthermore, these therapies are associated with significant side effects, which limit dosing and prolonged use.</w:t>
      </w:r>
    </w:p>
    <w:p>
      <w:pPr>
        <w:spacing w:after="0" w:line="17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 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is designed for and provides patient tolerability and safety. Though no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head-to-head trial with chemo, immune, EBRT or systemic radiopharmaceutical products have been conducted, patient tolerability and safety considerations have been reported as expected.</w:t>
      </w:r>
    </w:p>
    <w:p>
      <w:pPr>
        <w:spacing w:after="0" w:line="19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7"/>
          <w:szCs w:val="17"/>
          <w:color w:val="auto"/>
        </w:rPr>
        <w:t>Interim results from our ongoing Phase 1/2a ReSPECT-GBM trial (ClinicalTrials.gov NCT01906385) show that the beta particle energy from our lead investigational drug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has provided preliminary positive data and utility in treating GBM and potential other malignancies. More specifically, the preliminary data from our Phase 1/2a ReSPECT-GBM trial suggests that radiation, in the form of high energy beta particles or electrons, can be effective against GBM. Thus far, we have been able to deliver up to 740 Gy of absorbed radiation to tumor tissue in humans, without significant or dose limiting toxicities and with what we believe has the capability to go higher if required. In comparison, current EBRT protocols for recurrent GBM typically recommend a total maximum radiation dose of about ~30-35 Gray.</w:t>
      </w:r>
    </w:p>
    <w:p>
      <w:pPr>
        <w:spacing w:after="0" w:line="195"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6"/>
          <w:szCs w:val="16"/>
          <w:color w:val="auto"/>
        </w:rPr>
        <w:t>In September 2020, the FDA granted both Orphan Drug designation and Fast Track designations to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for the treatment of patients with GBM. In November 2021, the FDA granted Fast Track designation for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for the treatment of LM.</w:t>
      </w:r>
    </w:p>
    <w:p>
      <w:pPr>
        <w:spacing w:after="0" w:line="7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is under clinical investigation in a multicenter, sequential cohort, open-label, volume and dose escalation study of the safety, tolerability, and distribution of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given by CED catheters to patients with recurrent or progressive malignant glioma after standard surgical, radiation, and/or chemotherapy treatment (NCT01906385). The study uses a standard, modified 3x3 Fibonacci dose escalation, followed by a planned Phase 2 expansion trial at the maximum tolerated dose (“MTD”) / maximum feasible dose (“MFD”) or non-dose limiting toxicity (“DLT”) if MTD is not reached, to determine efficacy. The trial is funded through Phase 2 in large part by a NIH/NCI grant. These investigations have not reached DLT or MTD/MFD and the study is in its eighth dosing administration cohort. Due to the observation of a preliminary efficacy signal, we have initiated in parallel a Phase 2, non-DLT dose trial pursuant to the currently funded NIH/NCI grant. This trial will begin at the current non-DLT rhenium (</w:t>
      </w:r>
      <w:r>
        <w:rPr>
          <w:rFonts w:ascii="Arial" w:cs="Arial" w:eastAsia="Arial" w:hAnsi="Arial"/>
          <w:sz w:val="21"/>
          <w:szCs w:val="21"/>
          <w:color w:val="auto"/>
          <w:vertAlign w:val="superscript"/>
        </w:rPr>
        <w:t>186</w:t>
      </w:r>
      <w:r>
        <w:rPr>
          <w:rFonts w:ascii="Arial" w:cs="Arial" w:eastAsia="Arial" w:hAnsi="Arial"/>
          <w:sz w:val="16"/>
          <w:szCs w:val="16"/>
          <w:color w:val="auto"/>
        </w:rPr>
        <w:t>Re) obisbemeda dose and will expand exploring higher radiation doses in larger volumes to treat larger tumors. Additionally, two or more rhenium</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24"/>
          <w:szCs w:val="24"/>
          <w:color w:val="auto"/>
          <w:vertAlign w:val="superscript"/>
        </w:rPr>
        <w:t>186</w:t>
      </w:r>
      <w:r>
        <w:rPr>
          <w:rFonts w:ascii="Arial" w:cs="Arial" w:eastAsia="Arial" w:hAnsi="Arial"/>
          <w:sz w:val="18"/>
          <w:szCs w:val="18"/>
          <w:color w:val="auto"/>
        </w:rPr>
        <w:t>Re) obisbemeda administrations, if indicated, will be evaluated, and reviewed with the FDA, as well as expanded safety, imaging and efficacy data to support a planned future registrational trial.</w:t>
      </w:r>
    </w:p>
    <w:p>
      <w:pPr>
        <w:spacing w:after="0" w:line="20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On September 6, 2022, we announced a summary of our Type C clinical meeting with the FDA that focused on the ReSPECT-GBM trial. The FDA agreed with us that the ReSPECT-GBM clinical trial should proceed to the planned Phase 2. The key focus areas of clinical investigation of the Phase 2 trial will be (1) further dose exploration, including both increased dosing and multiple doses, and (2) collecting additional safety and efficacy data to inform the design of a future registrational trial. Because no DLT administered doses were observed, the FDA and we also agreed to continue to dose cohort eight. There was further agreement with the FDA that in a planned future registrational trial, overall survival should be used as the primary endpoint. We agreed with the FDA to hold future meeting(s) to consider the use of external data to augment the use of a control arm in the registrational trial.</w:t>
      </w:r>
    </w:p>
    <w:p>
      <w:pPr>
        <w:spacing w:after="0" w:line="16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January 18, 2023, we announced that the first patient has been dosed in the ReSPECT-GBM Phase 2b dose expansion clinical trial evaluating rhenium obisbemeda for the treatment of recurrent GBM. The Phase 2b trial is expected to enroll up to 31 total patients with small- to medium-sized tumors in approximately 24 months.</w:t>
      </w:r>
    </w:p>
    <w:p>
      <w:pPr>
        <w:spacing w:after="0" w:line="188" w:lineRule="exact"/>
        <w:rPr>
          <w:sz w:val="20"/>
          <w:szCs w:val="20"/>
          <w:color w:val="auto"/>
        </w:rPr>
      </w:pPr>
    </w:p>
    <w:p>
      <w:pPr>
        <w:jc w:val="both"/>
        <w:ind w:right="20" w:firstLine="749"/>
        <w:spacing w:after="0" w:line="216" w:lineRule="auto"/>
        <w:rPr>
          <w:sz w:val="20"/>
          <w:szCs w:val="20"/>
          <w:color w:val="auto"/>
        </w:rPr>
      </w:pPr>
      <w:r>
        <w:rPr>
          <w:rFonts w:ascii="Arial" w:cs="Arial" w:eastAsia="Arial" w:hAnsi="Arial"/>
          <w:sz w:val="18"/>
          <w:szCs w:val="18"/>
          <w:color w:val="auto"/>
        </w:rPr>
        <w:t xml:space="preserve">In June 2023, we presented data regarding the safety and feasibility results from our Phase 1/2 Clinical Trial of </w:t>
      </w:r>
      <w:r>
        <w:rPr>
          <w:rFonts w:ascii="Arial" w:cs="Arial" w:eastAsia="Arial" w:hAnsi="Arial"/>
          <w:sz w:val="24"/>
          <w:szCs w:val="24"/>
          <w:color w:val="auto"/>
          <w:vertAlign w:val="superscript"/>
        </w:rPr>
        <w:t>186</w:t>
      </w:r>
      <w:r>
        <w:rPr>
          <w:rFonts w:ascii="Arial" w:cs="Arial" w:eastAsia="Arial" w:hAnsi="Arial"/>
          <w:sz w:val="18"/>
          <w:szCs w:val="18"/>
          <w:color w:val="auto"/>
        </w:rPr>
        <w:t>RNL (Rhenium-186 Nanoliposome)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Recurrent Glioma: The ReSPECT-GBM Trial at the Society of Nuclear Medicine &amp; Molecular Imaging (SNMMI) Annual Meeting.</w:t>
      </w:r>
    </w:p>
    <w:p>
      <w:pPr>
        <w:spacing w:after="0" w:line="20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March 31, 2022, we entered into a Sales Order (the “Sales Order”) with Medidata Solutions, Inc. (“Medidata”), pursuant to which Medidata built a Synthetic Control Arm® (“SCA”) platform that facilitates the use of historical clinical data to incorporate into our Phase 2 clinical trial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GBM. The Sales Order had a term of six (6) months. Work under this Sales Order has been completed. As part of this collaboration, we jointly submitted with Medidata a historical clinical trials control arm methodology abstract (HCA) to ASCO which was accepted for publication, further strengthening this collaboration and allowing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applications to advance GBM development. We plan to use the HCA for breakthrough therapy designation and Phase 2 and/or a pivotal or registrational Phase 3 trial.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ReSPECT-LM Clinical Trial for LM</w:t>
      </w:r>
    </w:p>
    <w:p>
      <w:pPr>
        <w:spacing w:after="0" w:line="2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18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The ReSPECT-LM Phase 1 clinical trial (ClinicalTrials.gov NCT05034497) was preceded with preclinical studies in which tolerance to doses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20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7"/>
          <w:szCs w:val="17"/>
          <w:color w:val="auto"/>
        </w:rPr>
        <w:t>Upon receiving acceptance of our Investigational New Drug application and Fast Track designation by the FDA for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the treatment of LM, we initiated the trial and began screening patients for the ReSPECT-LM Phase 1 clinical trial in Q4 2021.</w:t>
      </w:r>
    </w:p>
    <w:p>
      <w:pPr>
        <w:spacing w:after="0" w:line="9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ReSPECT-LM is a multi-center, sequential cohort, open-label, dose escalation study evaluating the safety, tolerability, and efficacy of a single-dose application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administered through intrathecal infusion to the ventricle of patients with LM after standard surgical, radiation, and/or chemotherapy treatment. The primary endpoint of the study is the incidence and severity of adverse events and dose limiting toxicities.</w:t>
      </w:r>
    </w:p>
    <w:p>
      <w:pPr>
        <w:spacing w:after="0" w:line="9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7"/>
          <w:szCs w:val="17"/>
          <w:color w:val="auto"/>
        </w:rPr>
        <w:t>On September 19, 2022, we entered into a Cancer Research Grant Contract (the “CPRIT Contract”), effective as of August 31, 2022, with CPRIT, pursuant to which CPRIT will provide us a grant of up to $17.6 million (the “CPRIT Grant”) over a three-year period to fund the continued development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Arial" w:cs="Arial" w:eastAsia="Arial" w:hAnsi="Arial"/>
          <w:sz w:val="23"/>
          <w:szCs w:val="23"/>
          <w:color w:val="auto"/>
          <w:vertAlign w:val="superscript"/>
        </w:rPr>
        <w:t>186</w:t>
      </w:r>
      <w:r>
        <w:rPr>
          <w:rFonts w:ascii="Arial" w:cs="Arial" w:eastAsia="Arial" w:hAnsi="Arial"/>
          <w:sz w:val="17"/>
          <w:szCs w:val="17"/>
          <w:color w:val="auto"/>
        </w:rPr>
        <w:t>Re) obisbemeda based on specific dollar thresholds until CPRIT receives the aggregate amount of 400% of the proceeds awarded under the CPRIT Grant, and certain reporting requirements.</w:t>
      </w:r>
    </w:p>
    <w:p>
      <w:pPr>
        <w:spacing w:after="0" w:line="200" w:lineRule="exact"/>
        <w:rPr>
          <w:sz w:val="20"/>
          <w:szCs w:val="20"/>
          <w:color w:val="auto"/>
        </w:rPr>
      </w:pPr>
    </w:p>
    <w:p>
      <w:pPr>
        <w:jc w:val="both"/>
        <w:ind w:firstLine="749"/>
        <w:spacing w:after="0" w:line="222" w:lineRule="auto"/>
        <w:rPr>
          <w:sz w:val="20"/>
          <w:szCs w:val="20"/>
          <w:color w:val="auto"/>
        </w:rPr>
      </w:pPr>
      <w:r>
        <w:rPr>
          <w:rFonts w:ascii="Arial" w:cs="Arial" w:eastAsia="Arial" w:hAnsi="Arial"/>
          <w:sz w:val="18"/>
          <w:szCs w:val="18"/>
          <w:color w:val="auto"/>
        </w:rPr>
        <w:t>Interim results showed that a single treatment with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showed a consistent decreased CSF tumor cell count/ml and was very well tolerated by all LM patients.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distribution throughout the subarachnoid space. Cohort 3 is currently enrolling, with protocol defined FDA review to allow proceeding with Cohort 4-7 expansion after the protocol defined observation period and independent DSMB review.</w:t>
      </w:r>
    </w:p>
    <w:p>
      <w:pPr>
        <w:spacing w:after="0" w:line="21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18"/>
          <w:szCs w:val="18"/>
          <w:color w:val="auto"/>
        </w:rPr>
        <w:t>A single dose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at 6.6 millicurie (“mCi”) in 5.0 mL, in Cohort 1, achieved absorbed doses of 18.7 to 29.0 Gy to the ventricles and cranial subarachnoid spaces, respectively. Cohort 2 has also completed with a 13.2 mCi administered dose in 5ml and was also well tolerated. Cohort 3 enrolled three patients through early April 2023 with a 26.4 mCi administered dose.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ReSPECT-PBC Clinical Trial for Pediatric Brain Cancer</w:t>
      </w:r>
    </w:p>
    <w:p>
      <w:pPr>
        <w:spacing w:after="0" w:line="22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1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188" w:lineRule="exact"/>
        <w:rPr>
          <w:sz w:val="20"/>
          <w:szCs w:val="20"/>
          <w:color w:val="auto"/>
        </w:rPr>
      </w:pPr>
    </w:p>
    <w:p>
      <w:pPr>
        <w:jc w:val="both"/>
        <w:ind w:firstLine="749"/>
        <w:spacing w:after="0" w:line="216" w:lineRule="auto"/>
        <w:rPr>
          <w:sz w:val="20"/>
          <w:szCs w:val="20"/>
          <w:color w:val="auto"/>
        </w:rPr>
      </w:pPr>
      <w:r>
        <w:rPr>
          <w:rFonts w:ascii="Arial" w:cs="Arial" w:eastAsia="Arial" w:hAnsi="Arial"/>
          <w:sz w:val="18"/>
          <w:szCs w:val="18"/>
          <w:color w:val="auto"/>
        </w:rPr>
        <w:t>Since the initial FDA feedback and receiving important adult GBM data and experience with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and follow-up communications with the FDA, we plan to submit a pediatric brain tumor IND to investigate the use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in two pediatric brain cancers, high-grade glioma and ependymoma, in the second or third quarter of 2023.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ind w:firstLine="749"/>
        <w:spacing w:after="0" w:line="291" w:lineRule="auto"/>
        <w:rPr>
          <w:sz w:val="20"/>
          <w:szCs w:val="20"/>
          <w:color w:val="auto"/>
        </w:rPr>
      </w:pPr>
      <w:r>
        <w:rPr>
          <w:rFonts w:ascii="Arial" w:cs="Arial" w:eastAsia="Arial" w:hAnsi="Arial"/>
          <w:sz w:val="16"/>
          <w:szCs w:val="16"/>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16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Overall, pediatric HGG and ependymoma are extremely difficult-to-treat pediatric brain tumors, frequently aggressive, and in recurrent settings, carry an extremely poor prognosis.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Rhenium-188 NanoLiposome Biodegradable Alginate Microsphere Technology</w:t>
      </w:r>
    </w:p>
    <w:p>
      <w:pPr>
        <w:spacing w:after="0" w:line="22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7"/>
          <w:szCs w:val="17"/>
          <w:color w:val="auto"/>
        </w:rPr>
        <w:t xml:space="preserve">In January 2022, we announced that we licensed Biodegradable Alginate Microsphere (“BAM”) patents and technology from The University of Texas Health Science Center at San Antonio (“UTHSA”)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Arial" w:cs="Arial" w:eastAsia="Arial" w:hAnsi="Arial"/>
          <w:sz w:val="19"/>
          <w:szCs w:val="19"/>
          <w:color w:val="auto"/>
          <w:vertAlign w:val="superscript"/>
        </w:rPr>
        <w:t>188</w:t>
      </w:r>
      <w:r>
        <w:rPr>
          <w:rFonts w:ascii="Arial" w:cs="Arial" w:eastAsia="Arial" w:hAnsi="Arial"/>
          <w:sz w:val="17"/>
          <w:szCs w:val="17"/>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1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 xml:space="preserve">Preclinical data from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embolization experiment in which Technetium99m-BAM was intra-arterially delivered to a bovine kidney perfusion model was presented at the recent 2021 Society of Interventional Radiology Annual Scientific Meeting. The study concluded that the technology required for radiolabeling BAM could successfully deliver, embolize and retain radiation in the target organ. </w:t>
      </w:r>
      <w:r>
        <w:rPr>
          <w:rFonts w:ascii="Arial" w:cs="Arial" w:eastAsia="Arial" w:hAnsi="Arial"/>
          <w:sz w:val="24"/>
          <w:szCs w:val="24"/>
          <w:color w:val="auto"/>
          <w:vertAlign w:val="superscript"/>
        </w:rPr>
        <w:t>188</w:t>
      </w:r>
      <w:r>
        <w:rPr>
          <w:rFonts w:ascii="Arial" w:cs="Arial" w:eastAsia="Arial" w:hAnsi="Arial"/>
          <w:sz w:val="18"/>
          <w:szCs w:val="18"/>
          <w:color w:val="auto"/>
        </w:rPr>
        <w:t>RNL-BAM is a preclinical investigational drug we intend to further develop and move into clinical trials. Specifically, in 2022 we transferred the 188RNL-BAM technology from UTHSA, and began planning to develop the drug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Agreement with CPRIT</w:t>
      </w:r>
    </w:p>
    <w:p>
      <w:pPr>
        <w:spacing w:after="0" w:line="225"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18"/>
          <w:szCs w:val="18"/>
          <w:color w:val="auto"/>
        </w:rPr>
        <w:t>As noted above in the LM development discussion, on September 19, 2022, we entered into the CPRIT Contract, effective as of August 31, 2022, with CPRIT, pursuant to which CPRIT will provide us the CPRIT Grant over a three-year period to fund the continued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the treatment of patients with LM. The CPRIT Grant is subject to customary CPRIT funding conditions, including, but not limited to, a matching fund requirement (one dollar from Plus Therapeutics for every two dollars awarded by CPRIT), revenue sharing obligations upon commercialization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based on specific dollar thresholds until CPRIT receives the aggregate amount of 400% of the proceeds awarded under the CPRIT Grant, and certain reporting requirements.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Financings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the “Liquidity and Capital Resources” section below for information on our recent financings.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225" w:lineRule="exact"/>
        <w:rPr>
          <w:sz w:val="20"/>
          <w:szCs w:val="20"/>
          <w:color w:val="auto"/>
        </w:rPr>
      </w:pPr>
    </w:p>
    <w:p>
      <w:pPr>
        <w:jc w:val="both"/>
        <w:ind w:right="20" w:firstLine="749"/>
        <w:spacing w:after="0" w:line="285" w:lineRule="auto"/>
        <w:rPr>
          <w:sz w:val="20"/>
          <w:szCs w:val="20"/>
          <w:color w:val="auto"/>
        </w:rPr>
      </w:pPr>
      <w:r>
        <w:rPr>
          <w:rFonts w:ascii="Arial" w:cs="Arial" w:eastAsia="Arial" w:hAnsi="Arial"/>
          <w:sz w:val="18"/>
          <w:szCs w:val="18"/>
          <w:color w:val="auto"/>
        </w:rPr>
        <w:t>We recognized $1.9 million and $2.4 million of grant revenue during the three and six months ended June 30, 2023, which represents CPRIT’s share of the costs incurred for our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development for the treatment of patients with LM.</w:t>
      </w:r>
    </w:p>
    <w:p>
      <w:pPr>
        <w:spacing w:after="0" w:line="8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We expect grant revenue will continue to increase during the remainder of 2023 and the remaining term of the CPRIT Grant through August 2025, as we plan to expand the LM clinical trial to add clinical sites and enroll patients. The ability to continue to access the grant remains subject to additional FDA approval of the LM clinical trial, ability to deliver expanded drug supply and continued enrollment of patients. In addition, grant revenue amounts will vary quarter to quarter based on enrollment, mandated safety periods between cohorts and required interactions with FDA.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17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following table summarizes the components of our research and development expenses for the three and six months ended June 30,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5"/>
              </w:rPr>
              <w:t>Three Months Ended June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4,403</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decrease of $1.4 million in research and development expenses for the three months ended June 30, 2023 as compared to the same period in 2022 was due primarily to a decrease of $1.1 million in development of cGMP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offset by an increase of $0.6 million from LM clinical trial expenses compared to $0 in the same period in 2022. In addition, there was an increase of $0.1 million related to personnel expenses offset by a decrease of $1.0 million related to legal and other professional expenses.</w:t>
      </w:r>
    </w:p>
    <w:p>
      <w:pPr>
        <w:spacing w:after="0" w:line="2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decrease of $0.2 million in research and development expenses for the six months ended June 30, 2023 as compared to the same period in 2022 was due primarily to a decrease of $1.6 million in development of cGMP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a decrease of $1.2 million of legal and professional expenses, offset by a license agreement payment of $0.8 million to NanoTx resulting from the first patient treated in the GBM phase 2 trial, $1.5 million from treatment of patients for LM clinical trial in 2023 compared to $0 in the same period in 2022, and an increase of $0.3 million of payroll expenses.</w:t>
      </w:r>
    </w:p>
    <w:p>
      <w:pPr>
        <w:spacing w:after="0" w:line="20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We expect aggregate research and development expenditures to increase signficantly during the remainder of 2023 as compared to the corresponding comparable period ended December 31, 2022, due to increased costs for </w:t>
      </w:r>
      <w:r>
        <w:rPr>
          <w:rFonts w:ascii="Arial" w:cs="Arial" w:eastAsia="Arial" w:hAnsi="Arial"/>
          <w:sz w:val="18"/>
          <w:szCs w:val="18"/>
          <w:i w:val="1"/>
          <w:iCs w:val="1"/>
          <w:color w:val="auto"/>
        </w:rPr>
        <w:t>ReSPECT-LM</w:t>
      </w:r>
      <w:r>
        <w:rPr>
          <w:rFonts w:ascii="Arial" w:cs="Arial" w:eastAsia="Arial" w:hAnsi="Arial"/>
          <w:sz w:val="18"/>
          <w:szCs w:val="18"/>
          <w:color w:val="auto"/>
        </w:rPr>
        <w:t xml:space="preserve"> clinical trial under the CPRIT grant, increases in licensing payments, offset by reduced research and development spend on the cGMP development.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and six months ended June 30, 2023 and 2022 (in thousands):</w:t>
      </w: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9"/>
              </w:rPr>
              <w:t>Six Months Ended June 30,</w:t>
            </w: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1,798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w:t>
            </w:r>
          </w:p>
        </w:tc>
        <w:tc>
          <w:tcPr>
            <w:tcW w:w="100" w:type="dxa"/>
            <w:vAlign w:val="bottom"/>
            <w:shd w:val="clear" w:color="auto" w:fill="CFF0FC"/>
          </w:tcPr>
          <w:p>
            <w:pPr>
              <w:spacing w:after="0"/>
              <w:rPr>
                <w:sz w:val="20"/>
                <w:szCs w:val="20"/>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r>
      <w:tr>
        <w:trPr>
          <w:trHeight w:val="277"/>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1,924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General and administrative expenses decreased by approximately $0.4 million during the three months ended June 30, 2023, as compared to the same period in 2022. The decrease was due primarily due to a decrease in legal expenses of $0.4 million.</w:t>
      </w:r>
    </w:p>
    <w:p>
      <w:pPr>
        <w:spacing w:after="0" w:line="17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General and administrative expenses decreased by approximately $0.3 million during the six months ended June 30, 2023, as compared to the same period in 2022. The decrease was due primarily due to an increase of professional services of $0.4 million offset by a decrease in legal expenses of $0.7 million due to expenditure incurred in 2022 related to litigation that was settled in the fourth quarter of 2022.</w:t>
      </w:r>
    </w:p>
    <w:p>
      <w:pPr>
        <w:spacing w:after="0" w:line="16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expect general and administrative expenditures to remain generally consistent during the remainder of 2023 as compared with the corresponding comparable period ended December 31, 2022, exclusive of the impact of the one-time legal settlement costs and settlement related legal expenses in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18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following table summarizes the components of our stock-based compensation expenses for the three and six months ended June 30,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30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r>
      <w:tr>
        <w:trPr>
          <w:trHeight w:val="277"/>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Our stock-based compensation expenses, which are impacted by grants of stock-based options, vesting schedule of such grants, as well as grant-date fair value of stock-based awards, remained consistent for the three and six months ended June 30,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items</w:t>
      </w:r>
    </w:p>
    <w:p>
      <w:pPr>
        <w:spacing w:after="0" w:line="225"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following table summarizes interest income, interest expense, and other income and expense for the three and six months ended June 30, 2023 and 2022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520" w:type="dxa"/>
            <w:vAlign w:val="bottom"/>
            <w:gridSpan w:val="6"/>
          </w:tcPr>
          <w:p>
            <w:pPr>
              <w:jc w:val="right"/>
              <w:ind w:right="35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140" w:type="dxa"/>
            <w:vAlign w:val="bottom"/>
            <w:gridSpan w:val="5"/>
          </w:tcPr>
          <w:p>
            <w:pPr>
              <w:jc w:val="right"/>
              <w:ind w:right="29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69"/>
        </w:trPr>
        <w:tc>
          <w:tcPr>
            <w:tcW w:w="52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(112 )</w:t>
            </w:r>
          </w:p>
        </w:tc>
        <w:tc>
          <w:tcPr>
            <w:tcW w:w="24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(181 )</w:t>
            </w:r>
          </w:p>
        </w:tc>
        <w:tc>
          <w:tcPr>
            <w:tcW w:w="18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(246 )</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(379 )</w:t>
            </w: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Change in fair value of liability instruments</w:t>
            </w:r>
          </w:p>
        </w:tc>
        <w:tc>
          <w:tcPr>
            <w:tcW w:w="68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decrease in interest expense for the three and six months ended June 30, 2023 as compared to the same period in 2022 was primarily due to the repayment of debt principal of $1.6 million during the year ended December 31, 2022, and $0.4 million and $0.8 million for the three and six months ended June 30, 2023,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in 2023 to decrease as compared with 2022 due to scheduled debt principal repayments in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and long-term liquidity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our key liquidity measures at June 30, 2023 and December 31, 2022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As of June 30,</w:t>
            </w:r>
          </w:p>
        </w:tc>
        <w:tc>
          <w:tcPr>
            <w:tcW w:w="240" w:type="dxa"/>
            <w:vAlign w:val="bottom"/>
          </w:tcPr>
          <w:p>
            <w:pPr>
              <w:spacing w:after="0"/>
              <w:rPr>
                <w:sz w:val="15"/>
                <w:szCs w:val="15"/>
                <w:color w:val="auto"/>
              </w:rPr>
            </w:pPr>
          </w:p>
        </w:tc>
        <w:tc>
          <w:tcPr>
            <w:tcW w:w="13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Pr>
          <w:p>
            <w:pPr>
              <w:spacing w:after="0"/>
              <w:rPr>
                <w:sz w:val="15"/>
                <w:szCs w:val="15"/>
                <w:color w:val="auto"/>
              </w:rPr>
            </w:pPr>
          </w:p>
        </w:tc>
      </w:tr>
      <w:tr>
        <w:trPr>
          <w:trHeight w:val="18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0"/>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56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20"/>
                <w:szCs w:val="20"/>
                <w:color w:val="auto"/>
              </w:rPr>
            </w:pPr>
          </w:p>
        </w:tc>
      </w:tr>
      <w:tr>
        <w:trPr>
          <w:trHeight w:val="276"/>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-659765</wp:posOffset>
            </wp:positionV>
            <wp:extent cx="5969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incurred net losses of $6.3 million for the six months ended June 30, 2023. We have an accumulated deficit of $473.5 million as of June 30, 2023. Additionally, we used net cash of $8.6 million to fund our operating activities for the six months ended June 30, 2023. These factors raise substantial doubt about our ability to continue as a going concern.</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To date, our operating losses have been funded primarily from outside sources of invested capital from issuance of our common and preferred stocks, proceeds from our term loan with Oxford and grant funding. However, we have had, and will continue to have, an ongoing need to raise additional cash from outside sources to fund our future clinical development programs and other operations. There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can be no assurance that we will be able to continue to raise additional capital in the future. Our inability to raise additional cash would have a material and adverse impact on our operations and would cause us to default on our term loan.</w:t>
      </w:r>
    </w:p>
    <w:p>
      <w:pPr>
        <w:spacing w:after="0" w:line="17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the treatment of patients with LM.</w:t>
      </w:r>
    </w:p>
    <w:p>
      <w:pPr>
        <w:spacing w:after="0" w:line="20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On September 9, 2022, we entered into an Equity Distribution Agreement (the “September 2022 Distribution Agreement”) with Canaccord Genuity LLC (“Canaccord”), pursuant to which we may issue and sell, from time to time, shares of our common stock having an aggregate offering price of up to $5,000,000, depending on market demand, with Canaccord acting as an agent for sales. Sales of our common stock may be made by any method permitted by law deemed to be an “at the 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We have no obligation to sell any of our common stock. We may instruct Canaccord not to sell any common stock if the sales cannot be effected at or above the price designated by us from time to time and we may at any time suspend sales pursuant to the September 2022 Distribution Agreement. During the period from September 9, 2022 to December 31, 2022, we issued 68,758 shares under the September 2022 Distribution Agreement for net proceeds of approximately $0.6 million. From January 1, 2023 through June 30, 2023, we issued 380,338 shares under the September 2022 Distribution Agreement for net proceeds of approximately $1.5 million.</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6"/>
          <w:szCs w:val="16"/>
          <w:color w:val="auto"/>
        </w:rPr>
        <w:t>On August 2, 2022, we entered into a purchase agreement (the “2022 Purchase Agreement”) and registration rights agreement pursuant to which Lincoln Park committed to purchase up to $50.0 million of shares of our common stock. Under the terms and subject to the 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As consideration for Lincoln Park’s irrevocable commitment to purchase shares of our common stock upon the terms of and subject to satisfaction of the conditions set forth in the Purchase Agreement, we paid $0.1 million in cash as an Initial Commitment Fee and issued 492,698 as the initial commitment shares to Lincoln Park in consideration for its commitment to purchase shares of our common stock at our direction under the Purchase Agreement.</w:t>
      </w:r>
    </w:p>
    <w:p>
      <w:pPr>
        <w:spacing w:after="0" w:line="17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On August 17, 2022, a registration statement was declared effective covering the resale of up to 633,333 shares of our common stock comprised of (i) the 32,846 initial commitment shares, and (ii) up to 600,486 shares that we have reserved for issuance and sale to Lincoln Park under the Purchase Agreement. An additional commitment fee equal to 2.5% of the remainder of the $50 million will be paid if and when we sell over $25.0 million of our common stock under the 2022 Purchase Agreement. The additional commitment fee may be paid in cash, common stock, or a combination thereof. We cannot sell more shares under the 2022 Purchase Agreement without registering additional shares.</w:t>
      </w:r>
    </w:p>
    <w:p>
      <w:pPr>
        <w:spacing w:after="0" w:line="17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During the period from August 17, 2022 to December 31, 2022, we issued 266,666 shares under the 2022 Purchase Agreement for net proceeds of approximately $3.2 million. We issued 260,500 shares under the 2022 Purchase Agreement for net proceeds of approximately $0.7 million from January 1, 2023 to June 30, 2023.</w:t>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On January 14, 2022, we entered into an Equity Distribution Agreement (the “January 2022 Distribution Agreement”) with Canaccord, pursuant to which we could issue and sell, from time to time, shares of our common stock in “at-the-market” offerings, having an aggregate offering price of up to $5,000,000, depending on market demand, with Canaccord acting as an agent for sales. During the year ended December 31, 2022, we issued 460,151 shares under the January 2022 Distribution Agreement for net proceeds of approximately $4.8 million. The January 2022 Distribution Agreement was terminated after all available registered shares were fully utilized.</w:t>
      </w:r>
    </w:p>
    <w:p>
      <w:pPr>
        <w:spacing w:after="0" w:line="18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continue to seek additional capital through strategic transactions and from other financing alternatives. Without additional capital, current working capital and cash generated from sales will not provide adequate funding for research, sales and marketing efforts and product development activities at their current levels. If sufficient capital is not raised, we will at a minimum need to significantly reduce or curtail our research and development and other operations, and this would negatively affect our ability to achieve corporate growth goals.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18"/>
          <w:szCs w:val="18"/>
          <w:color w:val="auto"/>
        </w:rPr>
        <w:t>Should we be unable to raise additional cash from outside sources, this would have a material adverse impact on our operations.</w:t>
      </w:r>
    </w:p>
    <w:p>
      <w:pPr>
        <w:spacing w:after="0" w:line="2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accompanying condensed financial statements have been prepared assuming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8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Cash (used in) provided by operating, investing, and financing activities for the six months ended June 30, 2023 and 2022 is summarized as follows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3160" w:type="dxa"/>
            <w:vAlign w:val="bottom"/>
            <w:gridSpan w:val="6"/>
          </w:tcPr>
          <w:p>
            <w:pPr>
              <w:jc w:val="right"/>
              <w:ind w:right="450"/>
              <w:spacing w:after="0"/>
              <w:rPr>
                <w:sz w:val="20"/>
                <w:szCs w:val="20"/>
                <w:color w:val="auto"/>
              </w:rPr>
            </w:pPr>
            <w:r>
              <w:rPr>
                <w:rFonts w:ascii="Arial" w:cs="Arial" w:eastAsia="Arial" w:hAnsi="Arial"/>
                <w:sz w:val="14"/>
                <w:szCs w:val="14"/>
                <w:b w:val="1"/>
                <w:bCs w:val="1"/>
                <w:color w:val="auto"/>
              </w:rPr>
              <w:t>For the Six Months Ended June 30,</w:t>
            </w:r>
          </w:p>
        </w:tc>
      </w:tr>
      <w:tr>
        <w:trPr>
          <w:trHeight w:val="169"/>
        </w:trPr>
        <w:tc>
          <w:tcPr>
            <w:tcW w:w="69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(8,571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20"/>
                <w:szCs w:val="20"/>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(108 )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(715 )</w:t>
            </w: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w w:val="90"/>
              </w:rPr>
              <w:t>(7,225 )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(310 )</w:t>
            </w:r>
          </w:p>
        </w:tc>
      </w:tr>
      <w:tr>
        <w:trPr>
          <w:trHeight w:val="20"/>
        </w:trPr>
        <w:tc>
          <w:tcPr>
            <w:tcW w:w="6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Obligations</w:t>
      </w:r>
    </w:p>
    <w:p>
      <w:pPr>
        <w:spacing w:after="0" w:line="22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September 19, 2022, we entered into the CPRIT Contract, effective as of August 31, 2022, pursuant to which we will continue the development of rhenium (</w:t>
      </w:r>
      <w:r>
        <w:rPr>
          <w:rFonts w:ascii="Arial" w:cs="Arial" w:eastAsia="Arial" w:hAnsi="Arial"/>
          <w:sz w:val="24"/>
          <w:szCs w:val="24"/>
          <w:color w:val="auto"/>
          <w:vertAlign w:val="superscript"/>
        </w:rPr>
        <w:t>186</w:t>
      </w:r>
      <w:r>
        <w:rPr>
          <w:rFonts w:ascii="Arial" w:cs="Arial" w:eastAsia="Arial" w:hAnsi="Arial"/>
          <w:sz w:val="18"/>
          <w:szCs w:val="18"/>
          <w:color w:val="auto"/>
        </w:rPr>
        <w:t>Re) obisbemeda for the treatment of patients with LM, with CPRIT providing matching funds for approximately two-thirds of the total development costs, subject to various funding conditions. The CPRIT contract is effective for three years, unless otherwise terminated per terms of the contract. CPRIT may require us to repay some or all of the disbursed CPRIT grant proceeds (with interest not to exceed 5% annually) in the event of the early termination of the CPRIT Contract.</w:t>
      </w:r>
    </w:p>
    <w:p>
      <w:pPr>
        <w:spacing w:after="0" w:line="201" w:lineRule="exact"/>
        <w:rPr>
          <w:sz w:val="20"/>
          <w:szCs w:val="20"/>
          <w:color w:val="auto"/>
        </w:rPr>
      </w:pPr>
    </w:p>
    <w:p>
      <w:pPr>
        <w:jc w:val="both"/>
        <w:ind w:firstLine="635"/>
        <w:spacing w:after="0" w:line="277" w:lineRule="auto"/>
        <w:rPr>
          <w:sz w:val="20"/>
          <w:szCs w:val="20"/>
          <w:color w:val="auto"/>
        </w:rPr>
      </w:pPr>
      <w:r>
        <w:rPr>
          <w:rFonts w:ascii="Arial" w:cs="Arial" w:eastAsia="Arial" w:hAnsi="Arial"/>
          <w:sz w:val="18"/>
          <w:szCs w:val="18"/>
          <w:color w:val="auto"/>
        </w:rPr>
        <w:t>On March 31, 2022, we entered into the Sales Order with Medidata pursuant to which Medidata will build the SCA platform that facilitates the use of historical clinical data to incorporate into the Company’s Phase 2 clinical trial of rhenium (186Re) obisbemeda in GBM.</w:t>
      </w:r>
    </w:p>
    <w:p>
      <w:pPr>
        <w:spacing w:after="0" w:line="17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We are also obligated to make ongoing payments against the remaining principal, interest and final payments of approximately $5.2 million in total under the Term Loan with Oxford through the maturity date of June 1, 2024 (See Note 5 of the accompanying condensed financial statements for more information). In addition, as described in more detail in Note 8 of the accompanying condensed financial statements, we are obligated to make operating lease payments for our office and laboratory space and we may be required to make payments under certain of our other contractual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Net cash used in operating activities for the six months ended June 30, 2023 was $8.6 million compared to $6.5 million in the same period of 2022. Our operational cash use increased during the six months ended June 30, 2023 as compared to the same period in 2022, due primarily to payment of $1.4 million for litigation settlement (Note 8), and decreases in accounts payable and accrued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2023 was related to purchases of fixed assets of $0.1 million. Net cash used in investing activities for the six months ended June 30, 2022 was related to cash payments of $0.3 million made for in process research and development assets from UTHSA and purchases of fixed assets and intangible assets of $0.5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2023 was primarily related to sales of common stock of $2.3 million, net of offering cost through the September 2022 Distribution Agreement with Canaccord and the 2022 Purchase Agreement.</w:t>
      </w:r>
    </w:p>
    <w:p>
      <w:pPr>
        <w:spacing w:after="0" w:line="170"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Net cash provided by financing activities for the six months ended June 30, 2022 was primarily related to sales of common stock of $7.7 million, net of offering cost through the 2022 Distribution Agreement with Canaccord and the 2020 Purchase Agreement with Lincoln Park.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184"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financial statements prospectively as we become aware of the necessity for an adjustment.</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estimate the fair value of liability classified warrants using an option pricing model. Following the authoritative accounting guidance, warrants with potential cash settlement outside control of the Company are accounted for as liabilities, with changes in the fair value included in operating expenses.</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believe it is important for you to understand our most critical accounting policies. Our critical accounting policies and estimates are discussed in our Annual Report on Form 10-K for the fiscal year ended December 31, 2022 and there have been no material changes during six months ended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in our reports that we file or furnish pursuant to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7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Form 10-Q.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not effective at the reasonable assurance level as of the end of the period covered by this Quarterly Report due to a material weakness.</w:t>
      </w:r>
    </w:p>
    <w:p>
      <w:pPr>
        <w:spacing w:after="0" w:line="17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During the quarter ended June 30, 2023, we recognized immaterial grant revenue related to reimbursable development costs incurred in the fourth quarter of 2022 and the first quarter of 2023 that were eligible for revenue recognition in those respective prior periods. These costs were not correctly recognized in prior period grant revenue due to management’s view that insufficient progress had been made in the ReSPECT -LM clinical trial, when CPRIT has no performance specific milestones in the grant outside of a reasonableness test to reimburse expenses. Despite the error management concluded that the previously issued financial statements were not materially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misstated.</w:t>
      </w:r>
    </w:p>
    <w:p>
      <w:pPr>
        <w:spacing w:after="0" w:line="22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did not have adequate controls to apply appropriate accounting principles to significant and unusual grant revenue transactions. Specifically, controls over identification of significant and/or unusual transactions requiring technical analysis were not operating effectively. Management evaluated the impact of this deficiency on our disclosure controls and procedures and concluded that the control deficiency represents a material weakness.</w:t>
      </w:r>
    </w:p>
    <w:p>
      <w:pPr>
        <w:spacing w:after="0" w:line="14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Management is developing a remediation plan related to this material weakness, where we intend to implement additional procedures to ensure that relevant technical accounting standards are properly applied for grant revenue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Other than described above, there have been no changes in our internal control over financial reporting during the quarter ended June 30, 2023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color w:val="auto"/>
        </w:rPr>
        <w:t>.</w:t>
      </w:r>
      <w:r>
        <w:rPr>
          <w:rFonts w:ascii="Arial" w:cs="Arial" w:eastAsia="Arial" w:hAnsi="Arial"/>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For a discussion of certain factors that could materially affect our business, financial condition, and operating results or that could cause actual results to differ materially from the results described in or implied by the forward-looking statements in this Form 10-Q, in addition to the information in the section entitled “Cautionary Statement Regarding Forward-Looking Statements,” you should carefully review and consider the information under “Part I, Item 1A- Risk Factors” in our Annual Report on Form 10-K for the year ended December 31, 2022. The risk factors below are in addition to and supplement (and with respect to certain matters, update) the risk factors discussed in our Annual Report on Form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our cash at financial institutions, often in balances that exceed federally insured limits.</w:t>
      </w:r>
    </w:p>
    <w:p>
      <w:pPr>
        <w:spacing w:after="0" w:line="22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The majority of our cash is held in accounts at U.S. banking institutions that we believe are of high quality. Cash held in depository accounts may exceed the $250,000 Federal Deposit Insurance Corporation (“FDIC”) insurance limits. If such banking institutions were to fail, we could lose all or a portion of those amounts held in excess of such insurance limitations. By way of example, the FDIC took control of Silicon Valley Bank (“SVB”) on March 10, 2023. Similarly, on March 12, 2023, Signature Bank and Silvergate Capital Corp. were each swept into receivership. Although depositors at SVB received access to their funds,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 Additionally,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Uncertainties relating to our ability to fund our operations for at least the next 12 months raises substantial doubt about our ability to continue as a going concern.</w:t>
      </w:r>
    </w:p>
    <w:p>
      <w:pPr>
        <w:spacing w:after="0" w:line="170"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As of June 30, 2023, we had an accumulated shareholders’ deficit of approximately $473.5 million and approximately $10.9 million of cash and cash equivalents and $1.0 million of positive working capital available for use to fund our operations and capital requirements. We do not currently have sufficient available liquidity to fund our operations for at least the next 12 months. Consequently, absent further actions, these matters raise substantial doubt about our ability to continue as a going concern within one year after the date that the condensed financial statements in this Form 10-Q are issued.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firstLine="749"/>
        <w:spacing w:after="0" w:line="291" w:lineRule="auto"/>
        <w:rPr>
          <w:sz w:val="20"/>
          <w:szCs w:val="20"/>
          <w:color w:val="auto"/>
        </w:rPr>
      </w:pPr>
      <w:r>
        <w:rPr>
          <w:rFonts w:ascii="Arial" w:cs="Arial" w:eastAsia="Arial" w:hAnsi="Arial"/>
          <w:sz w:val="16"/>
          <w:szCs w:val="16"/>
          <w:color w:val="auto"/>
        </w:rPr>
        <w:t>We have a history of generating losses and negative cash flows from operations. Our unaudited financial statements have been prepared under the assumption that we will continue as a going concern for the next twelve months. Our ability to continue as a going concern is dependent upon our ability to obtain additional debt, equity or other financing. If we are not able to resolve the going concern prior to the issuance of our financial statements for the fiscal year ending December 31, 2023, the reaction of investors to the inclusion of a going concern statement by our auditors, and our potential inability to continue as a going concern in future years could materially adversely affect our share price and our ability to raise new capital or enter into strategic alliances. Furthermore, we also could be required to seek funds through arrangements with collaborative partners or otherwise that may require us to relinquish rights to some of our intellectual property or product candidates or otherwise agree to terms unfavorable to us.</w:t>
      </w:r>
    </w:p>
    <w:p>
      <w:pPr>
        <w:spacing w:after="0" w:line="16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If we are unsuccessful in our efforts to raise any such additional capital, we would be required to take actions that could materially and adversely affect our business, including significant reductions in our research, development and administrative operations (including reduction of our employee base), possible surrender or other disposition of our rights to some technologies or product opportunities, delaying of our clinical trials or curtailing or ceasing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and quarterly report on Form 10-Q, as required by Section 404 of the Sarbanes-Oxley Act.</w:t>
      </w:r>
    </w:p>
    <w:p>
      <w:pPr>
        <w:spacing w:after="0" w:line="18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During the quarter ended June 30, 2023, we recognized immaterial grant revenue related to reimbursable development costs incurred in the fourth quarter of 2022 and the first quarter of 2023 that were eligible for revenue recognition in those respective prior periods. These costs were eligible for reimbursement under our CPRIT Grant, but were not correctly recognized in prior period grant revenue due to management’s view that insufficient progress had been made in the ReSPECT -LM clinical trial, despite no performance specific milestones in the grant outside of a reasonableness test for reimbursement of expenses. Management has concluded that the correction to grant revenue in the prior periods did not cause a material misstatement of our financial statements.</w:t>
      </w:r>
    </w:p>
    <w:p>
      <w:pPr>
        <w:spacing w:after="0" w:line="19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did not have adequate controls to apply appropriate accounting principles to significant and unusual grant revenue transactions. Specifically, controls over identification of significant and/or unusual transactions requiring technical analysis were not operating effectively. Management evaluated the impact of this deficiency on our disclosure controls and procedures and concluded that the control deficiency represents a material weakness.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While we will be taking remediation measures, we cannot assure investors that these measures will significantly improve or remediate the material weakness described above.</w:t>
      </w:r>
    </w:p>
    <w:p>
      <w:pPr>
        <w:spacing w:after="0" w:line="17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We may in the future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16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Furthermore, if our remediation of the material weakness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could be delisted from Nasdaq, which would seriously harm the liquidity of our stock and our ability to raise capital.</w:t>
      </w:r>
    </w:p>
    <w:p>
      <w:pPr>
        <w:spacing w:after="0" w:line="22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Nasdaq requires listing issuers to comply with certain standards in order to remain listed on its exchange. These requirements include, among other things, maintaining a closing bid price for our common stock of $1.00 per share (the “minimum bid price requirement”) and meeting one of the following three requirements: maintaining at least $2.5 million in stockholders’ equity; maintaining $35 million of market value of listed securities; or having $500,000 in net income over the prior two years or two of the prior three years. In 2022, we received notice that because the closing bid price for our common stock had fallen below $1.00 per share for 30 consecutive business days, we no longer complied with the minimum bid price requirement. While we cured this deficiency in 2023 after effecting the Reverse Stock Split, there is no assurance that we will be able to maintain compliance with this standard. As of June 30, 2023, our stockholders’ equity was $2.6 million and without raising additional capital it will continue to decline. The market value of out listed securities was below $35 million and we did not have net income in the last three years. Accordingly, we may not continue to meet the continued listing standards in the future.</w:t>
      </w:r>
    </w:p>
    <w:p>
      <w:pPr>
        <w:spacing w:after="0" w:line="181"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16"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liquidity and marketability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financing for the continuation of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institutional and general investors that will consider investing in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market makers in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information concerning the trading prices and volume of our common stock;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broker-dealers willing to execute trades in shares of our common stock.</w:t>
      </w:r>
    </w:p>
    <w:p>
      <w:pPr>
        <w:spacing w:after="0" w:line="2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10"/>
          </w:tcPr>
          <w:p>
            <w:pPr>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60" w:type="dxa"/>
            <w:vAlign w:val="bottom"/>
            <w:gridSpan w:val="14"/>
          </w:tcPr>
          <w:p>
            <w:pPr>
              <w:ind w:left="120"/>
              <w:spacing w:after="0"/>
              <w:rPr>
                <w:sz w:val="20"/>
                <w:szCs w:val="20"/>
                <w:color w:val="auto"/>
              </w:rPr>
            </w:pPr>
            <w:r>
              <w:rPr>
                <w:rFonts w:ascii="Arial" w:cs="Arial" w:eastAsia="Arial" w:hAnsi="Arial"/>
                <w:sz w:val="18"/>
                <w:szCs w:val="18"/>
                <w:b w:val="1"/>
                <w:bCs w:val="1"/>
                <w:color w:val="auto"/>
              </w:rPr>
              <w:t>PLUS THERAPEUTICS, INC.</w:t>
            </w:r>
          </w:p>
        </w:tc>
      </w:tr>
      <w:tr>
        <w:trPr>
          <w:trHeight w:val="418"/>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gridSpan w:val="15"/>
          </w:tcPr>
          <w:p>
            <w:pPr>
              <w:ind w:left="1240"/>
              <w:spacing w:after="0"/>
              <w:rPr>
                <w:sz w:val="20"/>
                <w:szCs w:val="20"/>
                <w:color w:val="auto"/>
              </w:rPr>
            </w:pPr>
            <w:r>
              <w:rPr>
                <w:rFonts w:ascii="Arial" w:cs="Arial" w:eastAsia="Arial" w:hAnsi="Arial"/>
                <w:sz w:val="16"/>
                <w:szCs w:val="16"/>
                <w:b w:val="1"/>
                <w:bCs w:val="1"/>
                <w:color w:val="auto"/>
              </w:rPr>
              <w:t>Exhibit Title</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4"/>
              </w:rPr>
              <w:t>Filed with</w:t>
            </w:r>
          </w:p>
        </w:tc>
      </w:tr>
      <w:tr>
        <w:trPr>
          <w:trHeight w:val="203"/>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Number</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this Form 10-</w:t>
            </w:r>
          </w:p>
        </w:tc>
      </w:tr>
      <w:tr>
        <w:trPr>
          <w:trHeight w:val="210"/>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Q</w:t>
            </w:r>
          </w:p>
        </w:tc>
      </w:tr>
      <w:tr>
        <w:trPr>
          <w:trHeight w:val="208"/>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2860" w:type="dxa"/>
            <w:vAlign w:val="bottom"/>
            <w:tcBorders>
              <w:bottom w:val="single" w:sz="8" w:color="0000EE"/>
            </w:tcBorders>
            <w:gridSpan w:val="5"/>
          </w:tcPr>
          <w:p>
            <w:pPr>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Composite Certificate of Incorporation</w:t>
              </w:r>
            </w:hyperlink>
          </w:p>
        </w:tc>
        <w:tc>
          <w:tcPr>
            <w:tcW w:w="2220" w:type="dxa"/>
            <w:vAlign w:val="bottom"/>
            <w:gridSpan w:val="1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0000FF"/>
            </w:tcBorders>
            <w:gridSpan w:val="11"/>
          </w:tcPr>
          <w:p>
            <w:pPr>
              <w:spacing w:after="0"/>
              <w:rPr>
                <w:rFonts w:ascii="Arial" w:cs="Arial" w:eastAsia="Arial" w:hAnsi="Arial"/>
                <w:sz w:val="18"/>
                <w:szCs w:val="18"/>
                <w:color w:val="0000FF"/>
                <w:w w:val="91"/>
              </w:rPr>
            </w:pPr>
            <w:hyperlink r:id="rId134">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4600" w:type="dxa"/>
            <w:vAlign w:val="bottom"/>
            <w:tcBorders>
              <w:bottom w:val="single" w:sz="8" w:color="0000FF"/>
            </w:tcBorders>
            <w:gridSpan w:val="11"/>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4600" w:type="dxa"/>
            <w:vAlign w:val="bottom"/>
            <w:tcBorders>
              <w:bottom w:val="single" w:sz="8" w:color="0000FF"/>
            </w:tcBorders>
            <w:gridSpan w:val="11"/>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3.5</w:t>
            </w:r>
          </w:p>
        </w:tc>
        <w:tc>
          <w:tcPr>
            <w:tcW w:w="4600" w:type="dxa"/>
            <w:vAlign w:val="bottom"/>
            <w:tcBorders>
              <w:bottom w:val="single" w:sz="8" w:color="0000FF"/>
            </w:tcBorders>
            <w:gridSpan w:val="11"/>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8"/>
        </w:trPr>
        <w:tc>
          <w:tcPr>
            <w:tcW w:w="1020" w:type="dxa"/>
            <w:vAlign w:val="bottom"/>
          </w:tcPr>
          <w:p>
            <w:pPr>
              <w:spacing w:after="0"/>
              <w:rPr>
                <w:sz w:val="20"/>
                <w:szCs w:val="20"/>
                <w:color w:val="auto"/>
              </w:rPr>
            </w:pPr>
            <w:r>
              <w:rPr>
                <w:rFonts w:ascii="Arial" w:cs="Arial" w:eastAsia="Arial" w:hAnsi="Arial"/>
                <w:sz w:val="18"/>
                <w:szCs w:val="18"/>
                <w:color w:val="auto"/>
              </w:rPr>
              <w:t>3.6</w:t>
            </w:r>
          </w:p>
        </w:tc>
        <w:tc>
          <w:tcPr>
            <w:tcW w:w="4600" w:type="dxa"/>
            <w:vAlign w:val="bottom"/>
            <w:tcBorders>
              <w:bottom w:val="single" w:sz="8" w:color="0000FF"/>
            </w:tcBorders>
            <w:gridSpan w:val="11"/>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Certificate of Amendment to Amended and Restated Certificate</w:t>
              </w:r>
            </w:hyperlink>
          </w:p>
        </w:tc>
        <w:tc>
          <w:tcPr>
            <w:tcW w:w="4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7"/>
        </w:trPr>
        <w:tc>
          <w:tcPr>
            <w:tcW w:w="1020" w:type="dxa"/>
            <w:vAlign w:val="bottom"/>
          </w:tcPr>
          <w:p>
            <w:pPr>
              <w:spacing w:after="0"/>
              <w:rPr>
                <w:sz w:val="20"/>
                <w:szCs w:val="20"/>
                <w:color w:val="auto"/>
              </w:rPr>
            </w:pPr>
            <w:r>
              <w:rPr>
                <w:rFonts w:ascii="Arial" w:cs="Arial" w:eastAsia="Arial" w:hAnsi="Arial"/>
                <w:sz w:val="18"/>
                <w:szCs w:val="18"/>
                <w:color w:val="auto"/>
              </w:rPr>
              <w:t>3.7</w:t>
            </w:r>
          </w:p>
        </w:tc>
        <w:tc>
          <w:tcPr>
            <w:tcW w:w="5080" w:type="dxa"/>
            <w:vAlign w:val="bottom"/>
            <w:gridSpan w:val="17"/>
          </w:tcPr>
          <w:p>
            <w:pPr>
              <w:spacing w:after="0"/>
              <w:rPr>
                <w:rFonts w:ascii="Arial" w:cs="Arial" w:eastAsia="Arial" w:hAnsi="Arial"/>
                <w:sz w:val="18"/>
                <w:szCs w:val="18"/>
                <w:color w:val="0000FF"/>
              </w:rPr>
            </w:pPr>
            <w:hyperlink r:id="rId139">
              <w:r>
                <w:rPr>
                  <w:rFonts w:ascii="Arial" w:cs="Arial" w:eastAsia="Arial" w:hAnsi="Arial"/>
                  <w:sz w:val="18"/>
                  <w:szCs w:val="18"/>
                  <w:color w:val="0000FF"/>
                </w:rPr>
                <w:t>Amended and Restated Bylaws of Plus Therapeutics, Inc.</w:t>
              </w:r>
            </w:hyperlink>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82"/>
        </w:trPr>
        <w:tc>
          <w:tcPr>
            <w:tcW w:w="1020" w:type="dxa"/>
            <w:vAlign w:val="bottom"/>
          </w:tcPr>
          <w:p>
            <w:pPr>
              <w:spacing w:after="0"/>
              <w:rPr>
                <w:sz w:val="20"/>
                <w:szCs w:val="20"/>
                <w:color w:val="auto"/>
              </w:rPr>
            </w:pPr>
            <w:r>
              <w:rPr>
                <w:rFonts w:ascii="Arial" w:cs="Arial" w:eastAsia="Arial" w:hAnsi="Arial"/>
                <w:sz w:val="18"/>
                <w:szCs w:val="18"/>
                <w:color w:val="auto"/>
              </w:rPr>
              <w:t>3.8</w:t>
            </w:r>
          </w:p>
        </w:tc>
        <w:tc>
          <w:tcPr>
            <w:tcW w:w="5080" w:type="dxa"/>
            <w:vAlign w:val="bottom"/>
            <w:tcBorders>
              <w:bottom w:val="single" w:sz="8" w:color="0000FF"/>
            </w:tcBorders>
            <w:gridSpan w:val="17"/>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Certificate of Designation of Series F Preferred Stock, dated March 3,</w:t>
              </w:r>
            </w:hyperlink>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140">
              <w:r>
                <w:rPr>
                  <w:rFonts w:ascii="Arial" w:cs="Arial" w:eastAsia="Arial" w:hAnsi="Arial"/>
                  <w:sz w:val="18"/>
                  <w:szCs w:val="18"/>
                  <w:color w:val="0000FF"/>
                  <w:w w:val="84"/>
                </w:rPr>
                <w:t>2023</w:t>
              </w:r>
            </w:hyperlink>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5080" w:type="dxa"/>
            <w:vAlign w:val="bottom"/>
            <w:tcBorders>
              <w:bottom w:val="single" w:sz="8" w:color="0000FF"/>
            </w:tcBorders>
            <w:gridSpan w:val="17"/>
          </w:tcPr>
          <w:p>
            <w:pPr>
              <w:spacing w:after="0"/>
              <w:rPr>
                <w:rFonts w:ascii="Arial" w:cs="Arial" w:eastAsia="Arial" w:hAnsi="Arial"/>
                <w:sz w:val="18"/>
                <w:szCs w:val="18"/>
                <w:color w:val="0000FF"/>
                <w:w w:val="89"/>
              </w:rPr>
            </w:pPr>
            <w:hyperlink r:id="rId141">
              <w:r>
                <w:rPr>
                  <w:rFonts w:ascii="Arial" w:cs="Arial" w:eastAsia="Arial" w:hAnsi="Arial"/>
                  <w:sz w:val="18"/>
                  <w:szCs w:val="18"/>
                  <w:color w:val="0000FF"/>
                  <w:w w:val="89"/>
                </w:rPr>
                <w:t>Plus Therapeutics, Inc. 2020 Stock Incentive Plan, as further amended</w:t>
              </w:r>
            </w:hyperlink>
          </w:p>
        </w:tc>
        <w:tc>
          <w:tcPr>
            <w:tcW w:w="20" w:type="dxa"/>
            <w:vAlign w:val="bottom"/>
            <w:tcBorders>
              <w:bottom w:val="single" w:sz="8" w:color="0000FF"/>
            </w:tcBorders>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080" w:type="dxa"/>
            <w:vAlign w:val="bottom"/>
            <w:gridSpan w:val="17"/>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and restated</w:t>
              </w:r>
            </w:hyperlink>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5080" w:type="dxa"/>
            <w:vAlign w:val="bottom"/>
            <w:gridSpan w:val="17"/>
          </w:tcPr>
          <w:p>
            <w:pPr>
              <w:spacing w:after="0"/>
              <w:rPr>
                <w:sz w:val="20"/>
                <w:szCs w:val="20"/>
                <w:color w:val="auto"/>
              </w:rPr>
            </w:pPr>
            <w:r>
              <w:rPr>
                <w:rFonts w:ascii="Arial" w:cs="Arial" w:eastAsia="Arial" w:hAnsi="Arial"/>
                <w:sz w:val="18"/>
                <w:szCs w:val="18"/>
                <w:color w:val="0000FF"/>
              </w:rPr>
              <w:t>Tenth Amendment to Loan and Security Agreement</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1020" w:type="dxa"/>
            <w:vAlign w:val="bottom"/>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47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3"/>
              </w:rPr>
              <w:t>Certification of Principal Executive Officer Pursuant to Securities</w:t>
            </w:r>
          </w:p>
        </w:tc>
        <w:tc>
          <w:tcPr>
            <w:tcW w:w="3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20" w:type="dxa"/>
            <w:vAlign w:val="bottom"/>
          </w:tcPr>
          <w:p>
            <w:pPr>
              <w:spacing w:after="0"/>
              <w:rPr>
                <w:sz w:val="17"/>
                <w:szCs w:val="17"/>
                <w:color w:val="auto"/>
              </w:rPr>
            </w:pPr>
          </w:p>
        </w:tc>
        <w:tc>
          <w:tcPr>
            <w:tcW w:w="500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0"/>
              </w:rPr>
              <w:t>Exchange Act Rule 13a-14(a), as adopted pursuant to Section 302 of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80" w:type="dxa"/>
            <w:vAlign w:val="bottom"/>
            <w:gridSpan w:val="17"/>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3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3"/>
              </w:rPr>
              <w:t>Certification of Principal Financial and Accounting Officer Pursuant</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20" w:type="dxa"/>
            <w:vAlign w:val="bottom"/>
          </w:tcPr>
          <w:p>
            <w:pPr>
              <w:spacing w:after="0"/>
              <w:rPr>
                <w:sz w:val="17"/>
                <w:szCs w:val="17"/>
                <w:color w:val="auto"/>
              </w:rPr>
            </w:pPr>
          </w:p>
        </w:tc>
        <w:tc>
          <w:tcPr>
            <w:tcW w:w="484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to Securities Exchange Act Rule 13a-14(a), as adopted pursuant to</w:t>
            </w:r>
          </w:p>
        </w:tc>
        <w:tc>
          <w:tcPr>
            <w:tcW w:w="2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6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44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Certifications Pursuant to 18 U.S.C. Section 1350/ Securities</w:t>
            </w:r>
          </w:p>
        </w:tc>
        <w:tc>
          <w:tcPr>
            <w:tcW w:w="6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20" w:type="dxa"/>
            <w:vAlign w:val="bottom"/>
          </w:tcPr>
          <w:p>
            <w:pPr>
              <w:spacing w:after="0"/>
              <w:rPr>
                <w:sz w:val="17"/>
                <w:szCs w:val="17"/>
                <w:color w:val="auto"/>
              </w:rPr>
            </w:pPr>
          </w:p>
        </w:tc>
        <w:tc>
          <w:tcPr>
            <w:tcW w:w="500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0"/>
              </w:rPr>
              <w:t>Exchange Act Rule 13a-14(b), as adopted pursuant to Section 906 of</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4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the Sarbanes - Oxley Act of 2002</w:t>
            </w:r>
          </w:p>
        </w:tc>
        <w:tc>
          <w:tcPr>
            <w:tcW w:w="26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080" w:type="dxa"/>
            <w:vAlign w:val="bottom"/>
            <w:gridSpan w:val="17"/>
          </w:tcPr>
          <w:p>
            <w:pPr>
              <w:spacing w:after="0"/>
              <w:rPr>
                <w:sz w:val="20"/>
                <w:szCs w:val="20"/>
                <w:color w:val="auto"/>
              </w:rPr>
            </w:pPr>
            <w:r>
              <w:rPr>
                <w:rFonts w:ascii="Arial" w:cs="Arial" w:eastAsia="Arial" w:hAnsi="Arial"/>
                <w:sz w:val="18"/>
                <w:szCs w:val="18"/>
                <w:color w:val="auto"/>
                <w:w w:val="95"/>
              </w:rPr>
              <w:t>Inline XBRL Instance Document – the instance document does not</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1020" w:type="dxa"/>
            <w:vAlign w:val="bottom"/>
          </w:tcPr>
          <w:p>
            <w:pPr>
              <w:spacing w:after="0"/>
              <w:rPr>
                <w:sz w:val="18"/>
                <w:szCs w:val="18"/>
                <w:color w:val="auto"/>
              </w:rPr>
            </w:pPr>
          </w:p>
        </w:tc>
        <w:tc>
          <w:tcPr>
            <w:tcW w:w="5080" w:type="dxa"/>
            <w:vAlign w:val="bottom"/>
            <w:gridSpan w:val="17"/>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508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080" w:type="dxa"/>
            <w:vAlign w:val="bottom"/>
            <w:gridSpan w:val="17"/>
          </w:tcPr>
          <w:p>
            <w:pPr>
              <w:spacing w:after="0"/>
              <w:rPr>
                <w:sz w:val="20"/>
                <w:szCs w:val="20"/>
                <w:color w:val="auto"/>
              </w:rPr>
            </w:pPr>
            <w:r>
              <w:rPr>
                <w:rFonts w:ascii="Arial" w:cs="Arial" w:eastAsia="Arial" w:hAnsi="Arial"/>
                <w:sz w:val="18"/>
                <w:szCs w:val="18"/>
                <w:color w:val="auto"/>
              </w:rPr>
              <w:t>Inline XBRL Schema Document</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080" w:type="dxa"/>
            <w:vAlign w:val="bottom"/>
            <w:gridSpan w:val="17"/>
          </w:tcPr>
          <w:p>
            <w:pPr>
              <w:spacing w:after="0"/>
              <w:rPr>
                <w:sz w:val="20"/>
                <w:szCs w:val="20"/>
                <w:color w:val="auto"/>
              </w:rPr>
            </w:pPr>
            <w:r>
              <w:rPr>
                <w:rFonts w:ascii="Arial" w:cs="Arial" w:eastAsia="Arial" w:hAnsi="Arial"/>
                <w:sz w:val="18"/>
                <w:szCs w:val="18"/>
                <w:color w:val="auto"/>
              </w:rPr>
              <w:t>Inline XBRL Calculation Linkbase Document</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080" w:type="dxa"/>
            <w:vAlign w:val="bottom"/>
            <w:gridSpan w:val="17"/>
          </w:tcPr>
          <w:p>
            <w:pPr>
              <w:spacing w:after="0"/>
              <w:rPr>
                <w:sz w:val="20"/>
                <w:szCs w:val="20"/>
                <w:color w:val="auto"/>
              </w:rPr>
            </w:pPr>
            <w:r>
              <w:rPr>
                <w:rFonts w:ascii="Arial" w:cs="Arial" w:eastAsia="Arial" w:hAnsi="Arial"/>
                <w:sz w:val="18"/>
                <w:szCs w:val="18"/>
                <w:color w:val="auto"/>
              </w:rPr>
              <w:t>Inline XBRL Definition Linkbase Document</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5080" w:type="dxa"/>
            <w:vAlign w:val="bottom"/>
            <w:gridSpan w:val="17"/>
          </w:tcPr>
          <w:p>
            <w:pPr>
              <w:spacing w:after="0"/>
              <w:rPr>
                <w:sz w:val="20"/>
                <w:szCs w:val="20"/>
                <w:color w:val="auto"/>
              </w:rPr>
            </w:pPr>
            <w:r>
              <w:rPr>
                <w:rFonts w:ascii="Arial" w:cs="Arial" w:eastAsia="Arial" w:hAnsi="Arial"/>
                <w:sz w:val="18"/>
                <w:szCs w:val="18"/>
                <w:color w:val="auto"/>
              </w:rPr>
              <w:t>Inline XBRL Label Linkbase Document</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5080" w:type="dxa"/>
            <w:vAlign w:val="bottom"/>
            <w:gridSpan w:val="17"/>
          </w:tcPr>
          <w:p>
            <w:pPr>
              <w:spacing w:after="0"/>
              <w:rPr>
                <w:sz w:val="20"/>
                <w:szCs w:val="20"/>
                <w:color w:val="auto"/>
              </w:rPr>
            </w:pPr>
            <w:r>
              <w:rPr>
                <w:rFonts w:ascii="Arial" w:cs="Arial" w:eastAsia="Arial" w:hAnsi="Arial"/>
                <w:sz w:val="18"/>
                <w:szCs w:val="18"/>
                <w:color w:val="auto"/>
              </w:rPr>
              <w:t>Inline XBRL Presentation Linkbase Document</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5080" w:type="dxa"/>
            <w:vAlign w:val="bottom"/>
            <w:gridSpan w:val="17"/>
          </w:tcPr>
          <w:p>
            <w:pPr>
              <w:spacing w:after="0"/>
              <w:rPr>
                <w:sz w:val="20"/>
                <w:szCs w:val="20"/>
                <w:color w:val="auto"/>
              </w:rPr>
            </w:pPr>
            <w:r>
              <w:rPr>
                <w:rFonts w:ascii="Arial" w:cs="Arial" w:eastAsia="Arial" w:hAnsi="Arial"/>
                <w:sz w:val="18"/>
                <w:szCs w:val="18"/>
                <w:color w:val="auto"/>
                <w:w w:val="99"/>
              </w:rPr>
              <w:t>Cover Page Interactive Data File (formatted as Inline XBRL and</w:t>
            </w: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1020" w:type="dxa"/>
            <w:vAlign w:val="bottom"/>
          </w:tcPr>
          <w:p>
            <w:pPr>
              <w:spacing w:after="0"/>
              <w:rPr>
                <w:sz w:val="20"/>
                <w:szCs w:val="20"/>
                <w:color w:val="auto"/>
              </w:rPr>
            </w:pPr>
          </w:p>
        </w:tc>
        <w:tc>
          <w:tcPr>
            <w:tcW w:w="5080" w:type="dxa"/>
            <w:vAlign w:val="bottom"/>
            <w:gridSpan w:val="17"/>
          </w:tcPr>
          <w:p>
            <w:pPr>
              <w:spacing w:after="0"/>
              <w:rPr>
                <w:sz w:val="20"/>
                <w:szCs w:val="20"/>
                <w:color w:val="auto"/>
              </w:rPr>
            </w:pPr>
            <w:r>
              <w:rPr>
                <w:rFonts w:ascii="Arial" w:cs="Arial" w:eastAsia="Arial" w:hAnsi="Arial"/>
                <w:sz w:val="18"/>
                <w:szCs w:val="18"/>
                <w:color w:val="auto"/>
              </w:rPr>
              <w:t>contained in Exhibit 101)</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61"/>
        </w:trPr>
        <w:tc>
          <w:tcPr>
            <w:tcW w:w="1020" w:type="dxa"/>
            <w:vAlign w:val="bottom"/>
          </w:tcPr>
          <w:p>
            <w:pPr>
              <w:spacing w:after="0"/>
              <w:rPr>
                <w:sz w:val="24"/>
                <w:szCs w:val="24"/>
                <w:color w:val="auto"/>
              </w:rPr>
            </w:pPr>
          </w:p>
        </w:tc>
        <w:tc>
          <w:tcPr>
            <w:tcW w:w="4440" w:type="dxa"/>
            <w:vAlign w:val="bottom"/>
            <w:gridSpan w:val="10"/>
          </w:tcPr>
          <w:p>
            <w:pPr>
              <w:ind w:left="410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80645</wp:posOffset>
            </wp:positionV>
            <wp:extent cx="20656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20" w:lineRule="exact"/>
        <w:rPr>
          <w:sz w:val="20"/>
          <w:szCs w:val="20"/>
          <w:color w:val="auto"/>
        </w:rPr>
      </w:pPr>
    </w:p>
    <w:p>
      <w:pPr>
        <w:spacing w:after="0"/>
        <w:tabs>
          <w:tab w:leader="none" w:pos="820" w:val="left"/>
          <w:tab w:leader="none" w:pos="204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5"/>
          <w:szCs w:val="15"/>
          <w:b w:val="1"/>
          <w:bCs w:val="1"/>
          <w:color w:val="auto"/>
        </w:rPr>
        <w:t>Date Filed</w:t>
      </w:r>
    </w:p>
    <w:p>
      <w:pPr>
        <w:spacing w:after="0" w:line="126" w:lineRule="exact"/>
        <w:rPr>
          <w:sz w:val="20"/>
          <w:szCs w:val="20"/>
          <w:color w:val="auto"/>
        </w:rPr>
      </w:pPr>
    </w:p>
    <w:p>
      <w:pPr>
        <w:ind w:left="720" w:hanging="738"/>
        <w:spacing w:after="0" w:line="277" w:lineRule="auto"/>
        <w:tabs>
          <w:tab w:leader="none" w:pos="7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001-34375 03/11/2016 Exhibit 3.1</w:t>
      </w:r>
    </w:p>
    <w:p>
      <w:pPr>
        <w:spacing w:after="0" w:line="130" w:lineRule="exact"/>
        <w:rPr>
          <w:sz w:val="20"/>
          <w:szCs w:val="20"/>
          <w:color w:val="auto"/>
        </w:rPr>
      </w:pPr>
    </w:p>
    <w:p>
      <w:pPr>
        <w:ind w:left="72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05/10/2016 Exhibit 3.1</w:t>
      </w:r>
    </w:p>
    <w:p>
      <w:pPr>
        <w:spacing w:after="0" w:line="130" w:lineRule="exact"/>
        <w:rPr>
          <w:sz w:val="20"/>
          <w:szCs w:val="20"/>
          <w:color w:val="auto"/>
        </w:rPr>
      </w:pPr>
    </w:p>
    <w:p>
      <w:pPr>
        <w:ind w:left="72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05/23/2018 Exhibit 3.1</w:t>
      </w:r>
    </w:p>
    <w:p>
      <w:pPr>
        <w:spacing w:after="0" w:line="130" w:lineRule="exact"/>
        <w:rPr>
          <w:sz w:val="20"/>
          <w:szCs w:val="20"/>
          <w:color w:val="auto"/>
        </w:rPr>
      </w:pPr>
    </w:p>
    <w:p>
      <w:pPr>
        <w:ind w:left="72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07/29/2019 Exhibit 3.1</w:t>
      </w:r>
    </w:p>
    <w:p>
      <w:pPr>
        <w:spacing w:after="0" w:line="130" w:lineRule="exact"/>
        <w:rPr>
          <w:sz w:val="20"/>
          <w:szCs w:val="20"/>
          <w:color w:val="auto"/>
        </w:rPr>
      </w:pPr>
    </w:p>
    <w:p>
      <w:pPr>
        <w:ind w:left="72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08/06/2019 Exhibit 3.1</w:t>
      </w:r>
    </w:p>
    <w:p>
      <w:pPr>
        <w:spacing w:after="0" w:line="130" w:lineRule="exact"/>
        <w:rPr>
          <w:sz w:val="20"/>
          <w:szCs w:val="20"/>
          <w:color w:val="auto"/>
        </w:rPr>
      </w:pPr>
    </w:p>
    <w:p>
      <w:pPr>
        <w:ind w:left="720" w:hanging="693"/>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04/28/2023 Exhibit 3.1</w:t>
      </w:r>
    </w:p>
    <w:p>
      <w:pPr>
        <w:spacing w:after="0" w:line="130" w:lineRule="exact"/>
        <w:rPr>
          <w:sz w:val="20"/>
          <w:szCs w:val="20"/>
          <w:color w:val="auto"/>
        </w:rPr>
      </w:pPr>
    </w:p>
    <w:p>
      <w:pPr>
        <w:ind w:left="720" w:hanging="670"/>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09/21/2021 Exhibit 3.1</w:t>
      </w:r>
    </w:p>
    <w:p>
      <w:pPr>
        <w:spacing w:after="0" w:line="224" w:lineRule="exact"/>
        <w:rPr>
          <w:sz w:val="20"/>
          <w:szCs w:val="20"/>
          <w:color w:val="auto"/>
        </w:rPr>
      </w:pPr>
    </w:p>
    <w:p>
      <w:pPr>
        <w:ind w:left="720" w:hanging="670"/>
        <w:spacing w:after="0" w:line="277"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03/03/2023 Exhibit 3.1</w:t>
      </w:r>
    </w:p>
    <w:p>
      <w:pPr>
        <w:spacing w:after="0" w:line="224" w:lineRule="exact"/>
        <w:rPr>
          <w:sz w:val="20"/>
          <w:szCs w:val="20"/>
          <w:color w:val="auto"/>
        </w:rPr>
      </w:pPr>
    </w:p>
    <w:p>
      <w:pPr>
        <w:ind w:left="680" w:hanging="626"/>
        <w:spacing w:after="0" w:line="277" w:lineRule="auto"/>
        <w:tabs>
          <w:tab w:leader="none" w:pos="6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04/21/2023 Exhibit 10.1</w:t>
      </w:r>
    </w:p>
    <w:p>
      <w:pPr>
        <w:sectPr>
          <w:pgSz w:w="11900" w:h="16838" w:orient="portrait"/>
          <w:cols w:equalWidth="0" w:num="2">
            <w:col w:w="7560" w:space="160"/>
            <w:col w:w="2840"/>
          </w:cols>
          <w:pgMar w:left="320" w:top="337" w:right="1019" w:bottom="1440" w:gutter="0" w:footer="0" w:header="0"/>
        </w:sectPr>
      </w:pPr>
    </w:p>
    <w:bookmarkStart w:id="30" w:name="page31"/>
    <w:bookmarkEnd w:id="30"/>
    <w:p>
      <w:pPr>
        <w:jc w:val="both"/>
        <w:ind w:left="512" w:hanging="512"/>
        <w:spacing w:after="0" w:line="220" w:lineRule="exact"/>
        <w:tabs>
          <w:tab w:leader="none" w:pos="3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449" w:right="41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PLUS THERAPEUTICS, INC.</w:t>
      </w:r>
    </w:p>
    <w:p>
      <w:pPr>
        <w:spacing w:after="0" w:line="283"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7"/>
          <w:szCs w:val="17"/>
          <w:color w:val="auto"/>
        </w:rPr>
        <w:t>Marc H. Hedrick</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President &amp; Chief Executive Officer (Duly Authorized</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Officer and Principal Executive Officer)</w:t>
      </w:r>
    </w:p>
    <w:p>
      <w:pPr>
        <w:spacing w:after="0" w:line="265"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color w:val="auto"/>
        </w:rPr>
        <w:t>Andrew Sims</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Chief Financial Officer (Duly Authorized Officer and</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Principal Financial Officer and Principal Accounting</w:t>
      </w:r>
    </w:p>
    <w:p>
      <w:pPr>
        <w:spacing w:after="0" w:line="21"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 w:name="page33"/>
    <w:bookmarkEnd w:id="32"/>
    <w:p>
      <w:pPr>
        <w:ind w:left="8060"/>
        <w:spacing w:after="0"/>
        <w:rPr>
          <w:sz w:val="20"/>
          <w:szCs w:val="20"/>
          <w:color w:val="auto"/>
        </w:rPr>
      </w:pPr>
      <w:r>
        <w:rPr>
          <w:rFonts w:ascii="Arial" w:cs="Arial" w:eastAsia="Arial" w:hAnsi="Arial"/>
          <w:sz w:val="22"/>
          <w:szCs w:val="22"/>
          <w:b w:val="1"/>
          <w:bCs w:val="1"/>
          <w:color w:val="auto"/>
        </w:rPr>
        <w:t>Exhibit 10.2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 AMENDMENT TO LOAN AND SECURITY AGREEMENT</w:t>
      </w: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THIS TENTH AMENDMENT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made effective as of June 28, 2023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Date</w:t>
      </w:r>
      <w:r>
        <w:rPr>
          <w:rFonts w:ascii="Arial" w:cs="Arial" w:eastAsia="Arial" w:hAnsi="Arial"/>
          <w:sz w:val="17"/>
          <w:szCs w:val="17"/>
          <w:color w:val="auto"/>
        </w:rPr>
        <w:t>”) and made, by and among OXFORD FINANCE LLC, a Delaware limited liability company with an office located at 115 South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Union Street, Suite 300, Alexandria, Virginia 22314 (in its individual capacity, “</w:t>
      </w:r>
      <w:r>
        <w:rPr>
          <w:rFonts w:ascii="Arial" w:cs="Arial" w:eastAsia="Arial" w:hAnsi="Arial"/>
          <w:sz w:val="16"/>
          <w:szCs w:val="16"/>
          <w:b w:val="1"/>
          <w:bCs w:val="1"/>
          <w:color w:val="auto"/>
        </w:rPr>
        <w:t>Oxford</w:t>
      </w:r>
      <w:r>
        <w:rPr>
          <w:rFonts w:ascii="Arial" w:cs="Arial" w:eastAsia="Arial" w:hAnsi="Arial"/>
          <w:sz w:val="16"/>
          <w:szCs w:val="16"/>
          <w:color w:val="auto"/>
        </w:rPr>
        <w:t>”; and in its capacity as Collateral Agent, “</w:t>
      </w:r>
      <w:r>
        <w:rPr>
          <w:rFonts w:ascii="Arial" w:cs="Arial" w:eastAsia="Arial" w:hAnsi="Arial"/>
          <w:sz w:val="16"/>
          <w:szCs w:val="16"/>
          <w:b w:val="1"/>
          <w:bCs w:val="1"/>
          <w:color w:val="auto"/>
        </w:rPr>
        <w:t>Collateral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Lenders listed on Schedule 1.1 from time to time to the Loan Agreement (defined below) including Oxford in its capacity as a Lender (each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PLUS THERAPEUTICS, INC., a Delaware corporation with offices located at 4200 Marathon Blvd.,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Suite 200, Austin, Texas 78756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1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WHEREAS, Collateral Agent, Borrower and Lenders party thereto from time to time have entered into that certain Loan and Security Agreement, dated as of May 29, 2015 (as amended,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pursuant to which Lenders have provided to Borrower certain loans in accordance with the terms and conditions thereof; and</w:t>
      </w:r>
    </w:p>
    <w:p>
      <w:pPr>
        <w:spacing w:after="0" w:line="17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WHEREAS, Borrower, Lenders and Collateral Agent desire to amend certain provisions of the Loan Agreement as provided herein and subject to the terms and conditions set forth herein;</w:t>
      </w:r>
    </w:p>
    <w:p>
      <w:pPr>
        <w:spacing w:after="0" w:line="184"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46" w:lineRule="exact"/>
        <w:rPr>
          <w:sz w:val="20"/>
          <w:szCs w:val="20"/>
          <w:color w:val="auto"/>
        </w:rPr>
      </w:pPr>
    </w:p>
    <w:p>
      <w:pPr>
        <w:ind w:left="740" w:hanging="378"/>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Capitalized terms used herein but not otherwise defined shall have the respective meanings given to them in the Loan Agreement.</w:t>
      </w:r>
    </w:p>
    <w:p>
      <w:pPr>
        <w:spacing w:after="0" w:line="236" w:lineRule="exact"/>
        <w:rPr>
          <w:rFonts w:ascii="Arial" w:cs="Arial" w:eastAsia="Arial" w:hAnsi="Arial"/>
          <w:sz w:val="17"/>
          <w:szCs w:val="17"/>
          <w:color w:val="auto"/>
        </w:rPr>
      </w:pPr>
    </w:p>
    <w:p>
      <w:pPr>
        <w:ind w:left="1940" w:right="800" w:hanging="1578"/>
        <w:spacing w:after="0" w:line="512" w:lineRule="auto"/>
        <w:tabs>
          <w:tab w:leader="none" w:pos="7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10 of the Loan Agreement is hereby amended by amending the address therein for Collateral Agent and Oxford as follows: If to Collateral Agent or Oxford: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429895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11" w:right="45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115 South Union Street, Suite 300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Alexandria, Virginia 22314 Attention: Legal Department Fax: (703) 519-5225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LegalDepartment@oxfordfinance.com</w:t>
      </w:r>
    </w:p>
    <w:p>
      <w:pPr>
        <w:spacing w:after="0" w:line="31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396240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34" w:name="page35"/>
    <w:bookmarkEnd w:id="34"/>
    <w:p>
      <w:pPr>
        <w:ind w:left="758"/>
        <w:spacing w:after="0"/>
        <w:rPr>
          <w:sz w:val="20"/>
          <w:szCs w:val="20"/>
          <w:color w:val="auto"/>
        </w:rPr>
      </w:pPr>
      <w:r>
        <w:rPr>
          <w:rFonts w:ascii="Arial" w:cs="Arial" w:eastAsia="Arial" w:hAnsi="Arial"/>
          <w:sz w:val="18"/>
          <w:szCs w:val="18"/>
          <w:color w:val="auto"/>
        </w:rPr>
        <w:t>Greenberg Traurig, LLP One International Place Boston, MA 02110 Attn: Abdullah</w:t>
      </w:r>
    </w:p>
    <w:p>
      <w:pPr>
        <w:spacing w:after="0" w:line="23" w:lineRule="exact"/>
        <w:rPr>
          <w:sz w:val="20"/>
          <w:szCs w:val="20"/>
          <w:color w:val="auto"/>
        </w:rPr>
      </w:pPr>
    </w:p>
    <w:p>
      <w:pPr>
        <w:ind w:left="618"/>
        <w:spacing w:after="0"/>
        <w:rPr>
          <w:sz w:val="20"/>
          <w:szCs w:val="20"/>
          <w:color w:val="auto"/>
        </w:rPr>
      </w:pPr>
      <w:r>
        <w:rPr>
          <w:rFonts w:ascii="Arial" w:cs="Arial" w:eastAsia="Arial" w:hAnsi="Arial"/>
          <w:sz w:val="18"/>
          <w:szCs w:val="18"/>
          <w:color w:val="auto"/>
        </w:rPr>
        <w:t>Malik Fax: (617) 897-0983</w:t>
      </w:r>
    </w:p>
    <w:p>
      <w:pPr>
        <w:spacing w:after="0" w:line="9" w:lineRule="exact"/>
        <w:rPr>
          <w:sz w:val="20"/>
          <w:szCs w:val="20"/>
          <w:color w:val="auto"/>
        </w:rPr>
      </w:pPr>
    </w:p>
    <w:p>
      <w:pPr>
        <w:ind w:left="618"/>
        <w:spacing w:after="0"/>
        <w:rPr>
          <w:sz w:val="20"/>
          <w:szCs w:val="20"/>
          <w:color w:val="auto"/>
        </w:rPr>
      </w:pPr>
      <w:r>
        <w:rPr>
          <w:rFonts w:ascii="Arial" w:cs="Arial" w:eastAsia="Arial" w:hAnsi="Arial"/>
          <w:sz w:val="18"/>
          <w:szCs w:val="18"/>
          <w:color w:val="auto"/>
        </w:rPr>
        <w:t>Email: malikab@gtlaw.com</w:t>
      </w:r>
    </w:p>
    <w:p>
      <w:pPr>
        <w:spacing w:after="0" w:line="211" w:lineRule="exact"/>
        <w:rPr>
          <w:sz w:val="20"/>
          <w:szCs w:val="20"/>
          <w:color w:val="auto"/>
        </w:rPr>
      </w:pPr>
    </w:p>
    <w:p>
      <w:pPr>
        <w:ind w:left="378" w:right="180" w:hanging="378"/>
        <w:spacing w:after="0" w:line="277" w:lineRule="auto"/>
        <w:tabs>
          <w:tab w:leader="none" w:pos="3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13.1 of the Loan Agreement is hereby amended, effective as of July 1, 2023, by amending and restating the definition of Basic Rate therein as follows:</w:t>
      </w:r>
    </w:p>
    <w:p>
      <w:pPr>
        <w:spacing w:after="0" w:line="166" w:lineRule="exact"/>
        <w:rPr>
          <w:rFonts w:ascii="Arial" w:cs="Arial" w:eastAsia="Arial" w:hAnsi="Arial"/>
          <w:sz w:val="18"/>
          <w:szCs w:val="18"/>
          <w:color w:val="auto"/>
        </w:rPr>
      </w:pPr>
    </w:p>
    <w:p>
      <w:pPr>
        <w:jc w:val="both"/>
        <w:ind w:left="378"/>
        <w:spacing w:after="0" w:line="25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Rate</w:t>
      </w:r>
      <w:r>
        <w:rPr>
          <w:rFonts w:ascii="Arial" w:cs="Arial" w:eastAsia="Arial" w:hAnsi="Arial"/>
          <w:sz w:val="18"/>
          <w:szCs w:val="18"/>
          <w:color w:val="auto"/>
        </w:rPr>
        <w:t>” is, with respect to a Term Loan, as determined by Collateral Agent, the per annum rate of interest (based on a year of three hundred sixty (360) days) equal to the greater of (i) Eight and Ninety-Five Hundredths percent (8.95%); and (ii) the sum of (a) 1-month Term SOFR, (b) .10%, and (c) Seven and Ninety-Five Hundredths percent (7.95%). Notwithstanding the foregoing, (i) in no event shall the Basic Rate for any Term Loan be less than Eight and Ninety-Five Hundredths percent (8.95%), (ii) upon the occurrence of a Benchmark Transition Event, Collateral Agent may, in good faith and with reference to the margin above such interest rate in this definition, amend this Agreement to replace the Benchmark with a replacement</w:t>
      </w:r>
    </w:p>
    <w:p>
      <w:pPr>
        <w:spacing w:after="0" w:line="285" w:lineRule="exact"/>
        <w:rPr>
          <w:rFonts w:ascii="Arial" w:cs="Arial" w:eastAsia="Arial" w:hAnsi="Arial"/>
          <w:sz w:val="18"/>
          <w:szCs w:val="18"/>
          <w:color w:val="auto"/>
        </w:rPr>
      </w:pPr>
    </w:p>
    <w:p>
      <w:pPr>
        <w:jc w:val="both"/>
        <w:ind w:left="378"/>
        <w:spacing w:after="0" w:line="293" w:lineRule="auto"/>
        <w:rPr>
          <w:rFonts w:ascii="Arial" w:cs="Arial" w:eastAsia="Arial" w:hAnsi="Arial"/>
          <w:sz w:val="18"/>
          <w:szCs w:val="18"/>
          <w:color w:val="auto"/>
        </w:rPr>
      </w:pPr>
      <w:r>
        <w:rPr>
          <w:rFonts w:ascii="Arial" w:cs="Arial" w:eastAsia="Arial" w:hAnsi="Arial"/>
          <w:sz w:val="16"/>
          <w:szCs w:val="16"/>
          <w:color w:val="auto"/>
        </w:rPr>
        <w:t>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and (iii) the Basic Rate for the Term Loans for the period from the June 1, 2023 through and including June 30, 2023 shall be as in effect prior to the Tenth Amendment Date. Any determination, decision or election that may be made by Collateral Agent pursuant hereto will be conclusive and binding absent manifest error and may be made in Collateral Agent’s sole discretion and without consent from any other party.</w:t>
      </w:r>
    </w:p>
    <w:p>
      <w:pPr>
        <w:spacing w:after="0" w:line="164" w:lineRule="exact"/>
        <w:rPr>
          <w:rFonts w:ascii="Arial" w:cs="Arial" w:eastAsia="Arial" w:hAnsi="Arial"/>
          <w:sz w:val="18"/>
          <w:szCs w:val="18"/>
          <w:color w:val="auto"/>
        </w:rPr>
      </w:pPr>
    </w:p>
    <w:p>
      <w:pPr>
        <w:ind w:left="378" w:right="200" w:hanging="378"/>
        <w:spacing w:after="0" w:line="277" w:lineRule="auto"/>
        <w:tabs>
          <w:tab w:leader="none" w:pos="3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13.1 of the Loan Agreement is hereby further amended, effective as of July 1, 2023, by adding the following thereto in alphabetical order:</w:t>
      </w:r>
    </w:p>
    <w:p>
      <w:pPr>
        <w:spacing w:after="0" w:line="166" w:lineRule="exact"/>
        <w:rPr>
          <w:rFonts w:ascii="Arial" w:cs="Arial" w:eastAsia="Arial" w:hAnsi="Arial"/>
          <w:sz w:val="18"/>
          <w:szCs w:val="18"/>
          <w:color w:val="auto"/>
        </w:rPr>
      </w:pPr>
    </w:p>
    <w:p>
      <w:pPr>
        <w:ind w:left="378"/>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1-Month CME Term SOFR</w:t>
      </w:r>
      <w:r>
        <w:rPr>
          <w:rFonts w:ascii="Arial" w:cs="Arial" w:eastAsia="Arial" w:hAnsi="Arial"/>
          <w:sz w:val="18"/>
          <w:szCs w:val="18"/>
          <w:color w:val="auto"/>
        </w:rPr>
        <w:t>” is the 1-month CME Term SOFR reference rate as published by the CME Term SOFR Administrator on the CME Term SOFR Administrator’s Website.</w:t>
      </w:r>
    </w:p>
    <w:p>
      <w:pPr>
        <w:spacing w:after="0" w:line="161" w:lineRule="exact"/>
        <w:rPr>
          <w:rFonts w:ascii="Arial" w:cs="Arial" w:eastAsia="Arial" w:hAnsi="Arial"/>
          <w:sz w:val="18"/>
          <w:szCs w:val="18"/>
          <w:color w:val="auto"/>
        </w:rPr>
      </w:pPr>
    </w:p>
    <w:p>
      <w:pPr>
        <w:jc w:val="both"/>
        <w:ind w:left="378"/>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w:t>
      </w:r>
      <w:r>
        <w:rPr>
          <w:rFonts w:ascii="Arial" w:cs="Arial" w:eastAsia="Arial" w:hAnsi="Arial"/>
          <w:sz w:val="18"/>
          <w:szCs w:val="18"/>
          <w:color w:val="auto"/>
        </w:rPr>
        <w:t>” is, initially, the 1-Month CME Term SOFR; provided, that if a Benchmark Transition Event has occurred with respect to the 1-Month CME Term SOFR or the then-current Benchmark, then “</w:t>
      </w:r>
      <w:r>
        <w:rPr>
          <w:rFonts w:ascii="Arial" w:cs="Arial" w:eastAsia="Arial" w:hAnsi="Arial"/>
          <w:sz w:val="18"/>
          <w:szCs w:val="18"/>
          <w:b w:val="1"/>
          <w:bCs w:val="1"/>
          <w:color w:val="auto"/>
        </w:rPr>
        <w:t>Benchmark</w:t>
      </w:r>
      <w:r>
        <w:rPr>
          <w:rFonts w:ascii="Arial" w:cs="Arial" w:eastAsia="Arial" w:hAnsi="Arial"/>
          <w:sz w:val="18"/>
          <w:szCs w:val="18"/>
          <w:color w:val="auto"/>
        </w:rPr>
        <w:t>” means the applicable replacement rate that has replaced the immediately preceding benchmark rate pursuant to the defined term “Basic Rate”.</w:t>
      </w:r>
    </w:p>
    <w:p>
      <w:pPr>
        <w:spacing w:after="0" w:line="175" w:lineRule="exact"/>
        <w:rPr>
          <w:rFonts w:ascii="Arial" w:cs="Arial" w:eastAsia="Arial" w:hAnsi="Arial"/>
          <w:sz w:val="18"/>
          <w:szCs w:val="18"/>
          <w:color w:val="auto"/>
        </w:rPr>
      </w:pPr>
    </w:p>
    <w:p>
      <w:pPr>
        <w:ind w:left="378"/>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Transition Event</w:t>
      </w:r>
      <w:r>
        <w:rPr>
          <w:rFonts w:ascii="Arial" w:cs="Arial" w:eastAsia="Arial" w:hAnsi="Arial"/>
          <w:sz w:val="16"/>
          <w:szCs w:val="16"/>
          <w:color w:val="auto"/>
        </w:rPr>
        <w:t>” means the occurrence of one or more of the following events with respect to the then-current Benchmark:</w:t>
      </w:r>
    </w:p>
    <w:p>
      <w:pPr>
        <w:spacing w:after="0" w:line="252" w:lineRule="exact"/>
        <w:rPr>
          <w:rFonts w:ascii="Arial" w:cs="Arial" w:eastAsia="Arial" w:hAnsi="Arial"/>
          <w:sz w:val="18"/>
          <w:szCs w:val="18"/>
          <w:color w:val="auto"/>
        </w:rPr>
      </w:pPr>
    </w:p>
    <w:p>
      <w:pPr>
        <w:jc w:val="both"/>
        <w:ind w:left="378" w:firstLine="745"/>
        <w:spacing w:after="0" w:line="263" w:lineRule="auto"/>
        <w:tabs>
          <w:tab w:leader="none" w:pos="154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spacing w:after="0" w:line="183" w:lineRule="exact"/>
        <w:rPr>
          <w:rFonts w:ascii="Arial" w:cs="Arial" w:eastAsia="Arial" w:hAnsi="Arial"/>
          <w:sz w:val="18"/>
          <w:szCs w:val="18"/>
          <w:color w:val="auto"/>
        </w:rPr>
      </w:pPr>
    </w:p>
    <w:p>
      <w:pPr>
        <w:jc w:val="both"/>
        <w:ind w:left="378" w:firstLine="745"/>
        <w:spacing w:after="0" w:line="255" w:lineRule="auto"/>
        <w:tabs>
          <w:tab w:leader="none" w:pos="154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spacing w:after="0" w:line="192" w:lineRule="exact"/>
        <w:rPr>
          <w:rFonts w:ascii="Arial" w:cs="Arial" w:eastAsia="Arial" w:hAnsi="Arial"/>
          <w:sz w:val="18"/>
          <w:szCs w:val="18"/>
          <w:color w:val="auto"/>
        </w:rPr>
      </w:pPr>
    </w:p>
    <w:p>
      <w:pPr>
        <w:jc w:val="both"/>
        <w:ind w:left="378" w:firstLine="745"/>
        <w:spacing w:after="0" w:line="263" w:lineRule="auto"/>
        <w:tabs>
          <w:tab w:leader="none" w:pos="154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181610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18"/>
          </w:cols>
          <w:pgMar w:left="822" w:top="206" w:right="459" w:bottom="1440" w:gutter="0" w:footer="0" w:header="0"/>
        </w:sectPr>
      </w:pPr>
    </w:p>
    <w:bookmarkStart w:id="35" w:name="page36"/>
    <w:bookmarkEnd w:id="35"/>
    <w:p>
      <w:pPr>
        <w:ind w:left="37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CME Term SOFR Administrator</w:t>
      </w:r>
      <w:r>
        <w:rPr>
          <w:rFonts w:ascii="Arial" w:cs="Arial" w:eastAsia="Arial" w:hAnsi="Arial"/>
          <w:sz w:val="18"/>
          <w:szCs w:val="18"/>
          <w:color w:val="auto"/>
        </w:rPr>
        <w:t>” is CME Group Benchmark Administration Limited, as administrator of the forward-looking term SOFR, or any successor administrator.</w:t>
      </w:r>
    </w:p>
    <w:p>
      <w:pPr>
        <w:spacing w:after="0" w:line="162" w:lineRule="exact"/>
        <w:rPr>
          <w:sz w:val="20"/>
          <w:szCs w:val="20"/>
          <w:color w:val="auto"/>
        </w:rPr>
      </w:pPr>
    </w:p>
    <w:p>
      <w:pPr>
        <w:ind w:left="37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CME Term SOFR Administrator’s Website</w:t>
      </w:r>
      <w:r>
        <w:rPr>
          <w:rFonts w:ascii="Arial" w:cs="Arial" w:eastAsia="Arial" w:hAnsi="Arial"/>
          <w:sz w:val="18"/>
          <w:szCs w:val="18"/>
          <w:color w:val="auto"/>
        </w:rPr>
        <w:t>” is the website of the CME Group Benchmark Administrator at http://www.cmegroup.com, or any successor source.</w:t>
      </w:r>
    </w:p>
    <w:p>
      <w:pPr>
        <w:spacing w:after="0" w:line="162" w:lineRule="exact"/>
        <w:rPr>
          <w:sz w:val="20"/>
          <w:szCs w:val="20"/>
          <w:color w:val="auto"/>
        </w:rPr>
      </w:pPr>
    </w:p>
    <w:p>
      <w:pPr>
        <w:ind w:left="37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Tenth Amendment Date</w:t>
      </w:r>
      <w:r>
        <w:rPr>
          <w:rFonts w:ascii="Arial" w:cs="Arial" w:eastAsia="Arial" w:hAnsi="Arial"/>
          <w:sz w:val="18"/>
          <w:szCs w:val="18"/>
          <w:color w:val="auto"/>
        </w:rPr>
        <w:t>” is June 28, 2023.</w:t>
      </w:r>
    </w:p>
    <w:p>
      <w:pPr>
        <w:spacing w:after="0" w:line="229" w:lineRule="exact"/>
        <w:rPr>
          <w:sz w:val="20"/>
          <w:szCs w:val="20"/>
          <w:color w:val="auto"/>
        </w:rPr>
      </w:pPr>
    </w:p>
    <w:p>
      <w:pPr>
        <w:ind w:left="378" w:hanging="378"/>
        <w:spacing w:after="0"/>
        <w:tabs>
          <w:tab w:leader="none" w:pos="3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 of Amendment.</w:t>
      </w:r>
    </w:p>
    <w:p>
      <w:pPr>
        <w:spacing w:after="0" w:line="225" w:lineRule="exact"/>
        <w:rPr>
          <w:rFonts w:ascii="Arial" w:cs="Arial" w:eastAsia="Arial" w:hAnsi="Arial"/>
          <w:sz w:val="18"/>
          <w:szCs w:val="18"/>
          <w:color w:val="auto"/>
        </w:rPr>
      </w:pPr>
    </w:p>
    <w:p>
      <w:pPr>
        <w:jc w:val="both"/>
        <w:ind w:left="1118" w:hanging="369"/>
        <w:spacing w:after="0" w:line="291" w:lineRule="auto"/>
        <w:tabs>
          <w:tab w:leader="none" w:pos="1118"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amendments set forth above are effective for the purposes set forth herein and shall be limited precisely as written and shall not be deemed to (a) be a consent to any amendment, waiver or modification of any other term or condition of any Loan Document, or</w:t>
      </w:r>
    </w:p>
    <w:p>
      <w:pPr>
        <w:ind w:left="1118"/>
        <w:spacing w:after="0" w:line="260" w:lineRule="auto"/>
        <w:tabs>
          <w:tab w:leader="none" w:pos="1377" w:val="left"/>
        </w:tabs>
        <w:numPr>
          <w:ilvl w:val="2"/>
          <w:numId w:val="18"/>
        </w:numPr>
        <w:rPr>
          <w:rFonts w:ascii="Arial" w:cs="Arial" w:eastAsia="Arial" w:hAnsi="Arial"/>
          <w:sz w:val="18"/>
          <w:szCs w:val="18"/>
          <w:color w:val="auto"/>
        </w:rPr>
      </w:pPr>
      <w:r>
        <w:rPr>
          <w:rFonts w:ascii="Arial" w:cs="Arial" w:eastAsia="Arial" w:hAnsi="Arial"/>
          <w:sz w:val="18"/>
          <w:szCs w:val="18"/>
          <w:color w:val="auto"/>
        </w:rPr>
        <w:t>otherwise prejudice any right, remedy or obligation which Lenders or Borrower may now have or may have in the future under or in connection with any Loan Document, as amended hereby.</w:t>
      </w:r>
    </w:p>
    <w:p>
      <w:pPr>
        <w:spacing w:after="0" w:line="185" w:lineRule="exact"/>
        <w:rPr>
          <w:rFonts w:ascii="Arial" w:cs="Arial" w:eastAsia="Arial" w:hAnsi="Arial"/>
          <w:sz w:val="18"/>
          <w:szCs w:val="18"/>
          <w:color w:val="auto"/>
        </w:rPr>
      </w:pPr>
    </w:p>
    <w:p>
      <w:pPr>
        <w:jc w:val="both"/>
        <w:ind w:left="1118" w:hanging="369"/>
        <w:spacing w:after="0" w:line="263" w:lineRule="auto"/>
        <w:tabs>
          <w:tab w:leader="none" w:pos="11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This Amendment shall be construed in connection with and as part of the Loan Documents and all terms, conditions, representations, warranties, covenants and agreements set forth in the Loan Documents, are hereby ratified and confirmed and shall remain in full force and effect.</w:t>
      </w:r>
    </w:p>
    <w:p>
      <w:pPr>
        <w:spacing w:after="0" w:line="183" w:lineRule="exact"/>
        <w:rPr>
          <w:rFonts w:ascii="Arial" w:cs="Arial" w:eastAsia="Arial" w:hAnsi="Arial"/>
          <w:sz w:val="18"/>
          <w:szCs w:val="18"/>
          <w:color w:val="auto"/>
        </w:rPr>
      </w:pPr>
    </w:p>
    <w:p>
      <w:pPr>
        <w:ind w:left="378" w:hanging="378"/>
        <w:spacing w:after="0" w:line="277" w:lineRule="auto"/>
        <w:tabs>
          <w:tab w:leader="none" w:pos="3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induce Collateral Agent and Lenders to enter into this Amendment, Borrower hereby represents and warrants to Collateral Agent and Lenders as follows:</w:t>
      </w:r>
    </w:p>
    <w:p>
      <w:pPr>
        <w:spacing w:after="0" w:line="170" w:lineRule="exact"/>
        <w:rPr>
          <w:rFonts w:ascii="Arial" w:cs="Arial" w:eastAsia="Arial" w:hAnsi="Arial"/>
          <w:sz w:val="18"/>
          <w:szCs w:val="18"/>
          <w:color w:val="auto"/>
        </w:rPr>
      </w:pPr>
    </w:p>
    <w:p>
      <w:pPr>
        <w:jc w:val="both"/>
        <w:ind w:left="1118" w:hanging="369"/>
        <w:spacing w:after="0" w:line="259" w:lineRule="auto"/>
        <w:tabs>
          <w:tab w:leader="none" w:pos="11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6" w:lineRule="exact"/>
        <w:rPr>
          <w:rFonts w:ascii="Arial" w:cs="Arial" w:eastAsia="Arial" w:hAnsi="Arial"/>
          <w:sz w:val="18"/>
          <w:szCs w:val="18"/>
          <w:color w:val="auto"/>
        </w:rPr>
      </w:pPr>
    </w:p>
    <w:p>
      <w:pPr>
        <w:ind w:left="1118" w:hanging="369"/>
        <w:spacing w:after="0" w:line="277" w:lineRule="auto"/>
        <w:tabs>
          <w:tab w:leader="none" w:pos="11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Borrower has the power and due authority to execute and deliver this Amendment and to perform its obligations under the Loan Agreement, as amended by this Amendment;</w:t>
      </w:r>
    </w:p>
    <w:p>
      <w:pPr>
        <w:spacing w:after="0" w:line="170" w:lineRule="exact"/>
        <w:rPr>
          <w:rFonts w:ascii="Arial" w:cs="Arial" w:eastAsia="Arial" w:hAnsi="Arial"/>
          <w:sz w:val="18"/>
          <w:szCs w:val="18"/>
          <w:color w:val="auto"/>
        </w:rPr>
      </w:pPr>
    </w:p>
    <w:p>
      <w:pPr>
        <w:jc w:val="both"/>
        <w:ind w:left="1118" w:hanging="369"/>
        <w:spacing w:after="0" w:line="263" w:lineRule="auto"/>
        <w:tabs>
          <w:tab w:leader="none" w:pos="11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organizational documents of Borrower delivered to Collateral Agent on the Effective Date, and updated pursuant to subsequent deliveries by or on behalf of the Borrower to the Collateral Agent, remain true, accurate and complete and have not been amended, supplemented or restated and are and continue to be in full force and effect;</w:t>
      </w:r>
    </w:p>
    <w:p>
      <w:pPr>
        <w:spacing w:after="0" w:line="183" w:lineRule="exact"/>
        <w:rPr>
          <w:rFonts w:ascii="Arial" w:cs="Arial" w:eastAsia="Arial" w:hAnsi="Arial"/>
          <w:sz w:val="18"/>
          <w:szCs w:val="18"/>
          <w:color w:val="auto"/>
        </w:rPr>
      </w:pPr>
    </w:p>
    <w:p>
      <w:pPr>
        <w:jc w:val="both"/>
        <w:ind w:left="1118" w:hanging="369"/>
        <w:spacing w:after="0" w:line="291" w:lineRule="auto"/>
        <w:tabs>
          <w:tab w:leader="none" w:pos="1118"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execution and delivery by Borrower of this Amendment and the performance by Borrower of its obligations under the Loan Agreement, as amended by this Amendment, do not contravene (i) any material law or regulation binding on or affecting Borrower,</w:t>
      </w:r>
    </w:p>
    <w:p>
      <w:pPr>
        <w:jc w:val="both"/>
        <w:ind w:left="1118"/>
        <w:spacing w:after="0" w:line="255" w:lineRule="auto"/>
        <w:tabs>
          <w:tab w:leader="none" w:pos="1385"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material contractual restriction with a Person binding on Borrower, (iii) any material order, judgment or decree of any court or other governmental or public body or authority, or subdivision thereof, binding on Borrower, or (iv) the organizational documents of Borrower;</w:t>
      </w:r>
    </w:p>
    <w:p>
      <w:pPr>
        <w:spacing w:after="0" w:line="176" w:lineRule="exact"/>
        <w:rPr>
          <w:rFonts w:ascii="Arial" w:cs="Arial" w:eastAsia="Arial" w:hAnsi="Arial"/>
          <w:sz w:val="18"/>
          <w:szCs w:val="18"/>
          <w:color w:val="auto"/>
        </w:rPr>
      </w:pPr>
    </w:p>
    <w:p>
      <w:pPr>
        <w:jc w:val="both"/>
        <w:ind w:left="1118" w:hanging="369"/>
        <w:spacing w:after="0" w:line="259" w:lineRule="auto"/>
        <w:tabs>
          <w:tab w:leader="none" w:pos="11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6" w:lineRule="exact"/>
        <w:rPr>
          <w:rFonts w:ascii="Arial" w:cs="Arial" w:eastAsia="Arial" w:hAnsi="Arial"/>
          <w:sz w:val="18"/>
          <w:szCs w:val="18"/>
          <w:color w:val="auto"/>
        </w:rPr>
      </w:pPr>
    </w:p>
    <w:p>
      <w:pPr>
        <w:jc w:val="both"/>
        <w:ind w:left="1118" w:hanging="369"/>
        <w:spacing w:after="0" w:line="259" w:lineRule="auto"/>
        <w:tabs>
          <w:tab w:leader="none" w:pos="11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320675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18"/>
          </w:cols>
          <w:pgMar w:left="822" w:top="337" w:right="459" w:bottom="1440" w:gutter="0" w:footer="0" w:header="0"/>
        </w:sectPr>
      </w:pPr>
    </w:p>
    <w:bookmarkStart w:id="36" w:name="page37"/>
    <w:bookmarkEnd w:id="36"/>
    <w:p>
      <w:pPr>
        <w:ind w:left="380" w:hanging="378"/>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expressly set forth herein, the Loan Agreement shall continue in full force and effect without alteration or amendment.</w:t>
      </w:r>
    </w:p>
    <w:p>
      <w:pPr>
        <w:spacing w:after="0" w:line="225" w:lineRule="exact"/>
        <w:rPr>
          <w:rFonts w:ascii="Arial" w:cs="Arial" w:eastAsia="Arial" w:hAnsi="Arial"/>
          <w:sz w:val="18"/>
          <w:szCs w:val="18"/>
          <w:color w:val="auto"/>
        </w:rPr>
      </w:pPr>
    </w:p>
    <w:p>
      <w:pPr>
        <w:jc w:val="both"/>
        <w:ind w:left="380" w:hanging="378"/>
        <w:spacing w:after="0" w:line="283"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Borrower hereby remises, releases, acquits, satisfies and forever discharges the Lenders and Collateral Agent, their agents, employees, officers, directors, predecessors, attorneys and all others acting or purporting to act on behalf of or at the direction of the Lenders and Collateral Agent </w:t>
      </w:r>
      <w:r>
        <w:rPr>
          <w:rFonts w:ascii="Arial" w:cs="Arial" w:eastAsia="Arial" w:hAnsi="Arial"/>
          <w:sz w:val="16"/>
          <w:szCs w:val="16"/>
          <w:b w:val="1"/>
          <w:bCs w:val="1"/>
          <w:color w:val="auto"/>
        </w:rPr>
        <w:t>(“Releasees</w:t>
      </w:r>
      <w:r>
        <w:rPr>
          <w:rFonts w:ascii="Arial" w:cs="Arial" w:eastAsia="Arial" w:hAnsi="Arial"/>
          <w:sz w:val="16"/>
          <w:szCs w:val="16"/>
          <w:color w:val="auto"/>
        </w:rPr>
        <w:t>”), of and from any and all manner of actions, causes of action, suit, debts, accounts, covenants, contracts, controversies, agreements, variances, damages, judgments, claims and demands whatsoever, in law or in equity, which any of such parties ever had, now has or, to the extent arising from or in connection with any act, omission or state of facts taken or existing on or prior to the date hereof, may have after the date hereof against the Releasees, for, upon or by reason of any matter, cause or thing whatsoever relating to or arising out of the Loan Agreement or the other Loan Documents on or prior to the date hereof and through the date hereof. Without limiting the generality of the foregoing, the Borrower waives and affirmatively agrees not to allege or otherwise pursue any defenses, affirmative defenses, counterclaims, claims, causes of action, setoffs or other rights they do, shall or may have as of the date hereof, including the rights to contest: (a) the right of Collateral Agent and each Lender to exercise its rights and remedies described in the Loan Documents;</w:t>
      </w:r>
    </w:p>
    <w:p>
      <w:pPr>
        <w:spacing w:after="0" w:line="4" w:lineRule="exact"/>
        <w:rPr>
          <w:rFonts w:ascii="Arial" w:cs="Arial" w:eastAsia="Arial" w:hAnsi="Arial"/>
          <w:sz w:val="16"/>
          <w:szCs w:val="16"/>
          <w:color w:val="auto"/>
        </w:rPr>
      </w:pPr>
    </w:p>
    <w:p>
      <w:pPr>
        <w:ind w:left="380"/>
        <w:spacing w:after="0" w:line="260" w:lineRule="auto"/>
        <w:rPr>
          <w:rFonts w:ascii="Arial" w:cs="Arial" w:eastAsia="Arial" w:hAnsi="Arial"/>
          <w:sz w:val="16"/>
          <w:szCs w:val="16"/>
          <w:color w:val="auto"/>
        </w:rPr>
      </w:pPr>
      <w:r>
        <w:rPr>
          <w:rFonts w:ascii="Arial" w:cs="Arial" w:eastAsia="Arial" w:hAnsi="Arial"/>
          <w:sz w:val="18"/>
          <w:szCs w:val="18"/>
          <w:color w:val="auto"/>
        </w:rPr>
        <w:t>(b) any provision of this Amendment or the Loan Documents; or (c) any conduct of the Lenders or other Releasees relating to or arising out of the Loan Agreement or the other Loan Documents on or prior to the date hereof.</w:t>
      </w:r>
    </w:p>
    <w:p>
      <w:pPr>
        <w:spacing w:after="0" w:line="198" w:lineRule="exact"/>
        <w:rPr>
          <w:rFonts w:ascii="Arial" w:cs="Arial" w:eastAsia="Arial" w:hAnsi="Arial"/>
          <w:sz w:val="16"/>
          <w:szCs w:val="16"/>
          <w:color w:val="auto"/>
        </w:rPr>
      </w:pPr>
    </w:p>
    <w:p>
      <w:pPr>
        <w:jc w:val="both"/>
        <w:ind w:left="380" w:hanging="378"/>
        <w:spacing w:after="0" w:line="286"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Amendment shall be deemed effective as of the Amendment Date upon (a) the due execution and delivery to Collateral Agent of this Amendment by each party hereto, and (b) Borrower’s payment of all Lenders’ Expenses incurred through the date hereof, which may be debited (or ACH’d) from the Designated Deposit Account in accordance with Section 2.3(d) of the Loan Agreement.</w:t>
      </w:r>
    </w:p>
    <w:p>
      <w:pPr>
        <w:spacing w:after="0" w:line="165" w:lineRule="exact"/>
        <w:rPr>
          <w:rFonts w:ascii="Arial" w:cs="Arial" w:eastAsia="Arial" w:hAnsi="Arial"/>
          <w:sz w:val="17"/>
          <w:szCs w:val="17"/>
          <w:color w:val="auto"/>
        </w:rPr>
      </w:pPr>
    </w:p>
    <w:p>
      <w:pPr>
        <w:ind w:left="380" w:hanging="378"/>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shall be deemed an original, and all of which, taken together, shall constitute one and the same instrument.</w:t>
      </w:r>
    </w:p>
    <w:p>
      <w:pPr>
        <w:spacing w:after="0" w:line="170" w:lineRule="exact"/>
        <w:rPr>
          <w:rFonts w:ascii="Arial" w:cs="Arial" w:eastAsia="Arial" w:hAnsi="Arial"/>
          <w:sz w:val="18"/>
          <w:szCs w:val="18"/>
          <w:color w:val="auto"/>
        </w:rPr>
      </w:pPr>
    </w:p>
    <w:p>
      <w:pPr>
        <w:ind w:left="380" w:hanging="378"/>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and the rights and obligations of the parties hereto shall be governed by and construed in accordance with the laws of the State of California.</w:t>
      </w:r>
    </w:p>
    <w:p>
      <w:pPr>
        <w:spacing w:after="0" w:line="38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3450590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820" w:top="125" w:right="459" w:bottom="1440" w:gutter="0" w:footer="0" w:header="0"/>
        </w:sectPr>
      </w:pPr>
    </w:p>
    <w:bookmarkStart w:id="37" w:name="page38"/>
    <w:bookmarkEnd w:id="37"/>
    <w:p>
      <w:pPr>
        <w:ind w:firstLine="74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Tenth Amendment to the Loan Agreement to be executed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PLUS THERAPEUTICS,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tab/>
        <w:t>Name: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-10160</wp:posOffset>
            </wp:positionV>
            <wp:extent cx="952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-10160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Title: VP &amp; Chief Financial Officer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00" w:lineRule="exact"/>
        <w:rPr>
          <w:sz w:val="20"/>
          <w:szCs w:val="20"/>
          <w:color w:val="auto"/>
        </w:rPr>
      </w:pPr>
    </w:p>
    <w:p>
      <w:pPr>
        <w:spacing w:after="0" w:line="24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tab/>
        <w:t>Name: Joshua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-10160</wp:posOffset>
            </wp:positionV>
            <wp:extent cx="952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198755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89" w:right="5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52" w:lineRule="exact"/>
        <w:rPr>
          <w:rFonts w:ascii="Arial" w:cs="Arial" w:eastAsia="Arial" w:hAnsi="Arial"/>
          <w:sz w:val="18"/>
          <w:szCs w:val="18"/>
          <w:color w:val="auto"/>
        </w:rPr>
      </w:pPr>
    </w:p>
    <w:p>
      <w:pPr>
        <w:ind w:left="520" w:right="280" w:hanging="512"/>
        <w:spacing w:after="0" w:line="263" w:lineRule="auto"/>
        <w:tabs>
          <w:tab w:leader="none" w:pos="4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20" w:right="380" w:hanging="512"/>
        <w:spacing w:after="0" w:line="308" w:lineRule="auto"/>
        <w:tabs>
          <w:tab w:leader="none" w:pos="44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20" w:right="260" w:hanging="512"/>
        <w:spacing w:after="0" w:line="263" w:lineRule="auto"/>
        <w:tabs>
          <w:tab w:leader="none" w:pos="4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1020" w:right="80" w:hanging="479"/>
        <w:spacing w:after="0" w:line="263" w:lineRule="auto"/>
        <w:tabs>
          <w:tab w:leader="none" w:pos="9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020" w:right="320" w:hanging="479"/>
        <w:spacing w:after="0" w:line="263" w:lineRule="auto"/>
        <w:tabs>
          <w:tab w:leader="none" w:pos="9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1020" w:right="480" w:hanging="479"/>
        <w:spacing w:after="0" w:line="342" w:lineRule="auto"/>
        <w:tabs>
          <w:tab w:leader="none" w:pos="96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020" w:right="100" w:hanging="479"/>
        <w:spacing w:after="0" w:line="263" w:lineRule="auto"/>
        <w:tabs>
          <w:tab w:leader="none" w:pos="9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020" w:hanging="479"/>
        <w:spacing w:after="0" w:line="308" w:lineRule="auto"/>
        <w:tabs>
          <w:tab w:leader="none" w:pos="96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020" w:right="520" w:hanging="479"/>
        <w:spacing w:after="0" w:line="277" w:lineRule="auto"/>
        <w:tabs>
          <w:tab w:leader="none" w:pos="9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14,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 H. Hedrick,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25" w:lineRule="exact"/>
        <w:rPr>
          <w:rFonts w:ascii="Arial" w:cs="Arial" w:eastAsia="Arial" w:hAnsi="Arial"/>
          <w:sz w:val="18"/>
          <w:szCs w:val="18"/>
          <w:color w:val="auto"/>
        </w:rPr>
      </w:pPr>
    </w:p>
    <w:p>
      <w:pPr>
        <w:ind w:left="520" w:right="280" w:hanging="512"/>
        <w:spacing w:after="0" w:line="263" w:lineRule="auto"/>
        <w:tabs>
          <w:tab w:leader="none" w:pos="3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460" w:hanging="512"/>
        <w:spacing w:after="0" w:line="308" w:lineRule="auto"/>
        <w:tabs>
          <w:tab w:leader="none" w:pos="371"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3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479"/>
        <w:spacing w:after="0" w:line="342" w:lineRule="auto"/>
        <w:tabs>
          <w:tab w:leader="none" w:pos="89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60" w:hanging="479"/>
        <w:spacing w:after="0" w:line="263" w:lineRule="auto"/>
        <w:tabs>
          <w:tab w:leader="none" w:pos="8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79"/>
        <w:spacing w:after="0" w:line="308" w:lineRule="auto"/>
        <w:tabs>
          <w:tab w:leader="none" w:pos="89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40" w:hanging="479"/>
        <w:spacing w:after="0" w:line="277" w:lineRule="auto"/>
        <w:tabs>
          <w:tab w:leader="none" w:pos="8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14, 2023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Sims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CERTIFICATION PURSUANT TO 18 U.S.C. SECTION 1350/ SECURITIES EXCHANGE ACT RULE 13a-14(b), AS ADOPTED PURSUANT TO SECTION 906 OF THE SARBANES-OXLEY ACT OF 2002</w:t>
      </w:r>
    </w:p>
    <w:p>
      <w:pPr>
        <w:spacing w:after="0" w:line="16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connection with the Quarterly Report on Form 10-Q of Plus Therapeutics, Inc. for the quarterly period ended June 30, 2023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84" w:lineRule="exact"/>
        <w:rPr>
          <w:sz w:val="20"/>
          <w:szCs w:val="20"/>
          <w:color w:val="auto"/>
        </w:rPr>
      </w:pPr>
    </w:p>
    <w:p>
      <w:pPr>
        <w:ind w:left="520" w:right="440" w:hanging="512"/>
        <w:spacing w:after="0" w:line="277" w:lineRule="auto"/>
        <w:tabs>
          <w:tab w:leader="none" w:pos="4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report of Plus Therapeutics, Inc. that this certification accompanies fully complies with the requirements of Section 13(a) of the Securities Exchange Act of 1934.</w:t>
      </w:r>
    </w:p>
    <w:p>
      <w:pPr>
        <w:spacing w:after="0" w:line="89" w:lineRule="exact"/>
        <w:rPr>
          <w:rFonts w:ascii="Arial" w:cs="Arial" w:eastAsia="Arial" w:hAnsi="Arial"/>
          <w:sz w:val="18"/>
          <w:szCs w:val="18"/>
          <w:color w:val="auto"/>
        </w:rPr>
      </w:pPr>
    </w:p>
    <w:p>
      <w:pPr>
        <w:ind w:left="520" w:right="560" w:hanging="512"/>
        <w:spacing w:after="0" w:line="277" w:lineRule="auto"/>
        <w:tabs>
          <w:tab w:leader="none" w:pos="4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ind w:left="6740"/>
        <w:spacing w:after="0"/>
        <w:tabs>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71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7"/>
          <w:szCs w:val="17"/>
          <w:color w:val="auto"/>
        </w:rPr>
        <w:t>Marc H. Hedrick</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30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ind w:left="6740"/>
        <w:spacing w:after="0"/>
        <w:tabs>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13335</wp:posOffset>
            </wp:positionV>
            <wp:extent cx="26231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71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color w:val="auto"/>
        </w:rPr>
        <w:t>Andrew Sims</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Financial Officer &amp;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upperLetter"/>
      <w:start w:val="35"/>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 "/>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3"/>
    </w:lvl>
    <w:lvl w:ilvl="1">
      <w:lvlJc w:val="left"/>
      <w:lvlText w:val="(%2)"/>
      <w:numFmt w:val="lowerLetter"/>
      <w:start w:val="1"/>
    </w:lvl>
  </w:abstractNum>
  <w:abstractNum w:abstractNumId="17">
    <w:nsid w:val="628C895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8">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
    <w:nsid w:val="721DA317"/>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0">
    <w:nsid w:val="2443A858"/>
    <w:multiLevelType w:val="hybridMultilevel"/>
    <w:lvl w:ilvl="0">
      <w:lvlJc w:val="left"/>
      <w:lvlText w:val="%1."/>
      <w:numFmt w:val="decimal"/>
      <w:start w:val="7"/>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33" Type="http://schemas.openxmlformats.org/officeDocument/2006/relationships/hyperlink" Target="https://www.sec.gov/Archives/edgar/data/0001095981/000114036116057505/ex3_1.htm" TargetMode="External"/><Relationship Id="rId134" Type="http://schemas.openxmlformats.org/officeDocument/2006/relationships/hyperlink" Target="https://www.sec.gov/Archives/edgar/data/0001095981/000109598116000063/ex3_1.htm" TargetMode="External"/><Relationship Id="rId135" Type="http://schemas.openxmlformats.org/officeDocument/2006/relationships/hyperlink" Target="https://www.sec.gov/Archives/edgar/data/0001095981/000156459018014245/cytx-ex31_6.htm" TargetMode="External"/><Relationship Id="rId136" Type="http://schemas.openxmlformats.org/officeDocument/2006/relationships/hyperlink" Target="https://www.sec.gov/Archives/edgar/data/1095981/000156459019026454/cytx-ex31_6.htm" TargetMode="External"/><Relationship Id="rId137" Type="http://schemas.openxmlformats.org/officeDocument/2006/relationships/hyperlink" Target="https://www.sec.gov/Archives/edgar/data/0001095981/000156459019028996/pstv-ex31_18.htm" TargetMode="External"/><Relationship Id="rId138" Type="http://schemas.openxmlformats.org/officeDocument/2006/relationships/hyperlink" Target="https://www.sec.gov/Archives/edgar/data/1095981/000119312523127227/d475493dex31.htm" TargetMode="External"/><Relationship Id="rId139" Type="http://schemas.openxmlformats.org/officeDocument/2006/relationships/hyperlink" Target="https://www.sec.gov/Archives/edgar/data/0001095981/000119312521277718/d164672dex31.htm" TargetMode="External"/><Relationship Id="rId140" Type="http://schemas.openxmlformats.org/officeDocument/2006/relationships/hyperlink" Target="https://www.sec.gov/Archives/edgar/data/1095981/000119312523060090/d449434dex31.htm" TargetMode="External"/><Relationship Id="rId141" Type="http://schemas.openxmlformats.org/officeDocument/2006/relationships/hyperlink" Target="https://www.sec.gov/Archives/edgar/data/1095981/000095017023013745/pstv-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2023-08-14T15:17:33Z</dcterms:created>
  <dcterms:modified xsi:type="dcterms:W3CDTF">2023-08-14T15:17:33Z</dcterms:modified>
</cp:coreProperties>
</file>