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710"/>
        <w:gridCol w:w="1701"/>
        <w:gridCol w:w="1833"/>
        <w:gridCol w:w="2961"/>
      </w:tblGrid>
      <w:tr>
        <w:trPr/>
        <w:tc>
          <w:tcPr>
            <w:tcW w:w="371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701"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833"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710" w:type="dxa"/>
            <w:tcBorders/>
            <w:vAlign w:val="center"/>
          </w:tcPr>
          <w:p>
            <w:pPr>
              <w:pStyle w:val="TableContents"/>
              <w:bidi w:val="0"/>
              <w:spacing w:before="0" w:after="0"/>
              <w:jc w:val="left"/>
              <w:rPr/>
            </w:pPr>
            <w:hyperlink r:id="rId3">
              <w:r>
                <w:rPr>
                  <w:rStyle w:val="InternetLink"/>
                </w:rPr>
                <w:t>0001095981</w:t>
              </w:r>
            </w:hyperlink>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PLUS THERAPEUTICS, INC.</w:t>
                  </w:r>
                </w:p>
              </w:tc>
            </w:tr>
            <w:tr>
              <w:trPr/>
              <w:tc>
                <w:tcPr>
                  <w:tcW w:w="352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CYTORI THERAPEUTICS, INC.</w:t>
                  </w:r>
                </w:p>
              </w:tc>
            </w:tr>
            <w:tr>
              <w:trPr/>
              <w:tc>
                <w:tcPr>
                  <w:tcW w:w="352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MACROPORE INC</w:t>
                  </w:r>
                </w:p>
              </w:tc>
            </w:tr>
            <w:tr>
              <w:trPr/>
              <w:tc>
                <w:tcPr>
                  <w:tcW w:w="352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Plus Therapeutics, Inc.</w:t>
                  </w:r>
                </w:p>
              </w:tc>
            </w:tr>
          </w:tbl>
          <w:p>
            <w:pPr>
              <w:pStyle w:val="TableContents"/>
              <w:bidi w:val="0"/>
              <w:spacing w:before="0" w:after="283"/>
              <w:jc w:val="left"/>
              <w:rPr/>
            </w:pPr>
            <w:r>
              <w:rPr/>
            </w:r>
          </w:p>
        </w:tc>
        <w:tc>
          <w:tcPr>
            <w:tcW w:w="3534"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37"/>
              <w:gridCol w:w="3141"/>
            </w:tblGrid>
            <w:tr>
              <w:trPr/>
              <w:tc>
                <w:tcPr>
                  <w:tcW w:w="3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1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1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1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1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1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1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2961" w:type="dxa"/>
            <w:vMerge w:val="restart"/>
            <w:tcBorders/>
          </w:tcPr>
          <w:p>
            <w:pPr>
              <w:pStyle w:val="TableContents"/>
              <w:bidi w:val="0"/>
              <w:spacing w:before="0" w:after="283"/>
              <w:jc w:val="left"/>
              <w:rPr/>
            </w:pPr>
            <w:r>
              <w:rPr/>
            </w:r>
          </w:p>
        </w:tc>
      </w:tr>
      <w:tr>
        <w:trPr/>
        <w:tc>
          <w:tcPr>
            <w:tcW w:w="371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534" w:type="dxa"/>
            <w:gridSpan w:val="2"/>
            <w:vMerge w:val="continue"/>
            <w:tcBorders/>
          </w:tcPr>
          <w:p>
            <w:pPr>
              <w:pStyle w:val="Normal"/>
              <w:bidi w:val="0"/>
              <w:jc w:val="left"/>
              <w:rPr/>
            </w:pPr>
            <w:r>
              <w:rPr/>
            </w:r>
          </w:p>
        </w:tc>
        <w:tc>
          <w:tcPr>
            <w:tcW w:w="2961" w:type="dxa"/>
            <w:vMerge w:val="continue"/>
            <w:tcBorders/>
          </w:tcPr>
          <w:p>
            <w:pPr>
              <w:pStyle w:val="Normal"/>
              <w:bidi w:val="0"/>
              <w:jc w:val="left"/>
              <w:rPr/>
            </w:pPr>
            <w:r>
              <w:rPr/>
            </w:r>
          </w:p>
        </w:tc>
      </w:tr>
      <w:tr>
        <w:trPr/>
        <w:tc>
          <w:tcPr>
            <w:tcW w:w="371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CERENOME, INC.</w:t>
            </w:r>
          </w:p>
        </w:tc>
        <w:tc>
          <w:tcPr>
            <w:tcW w:w="3534" w:type="dxa"/>
            <w:gridSpan w:val="2"/>
            <w:vMerge w:val="continue"/>
            <w:tcBorders/>
          </w:tcPr>
          <w:p>
            <w:pPr>
              <w:pStyle w:val="Normal"/>
              <w:bidi w:val="0"/>
              <w:jc w:val="left"/>
              <w:rPr/>
            </w:pPr>
            <w:r>
              <w:rPr/>
            </w:r>
          </w:p>
        </w:tc>
        <w:tc>
          <w:tcPr>
            <w:tcW w:w="2961" w:type="dxa"/>
            <w:vMerge w:val="continue"/>
            <w:tcBorders/>
          </w:tcPr>
          <w:p>
            <w:pPr>
              <w:pStyle w:val="Normal"/>
              <w:bidi w:val="0"/>
              <w:jc w:val="left"/>
              <w:rPr/>
            </w:pPr>
            <w:r>
              <w:rPr/>
            </w:r>
          </w:p>
        </w:tc>
      </w:tr>
      <w:tr>
        <w:trPr/>
        <w:tc>
          <w:tcPr>
            <w:tcW w:w="371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534" w:type="dxa"/>
            <w:gridSpan w:val="2"/>
            <w:vMerge w:val="continue"/>
            <w:tcBorders/>
          </w:tcPr>
          <w:p>
            <w:pPr>
              <w:pStyle w:val="Normal"/>
              <w:bidi w:val="0"/>
              <w:jc w:val="left"/>
              <w:rPr/>
            </w:pPr>
            <w:r>
              <w:rPr/>
            </w:r>
          </w:p>
        </w:tc>
        <w:tc>
          <w:tcPr>
            <w:tcW w:w="2961" w:type="dxa"/>
            <w:vMerge w:val="continue"/>
            <w:tcBorders/>
          </w:tcPr>
          <w:p>
            <w:pPr>
              <w:pStyle w:val="Normal"/>
              <w:bidi w:val="0"/>
              <w:jc w:val="left"/>
              <w:rPr/>
            </w:pPr>
            <w:r>
              <w:rPr/>
            </w:r>
          </w:p>
        </w:tc>
      </w:tr>
      <w:tr>
        <w:trPr/>
        <w:tc>
          <w:tcPr>
            <w:tcW w:w="371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534" w:type="dxa"/>
            <w:gridSpan w:val="2"/>
            <w:vMerge w:val="continue"/>
            <w:tcBorders/>
          </w:tcPr>
          <w:p>
            <w:pPr>
              <w:pStyle w:val="Normal"/>
              <w:bidi w:val="0"/>
              <w:jc w:val="left"/>
              <w:rPr/>
            </w:pPr>
            <w:r>
              <w:rPr/>
            </w:r>
          </w:p>
        </w:tc>
        <w:tc>
          <w:tcPr>
            <w:tcW w:w="2961" w:type="dxa"/>
            <w:vMerge w:val="continue"/>
            <w:tcBorders/>
          </w:tcPr>
          <w:p>
            <w:pPr>
              <w:pStyle w:val="Normal"/>
              <w:bidi w:val="0"/>
              <w:jc w:val="left"/>
              <w:rPr/>
            </w:pPr>
            <w:r>
              <w:rPr/>
            </w:r>
          </w:p>
        </w:tc>
      </w:tr>
      <w:tr>
        <w:trPr/>
        <w:tc>
          <w:tcPr>
            <w:tcW w:w="5411"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833" w:type="dxa"/>
            <w:tcBorders/>
          </w:tcPr>
          <w:p>
            <w:pPr>
              <w:pStyle w:val="TableContents"/>
              <w:bidi w:val="0"/>
              <w:spacing w:before="0" w:after="283"/>
              <w:jc w:val="left"/>
              <w:rPr>
                <w:sz w:val="4"/>
                <w:szCs w:val="4"/>
              </w:rPr>
            </w:pPr>
            <w:r>
              <w:rPr>
                <w:sz w:val="4"/>
                <w:szCs w:val="4"/>
              </w:rPr>
            </w:r>
          </w:p>
        </w:tc>
        <w:tc>
          <w:tcPr>
            <w:tcW w:w="2961" w:type="dxa"/>
            <w:vMerge w:val="continue"/>
            <w:tcBorders/>
          </w:tcPr>
          <w:p>
            <w:pPr>
              <w:pStyle w:val="Normal"/>
              <w:bidi w:val="0"/>
              <w:jc w:val="left"/>
              <w:rPr/>
            </w:pPr>
            <w:r>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2961"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CERENOME,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6420 Levit Green Boulevard</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77021</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(737) 255-7194</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Hedrick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Marc</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6420 Levit Green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President and Chief Executive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Andrew</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6420 Levit Green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Financial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Clowes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Howard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6420 Levit Green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Es-Johansson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6420 Levit Green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Hawkins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Richard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6420 Levit Green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Chairman of the Board</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Andrews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Ronald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6420 Levit Green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Guse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Kyle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6420 Levit Green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2026-09-10</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Company agreed to issue senior secured convertible notes in the aggregate original principal amount of up to $21,276,596, and each of the notes, when issued, reflects an original issue discount of 6.0%.</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327"/>
        <w:gridCol w:w="1889"/>
        <w:gridCol w:w="1991"/>
        <w:gridCol w:w="2580"/>
        <w:gridCol w:w="1418"/>
      </w:tblGrid>
      <w:tr>
        <w:trPr>
          <w:tblHeader w:val="true"/>
        </w:trPr>
        <w:tc>
          <w:tcPr>
            <w:tcW w:w="232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88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9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58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41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32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CERENOME, INC.</w:t>
            </w:r>
          </w:p>
        </w:tc>
        <w:tc>
          <w:tcPr>
            <w:tcW w:w="188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Andrew Sims</w:t>
            </w:r>
          </w:p>
        </w:tc>
        <w:tc>
          <w:tcPr>
            <w:tcW w:w="199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Andrew Sims</w:t>
            </w:r>
          </w:p>
        </w:tc>
        <w:tc>
          <w:tcPr>
            <w:tcW w:w="258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Financial Officer</w:t>
            </w:r>
          </w:p>
        </w:tc>
        <w:tc>
          <w:tcPr>
            <w:tcW w:w="141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2026-09-18</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095981"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numbering" Target="numbering.xml"/><Relationship Id="rId135" Type="http://schemas.openxmlformats.org/officeDocument/2006/relationships/fontTable" Target="fontTable.xml"/><Relationship Id="rId1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1623</Words>
  <Characters>9162</Characters>
  <CharactersWithSpaces>10414</CharactersWithSpaces>
  <Paragraphs>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