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tv-20260331.htm"/>
      <w:bookmarkStart w:id="1" w:name="kspstv20260331"/>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spacing w:before="12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001-34375</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PLUS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left"/>
        <w:rPr/>
      </w:pPr>
      <w:r>
        <w:rPr/>
        <w:t> </w:t>
      </w:r>
    </w:p>
    <w:p>
      <w:pPr>
        <w:pStyle w:val="TextBody"/>
        <w:bidi w:val="0"/>
        <w:jc w:val="left"/>
        <w:rPr/>
      </w:pPr>
      <w:r>
        <w:rPr/>
        <w:t> </w:t>
      </w:r>
    </w:p>
    <w:tbl>
      <w:tblPr>
        <w:tblW w:w="6628" w:type="dxa"/>
        <w:jc w:val="left"/>
        <w:tblInd w:w="0" w:type="dxa"/>
        <w:tblLayout w:type="fixed"/>
        <w:tblCellMar>
          <w:top w:w="28" w:type="dxa"/>
          <w:left w:w="28" w:type="dxa"/>
          <w:bottom w:w="28" w:type="dxa"/>
          <w:right w:w="28" w:type="dxa"/>
        </w:tblCellMar>
      </w:tblPr>
      <w:tblGrid>
        <w:gridCol w:w="4921"/>
        <w:gridCol w:w="146"/>
        <w:gridCol w:w="156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18"/>
              </w:rPr>
            </w:pPr>
            <w:r>
              <w:rPr>
                <w:rFonts w:ascii="Times New Roman" w:hAnsi="Times New Roman"/>
                <w:b/>
                <w:caps/>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33-0827593</w:t>
            </w:r>
          </w:p>
        </w:tc>
      </w:tr>
      <w:tr>
        <w:trPr/>
        <w:tc>
          <w:tcPr>
            <w:tcW w:w="49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r>
        <w:trPr/>
        <w:tc>
          <w:tcPr>
            <w:tcW w:w="4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6420 LEVIT GREEN BOULEVARD, SUITE 310, HOUSTON, TX</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77021</w:t>
            </w:r>
          </w:p>
        </w:tc>
      </w:tr>
      <w:tr>
        <w:trPr/>
        <w:tc>
          <w:tcPr>
            <w:tcW w:w="4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(737) 255-7194</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pBdr>
          <w:bottom w:val="single" w:sz="4" w:space="1" w:color="000000"/>
        </w:pBdr>
        <w:bidi w:val="0"/>
        <w:jc w:val="left"/>
        <w:rPr/>
      </w:pPr>
      <w:r>
        <w:rPr/>
        <w:t>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548" w:type="dxa"/>
        <w:jc w:val="left"/>
        <w:tblInd w:w="0" w:type="dxa"/>
        <w:tblLayout w:type="fixed"/>
        <w:tblCellMar>
          <w:top w:w="28" w:type="dxa"/>
          <w:left w:w="28" w:type="dxa"/>
          <w:bottom w:w="28" w:type="dxa"/>
          <w:right w:w="28" w:type="dxa"/>
        </w:tblCellMar>
      </w:tblPr>
      <w:tblGrid>
        <w:gridCol w:w="2506"/>
        <w:gridCol w:w="1561"/>
        <w:gridCol w:w="3481"/>
      </w:tblGrid>
      <w:tr>
        <w:trPr/>
        <w:tc>
          <w:tcPr>
            <w:tcW w:w="250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par value $0.001</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PSTV</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635" w:type="dxa"/>
        <w:jc w:val="left"/>
        <w:tblInd w:w="0" w:type="dxa"/>
        <w:tblLayout w:type="fixed"/>
        <w:tblCellMar>
          <w:top w:w="28" w:type="dxa"/>
          <w:left w:w="28" w:type="dxa"/>
          <w:bottom w:w="28" w:type="dxa"/>
          <w:right w:w="28" w:type="dxa"/>
        </w:tblCellMar>
      </w:tblPr>
      <w:tblGrid>
        <w:gridCol w:w="1771"/>
        <w:gridCol w:w="316"/>
        <w:gridCol w:w="146"/>
        <w:gridCol w:w="204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May 13, 2026, there were 6,883,106</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PLUS THERAPEUTICS, INC.</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11"/>
        <w:gridCol w:w="391"/>
        <w:gridCol w:w="772"/>
        <w:gridCol w:w="391"/>
        <w:gridCol w:w="7182"/>
        <w:gridCol w:w="146"/>
        <w:gridCol w:w="512"/>
      </w:tblGrid>
      <w:tr>
        <w:trPr/>
        <w:tc>
          <w:tcPr>
            <w:tcW w:w="8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2"/>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rPr>
                <w:t>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balance_sheets">
              <w:r>
                <w:rPr>
                  <w:rStyle w:val="InternetLink"/>
                  <w:rFonts w:ascii="Times New Roman" w:hAnsi="Times New Roman"/>
                  <w:color w:val="0000FF"/>
                  <w:sz w:val="20"/>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ements_operat">
              <w:r>
                <w:rPr>
                  <w:rStyle w:val="InternetLink"/>
                  <w:rFonts w:ascii="Times New Roman" w:hAnsi="Times New Roman"/>
                  <w:color w:val="0000FF"/>
                  <w:sz w:val="20"/>
                </w:rPr>
                <w:t xml:space="preserve">Condensed Consolidated Statements of Operations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m_stock_equit">
              <w:r>
                <w:rPr>
                  <w:rStyle w:val="InternetLink"/>
                  <w:rFonts w:ascii="Times New Roman" w:hAnsi="Times New Roman"/>
                  <w:color w:val="000080"/>
                  <w:sz w:val="20"/>
                </w:rPr>
                <w:t>Condensed Consolidated Statements of Stockholders’ Equity/(Deficit</w:t>
              </w:r>
            </w:hyperlink>
            <w:r>
              <w:rPr>
                <w:rFonts w:ascii="Times New Roman" w:hAnsi="Times New Roman"/>
                <w:color w:val="0000FF"/>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ements_cash_f">
              <w:r>
                <w:rPr>
                  <w:rStyle w:val="InternetLink"/>
                  <w:rFonts w:ascii="Times New Roman" w:hAnsi="Times New Roman"/>
                  <w:color w:val="0000FF"/>
                  <w:sz w:val="20"/>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toconsolidatedfinancialstatemen">
              <w:r>
                <w:rPr>
                  <w:rStyle w:val="InternetLink"/>
                  <w:rFonts w:ascii="Times New Roman" w:hAnsi="Times New Roman"/>
                  <w:color w:val="0000FF"/>
                  <w:sz w:val="20"/>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color w:val="0000FF"/>
                  <w:sz w:val="22"/>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
              <w:r>
                <w:rPr>
                  <w:rStyle w:val="InternetLink"/>
                  <w:rFonts w:ascii="Times New Roman" w:hAnsi="Times New Roman"/>
                  <w:color w:val="0000FF"/>
                  <w:sz w:val="20"/>
                </w:rPr>
                <w:t xml:space="preserve">Unregistered Sales of Equity Securities and 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80"/>
                  <w:sz w:val="20"/>
                </w:rPr>
                <w:t>Exhibits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CAUTIONARY STATEMENT REGARDING FORWARD-LOOKING STATEMENTS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This Quarterly Report on Form 10-Q (this “Quarterly Report”) and the exhibits incorporated herein by reference contain “forward-looking statements” which are made pursuant to the safe harbor provisions of Section 27A of the Securities Act of 1933, as amended, and Section 21E of the Securities Exchange Act of 1934, as amended.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120"/>
        <w:jc w:val="both"/>
        <w:rPr>
          <w:rFonts w:ascii="Times New Roman" w:hAnsi="Times New Roman"/>
          <w:sz w:val="20"/>
        </w:rPr>
      </w:pPr>
      <w:r>
        <w:rPr>
          <w:rFonts w:ascii="Times New Roman" w:hAnsi="Times New Roman"/>
          <w:i/>
          <w:color w:val="000000"/>
          <w:sz w:val="20"/>
        </w:rPr>
        <w:t>These statements include, without limitation, statements about our anticipated expenditures, including research and development, and general and administrative expenses; our intent or ability to maintain compliance with Nasdaq listing standards; our strategic collaborations and license agreements, intellectual property, U.S. Food and Drug Administration and European Medicines Agency approvals and interactions and government regulation; our research and development efforts; the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future development and/or expansion of our product candidates and therapies in our markets; portions of the “Liquidity and Capital Resources” section of this Quarterly Report including our potential need for additional financing and the availability thereof.</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Our actual results may differ, including materially, from those anticipated in these forward-looking statements as a result of various factors, including, but not limited to, the following: our ability to remain listed on Nasdaq; the early stage of our product candidates and therapies, the results of our research and development activities, including uncertainties relating to the clinical trials of our product candidates and therapies; sources of competition for any of our product candidates; the potential size of the market for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our ability to satisfy our obligations under the terms of our capital raising transactions including registering shares issuable in such transactions; our ability to integrate into our business and operations, develop, fully utilize and monetize acquired assets; our ability to continue as a going concern; our ability to repay or refinance some or all of our outstanding indebtedness and our ability to raise capital in the future; our ability to transfer the drug and medical device product manufacturing to a contract drug and medical device manufacturing organization; the potential enhancement of our cash position through development, marketing, and licensing arrangements; our ability to timely and efficiently launch our CNSide® Cerebrospinal Fluid Tumor Cell Enumeration test (the “CNSide Test”); receipt of grant revenue; material security breaches or cybersecurity attacks affecting our operations and property; and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Quarterly Report are also subject to a number of additional material risks and uncertainties, including but not limited to the risks described under “Part I – Item 1A – Risk Factors” in our Annual Report on Form 10-K for the year ended December 31, 2025, filed with the Securities and Exchange Commission (the “SEC”) on March 12, 2026 and under “Part II – Item 1A – Risk Factors” in this Quarterly Report. These risks and uncertainties could cause actual results to differ materially from expectations or those expressed in these forward-looking statements.</w:t>
      </w:r>
    </w:p>
    <w:p>
      <w:pPr>
        <w:pStyle w:val="TextBody"/>
        <w:bidi w:val="0"/>
        <w:spacing w:before="0" w:after="120"/>
        <w:jc w:val="both"/>
        <w:rPr>
          <w:rFonts w:ascii="Times New Roman" w:hAnsi="Times New Roman"/>
          <w:sz w:val="20"/>
        </w:rPr>
      </w:pPr>
      <w:r>
        <w:rPr>
          <w:rFonts w:ascii="Times New Roman" w:hAnsi="Times New Roman"/>
          <w:i/>
          <w:color w:val="000000"/>
          <w:sz w:val="20"/>
        </w:rPr>
        <w:t>We caution you not to place undue reliance on the forward-looking statements contained in this Quarterly Report. These statements, like all statements in this report, speak only as of the date of this report (unless an earlier date is indicated) and the Company undertakes no obligation to update or revise the statements except as required by law. Such forward-looking statements are not guarantees of future performance.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condens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67"/>
        <w:gridCol w:w="146"/>
        <w:gridCol w:w="221"/>
        <w:gridCol w:w="882"/>
        <w:gridCol w:w="166"/>
        <w:gridCol w:w="146"/>
        <w:gridCol w:w="233"/>
        <w:gridCol w:w="930"/>
        <w:gridCol w:w="614"/>
      </w:tblGrid>
      <w:tr>
        <w:trPr/>
        <w:tc>
          <w:tcPr>
            <w:tcW w:w="6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Investor liability pursuant to Letter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grant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1,952 shares issued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2,000,000,000 shares authorized; 6,872,364 and 5,557,371 shares issued as of March 31, 2026 and December 31, 2025, respectively; 6,862,027 and 5,547,034 shares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10,337 shares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520,355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(515,865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_condens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7"/>
        <w:gridCol w:w="746"/>
        <w:gridCol w:w="246"/>
        <w:gridCol w:w="1089"/>
        <w:gridCol w:w="193"/>
        <w:gridCol w:w="170"/>
        <w:gridCol w:w="246"/>
        <w:gridCol w:w="913"/>
        <w:gridCol w:w="815"/>
      </w:tblGrid>
      <w:tr>
        <w:trPr/>
        <w:tc>
          <w:tcPr>
            <w:tcW w:w="578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81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(17,401</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information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outstanding – basic and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6,646,049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582,668</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PLUS THERAPEUTICS, INC.</w:t>
      </w:r>
    </w:p>
    <w:p>
      <w:pPr>
        <w:pStyle w:val="TextBody"/>
        <w:bidi w:val="0"/>
        <w:jc w:val="center"/>
        <w:rPr>
          <w:rFonts w:ascii="Times New Roman" w:hAnsi="Times New Roman"/>
          <w:b/>
          <w:color w:val="000000"/>
          <w:sz w:val="18"/>
        </w:rPr>
      </w:pPr>
      <w:bookmarkStart w:id="7" w:name="consolidated_condensed_statm_stock_equit"/>
      <w:bookmarkEnd w:id="7"/>
      <w:r>
        <w:rPr>
          <w:rFonts w:ascii="Times New Roman" w:hAnsi="Times New Roman"/>
          <w:b/>
          <w:color w:val="000000"/>
          <w:sz w:val="18"/>
        </w:rPr>
        <w:t>CONDENSED CONSOLIDATED STATEMENTS OF STOCKHOLDERS’ EQUITY/(DEFICIT)</w:t>
      </w:r>
    </w:p>
    <w:p>
      <w:pPr>
        <w:pStyle w:val="TextBody"/>
        <w:bidi w:val="0"/>
        <w:jc w:val="center"/>
        <w:rPr>
          <w:rFonts w:ascii="Times New Roman" w:hAnsi="Times New Roman"/>
          <w:b/>
          <w:color w:val="000000"/>
          <w:sz w:val="18"/>
        </w:rPr>
      </w:pPr>
      <w:r>
        <w:rPr>
          <w:rFonts w:ascii="Times New Roman" w:hAnsi="Times New Roman"/>
          <w:b/>
          <w:color w:val="000000"/>
          <w:sz w:val="18"/>
        </w:rPr>
        <w:t>(UNAUDITED) (In thousands, except share data)</w:t>
      </w:r>
    </w:p>
    <w:p>
      <w:pPr>
        <w:pStyle w:val="TextBody"/>
        <w:bidi w:val="0"/>
        <w:jc w:val="center"/>
        <w:rPr/>
      </w:pPr>
      <w:r>
        <w:rPr/>
        <w:t> </w:t>
      </w:r>
    </w:p>
    <w:tbl>
      <w:tblPr>
        <w:tblW w:w="11611" w:type="dxa"/>
        <w:jc w:val="left"/>
        <w:tblInd w:w="0" w:type="dxa"/>
        <w:tblLayout w:type="fixed"/>
        <w:tblCellMar>
          <w:top w:w="28" w:type="dxa"/>
          <w:left w:w="28" w:type="dxa"/>
          <w:bottom w:w="28" w:type="dxa"/>
          <w:right w:w="28" w:type="dxa"/>
        </w:tblCellMar>
      </w:tblPr>
      <w:tblGrid>
        <w:gridCol w:w="1081"/>
        <w:gridCol w:w="146"/>
        <w:gridCol w:w="511"/>
        <w:gridCol w:w="146"/>
        <w:gridCol w:w="146"/>
        <w:gridCol w:w="196"/>
        <w:gridCol w:w="205"/>
        <w:gridCol w:w="486"/>
        <w:gridCol w:w="146"/>
        <w:gridCol w:w="146"/>
        <w:gridCol w:w="146"/>
        <w:gridCol w:w="826"/>
        <w:gridCol w:w="166"/>
        <w:gridCol w:w="196"/>
        <w:gridCol w:w="205"/>
        <w:gridCol w:w="486"/>
        <w:gridCol w:w="146"/>
        <w:gridCol w:w="146"/>
        <w:gridCol w:w="146"/>
        <w:gridCol w:w="661"/>
        <w:gridCol w:w="166"/>
        <w:gridCol w:w="196"/>
        <w:gridCol w:w="173"/>
        <w:gridCol w:w="518"/>
        <w:gridCol w:w="166"/>
        <w:gridCol w:w="196"/>
        <w:gridCol w:w="151"/>
        <w:gridCol w:w="720"/>
        <w:gridCol w:w="166"/>
        <w:gridCol w:w="196"/>
        <w:gridCol w:w="171"/>
        <w:gridCol w:w="880"/>
        <w:gridCol w:w="166"/>
        <w:gridCol w:w="196"/>
        <w:gridCol w:w="182"/>
        <w:gridCol w:w="824"/>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Series B Warrants from May 2024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Exchange of warrants for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pre-funded warrants and warrants for debt 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5,557,371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6,872,364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8" w:name="consolidated_condens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25"/>
        <w:gridCol w:w="146"/>
        <w:gridCol w:w="291"/>
        <w:gridCol w:w="893"/>
        <w:gridCol w:w="246"/>
        <w:gridCol w:w="216"/>
        <w:gridCol w:w="291"/>
        <w:gridCol w:w="982"/>
        <w:gridCol w:w="815"/>
      </w:tblGrid>
      <w:tr>
        <w:trPr/>
        <w:tc>
          <w:tcPr>
            <w:tcW w:w="6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(17,401</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Increases (decreases) in cash caused by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Grant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grant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Redemption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(3,292</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notes payable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(3,703</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common stock, pre-funded warrants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14,780</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underwritten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to investors pursuant to Letter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Offering costs for sale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9,791</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restricted 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restricted 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9,867</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flows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schedule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Exchange of warrants for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Redemption of notes by issuance of common stock, pre-funded warrants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Unpaid offering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9" w:name="notestoconsolidatedfinancialstatemen"/>
      <w:bookmarkEnd w:id="9"/>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before="120" w:after="283"/>
        <w:jc w:val="both"/>
        <w:rPr>
          <w:rFonts w:ascii="Times New Roman" w:hAnsi="Times New Roman"/>
          <w:sz w:val="20"/>
        </w:rPr>
      </w:pPr>
      <w:r>
        <w:rPr>
          <w:rFonts w:ascii="Times New Roman" w:hAnsi="Times New Roman"/>
          <w:color w:val="000000"/>
          <w:sz w:val="20"/>
        </w:rPr>
        <w:t>Plus Therapeutics, Inc. (the “Company”) is a U.S. healthcare company developing and commercializing precision diagnostics and targeted radiopharmaceuticals for central nervous system (“CNS”) cancers. CNSide Diagnostics, LLC (“CNSide Diagnostics”) is the Company's wholly owned subsidiary that develops and commercializes proprietary laboratory-developed tests, such as CNSide®, designed to identify tumor cells that have metastasized to the central nervous system in patients with carcinomas and melanomas. In radiopharmaceuticals, the Company's lead candidate, rhenium (</w:t>
      </w:r>
      <w:r>
        <w:rPr>
          <w:rFonts w:ascii="Times New Roman" w:hAnsi="Times New Roman"/>
          <w:color w:val="000000"/>
          <w:sz w:val="13"/>
        </w:rPr>
        <w:t>186</w:t>
      </w:r>
      <w:r>
        <w:rPr>
          <w:rFonts w:ascii="Times New Roman" w:hAnsi="Times New Roman"/>
          <w:color w:val="000000"/>
          <w:sz w:val="20"/>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The Company's acquired radiotherapeutic candidate, Rhenium-188 NanoLiposome Biodegradable Alginate Microsphere (“</w:t>
      </w:r>
      <w:r>
        <w:rPr>
          <w:rFonts w:ascii="Times New Roman" w:hAnsi="Times New Roman"/>
          <w:color w:val="000000"/>
          <w:sz w:val="13"/>
        </w:rPr>
        <w:t>188</w:t>
      </w:r>
      <w:r>
        <w:rPr>
          <w:rFonts w:ascii="Times New Roman" w:hAnsi="Times New Roman"/>
          <w:color w:val="000000"/>
          <w:sz w:val="20"/>
        </w:rPr>
        <w:t xml:space="preserve">RNL-BAM”) is designed to treat many solid organ cancers including primary and secondary liver cancers by intra-arterial injection.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for the three months ended March 31, 2026 and 2025 have been prepared in accordance with accounting principles generally accepted in the United States of America (“US GAAP”) for interim financial information. Accordingly, they do not include all of the information and footnotes required by US GAAP for annual financial statements. The condensed consolidated balance sheet at December 31, 2025 has been derived from the audited consolidated financial statements at December 31, 2025, but does not include all of the information and footnotes required by US GAAP for complete financial statements. In the opinion of management, all adjustments (consisting of normal recurring adjustments) considered necessary for a fair presentation of the financial position and results of operations of the Company have been included. Operating results for the three months ended March 31, 2026 are not necessarily indicative of the results that may be expected for the year ending December 31, 2026.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Amendments to Certificate of Incorporation and 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Annual Meeting of Stockholders of the Company held on August 7, 2025 (the “Annual Meeting”), the stockholders of the Company approved an amendment to the Company’s Amended and Restated Certificate of Incorporation (the “Charter”) to implement a reverse stock split of the Company’s common stock, par value $0.001 per share, with the ratio to be determined by the Board of Directors (the “Board”) of the Company, within a range of not less than 1-for-2 and not greater than 1-for-250. Subsequently, on March 20, 2026, the Board determined to fix the ratio for the reverse stock split at 1-for-25, without any change to its par value (the “Reverse Stock Split”). Thereafter, on April 1, 2026, the Company filed a certificate of amendment to its Charter (the “Certificate of Amendment”) with the Secretary of State of the State of Delaware, to implement the 1-for-25 reverse split of its common stock (the “Reverse Stock Split”). The Reverse Stock Split became effective as of 12:01 a.m. (Eastern time) on April 2, 2026, and the Company’s common stock began trading on The Nasdaq Capital Market on a post-split basis at the open of business on April 2,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the Reverse Stock Split, every twenty-five (25) shares of the Company’s issued and outstanding common stock, par value $0.001, were converted into one (1) share of common stock, par value $0.001, reducing the number of issued and outstanding shares of the Company’s common stock from approximately 171,550,698 shares to approximately 6,862,027 shares as of April 2, 2026. Because the Certificate of Amendment did not reduce the number of authorized shares of the Company’s common stock, the effect of the Certificate of Amendment and the Reverse Stock Split is to increase the number of shares of common stock available for issuance relative to the number of shares issued and outstanding. The Reverse Stock Split did not alter the par value of the Company’s common stock or modify any voting rights or other terms of the common stock. No fractional shares were issued in connection with the Reverse Stock Split.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Proportional and retroactive adjustments for the reverse stock split were made to the Company’s outstanding shares, stock-based awards, warrants and equity incentive plans for all periods presented in the condensed consolidated financial statements in this Form 10-Q. The Company’s financial statements, and all references thereto have been retroactively adjusted to reflect the reverse split unless specifically stated otherwise. </w:t>
      </w:r>
    </w:p>
    <w:p>
      <w:pPr>
        <w:pStyle w:val="TextBody"/>
        <w:bidi w:val="0"/>
        <w:spacing w:before="12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significant accounting policies are disclosed in its Annual Report on Form 10-K for the year ended December 31, 2025 filed with the SEC and have not materially changed during the three months ended March 31, 2026 except for the Diagnostic Test Revenue Recognition as outlined below. The Company believes that the disclosures provided here are adequate to make the information presented not misleading when these unaudited condensed consolidated financial statements are read in conjunction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the audited consolidated financial statements and notes included in the Company’s Annual Report on Form 10-K for the year ended December 31, 2025, filed with the Securities and Exchange Commission on March 12,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affecting the financial statements and the accompanying notes. The Company’s most significant estimates and critical accounting policies involve estimating the fair value of its derivative instruments, reviewing assets for impairment and determining the assumptions used in measuring stock-based compensation expense. </w:t>
      </w:r>
    </w:p>
    <w:p>
      <w:pPr>
        <w:pStyle w:val="TextBody"/>
        <w:bidi w:val="0"/>
        <w:spacing w:before="120" w:after="283"/>
        <w:jc w:val="both"/>
        <w:rPr>
          <w:rFonts w:ascii="Times New Roman" w:hAnsi="Times New Roman"/>
          <w:sz w:val="20"/>
        </w:rPr>
      </w:pPr>
      <w:r>
        <w:rPr>
          <w:rFonts w:ascii="Times New Roman" w:hAnsi="Times New Roman"/>
          <w:i/>
          <w:color w:val="000000"/>
          <w:sz w:val="20"/>
        </w:rPr>
        <w:t>Diagnostic Test Revenue 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diagnostic revenue in accordance with ASC 606 upon delivery of diagnostic services pursuant to a contract. Contracts for diagnostic testing services generally contain a single performance obligation which represents the delivery of a completed test report to the ordering healthcare provider. The transaction price is the amount the Company expects to be entitled to after estimated contractual adjustments and implicit price concessions for patient-responsibility amounts. These estimates reduce gross charges to estimated net realizable value and are recorded as a reduction of revenue (not as bad debt expense) at the time of revenue recognition. The Company recognizes revenue at a point in time when the test report is delivered as this represents the transfer of control of the promised service. The Company estimates variable considerations, including contractual payer adjustments, and applies the constraint to ensure revenue is recognized only to the extent that it is probable that a significant reversal will not occur. For payer-based arrangements, the Company estimates transaction price using historical reimbursement rates and experience, known payer mix, denial trends, coverage determinations, and contracted reimbursement rates. Where payer-specific history is limited (including for newly covered payers or new coding/coverage pathways), management incorporates peer and industry information, and applies constraint judgments. Changes in estimates are recognized in the period of change and are adjusted for payer mix, coverage decisions, and denial trends.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that are not expected to be reimbursed are treated as implicit price concessions and not recorded as revenue. If no payor agreements are in place, revenue is recognized when cash is received or when collectability becomes probable.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2026, the Company started commercial billing for diagnostic revenue. However, the estimated net revenue amount was immaterial for recognition in the statement of operations. </w:t>
      </w:r>
    </w:p>
    <w:p>
      <w:pPr>
        <w:pStyle w:val="TextBody"/>
        <w:bidi w:val="0"/>
        <w:spacing w:before="120" w:after="283"/>
        <w:jc w:val="both"/>
        <w:rPr>
          <w:rFonts w:ascii="Times New Roman" w:hAnsi="Times New Roman"/>
          <w:sz w:val="20"/>
        </w:rPr>
      </w:pPr>
      <w:r>
        <w:rPr>
          <w:rFonts w:ascii="Times New Roman" w:hAnsi="Times New Roman"/>
          <w:i/>
          <w:color w:val="000000"/>
          <w:sz w:val="20"/>
        </w:rPr>
        <w:t>Grant Revenue Recognition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is a collaboration arrangement in accordance with ASC Topic 808, Collaborative Arrangements (“ASC 808”). For grants outside the scope of ASC 808, the Company applies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also considers the guidance in ASC Topic 730, Research and Development (“ASC 730”),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pStyle w:val="TextBody"/>
        <w:bidi w:val="0"/>
        <w:jc w:val="both"/>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Warrants are accounted for as either derivative liabilities or as equity instruments depending on the specific terms of the agreement in accordance with applicable accounting guidance provided in ASC Topic 815 - </w:t>
      </w:r>
      <w:r>
        <w:rPr>
          <w:rFonts w:ascii="Times New Roman" w:hAnsi="Times New Roman"/>
          <w:i/>
          <w:color w:val="000000"/>
          <w:sz w:val="20"/>
        </w:rPr>
        <w:t>Derivatives and Hedging</w:t>
      </w:r>
      <w:r>
        <w:rPr>
          <w:rFonts w:ascii="Times New Roman" w:hAnsi="Times New Roman"/>
          <w:color w:val="000000"/>
          <w:sz w:val="20"/>
        </w:rPr>
        <w:t>.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warrants in the consolidated statements of operations. The Company periodically evaluates changes in facts and circumstances that could impact the classification of warrants.</w:t>
      </w:r>
    </w:p>
    <w:p>
      <w:pPr>
        <w:pStyle w:val="TextBody"/>
        <w:bidi w:val="0"/>
        <w:jc w:val="both"/>
        <w:rPr>
          <w:rFonts w:ascii="Times New Roman" w:hAnsi="Times New Roman"/>
          <w:i/>
          <w:color w:val="000000"/>
          <w:sz w:val="20"/>
        </w:rPr>
      </w:pPr>
      <w:r>
        <w:rPr>
          <w:rFonts w:ascii="Times New Roman" w:hAnsi="Times New Roman"/>
          <w:i/>
          <w:color w:val="000000"/>
          <w:sz w:val="20"/>
        </w:rPr>
        <w:t>Available-for-Sale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available-for-sale securities generally consist of U.S. government and agency securities and bonds. Securities with maturities from the date of purchase of less than three months are included in cash equivalents. The Company classifies its marketable securities as available-for-sale and records such assets at estimated fair value in the condensed consolidated balance sheets, with unrealized gains and losses, if any, reported as a component of other comprehensive income (loss) and as a separate component of stockholders’ equity. Realized gains and losses are calculated on the specific identification method and recorded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(expense). 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premium arising at purchase is amortized to the earliest call date and any discount arising at purchase is accreted to maturity. Accretion of discounts are recorded in interest income in the condensed consolidated statements of operations.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Income Statement (Topic 220): Reporting Comprehensive Income - Expense Disaggregation Disclosures,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the annual period starting on January 1, 2027 and interim periods starting on January 1, 2028. The Company is in the process of analyzing the impact that the adoption of ASU 2024-03 will have on its disclosures.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had, and will continue to have, an ongoing need to raise additional cash from outside sources to fund its future clinical development programs, launch the CNSide Test, and fund other operations. There can be no assurance that the Company will be able to continue to raise additional capital in the future. The Company’s inability to raise additional cash would have a material and adverse impact on its operations. These factors raise substantial doubt about the Company’s ability to continue as a going concern.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disclosed in more detail in </w:t>
      </w:r>
      <w:r>
        <w:rPr>
          <w:rFonts w:ascii="Times New Roman" w:hAnsi="Times New Roman"/>
          <w:i/>
          <w:color w:val="000000"/>
          <w:sz w:val="20"/>
        </w:rPr>
        <w:t>Note 12 Stockholders' Equity</w:t>
      </w:r>
      <w:r>
        <w:rPr>
          <w:rFonts w:ascii="Times New Roman" w:hAnsi="Times New Roman"/>
          <w:color w:val="000000"/>
          <w:sz w:val="20"/>
        </w:rPr>
        <w:t>, the Company has entered into various financing agreements to raise capital. The Company continues to seek additional capital from financing alternatives and other sources in order to ensure adequate funding is available to allow the Company to continue research and development activities. If sufficient capital is not raised, the Company will at a minimum need to significantly reduce or curtail its research and development and other operations, and this would have a material adverse impact on its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120" w:after="283"/>
        <w:jc w:val="both"/>
        <w:rPr>
          <w:rFonts w:ascii="Times New Roman" w:hAnsi="Times New Roman"/>
          <w:sz w:val="20"/>
        </w:rPr>
      </w:pPr>
      <w:r>
        <w:rPr>
          <w:rFonts w:ascii="Times New Roman" w:hAnsi="Times New Roman"/>
          <w:b/>
          <w:i/>
          <w:color w:val="000000"/>
          <w:sz w:val="20"/>
        </w:rPr>
        <w:t>Nasdaq Listing Compliance</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Minimum Stockholders’ Equity Requirement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is currently in compliance with Nasdaq Listing Rule 5550(b)(1) (the “Minimum Stockholders’ Equity Requirement”). The Company is subject to monitoring through August 22, 2026 with respect to the Minimum Stockholders’ Equity Requirement. If, within such period, the Listing Qualifications staff of Nasdaq (the “Staff”) determines that the Company no longer satisfies the Minimum Stockholders’ Equity Requirement (and it is not then in compliance with one of the alternative standards under Nasdaq Listing Rule 5550(b)), it will not be permitted to provide the Staff with a plan of compliance and the Staff is not permitted to grant additional time to regain compliance with the Minimum Stockholders’ Equity Requirement nor will it be afforded an applicable cure or compliance period. Instead, the Staff will issue a delist determination letter, and the Company will have an opportunity to request a new hearing before the Nasdaq Hearings Panel, which request would stay any further action by the Staff pending the ultimate outcome of the hearing.</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Minimum Bid Requirement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20, 2026, the Company received written notice (the “Notification Letter”) from The Nasdaq Stock Market LLC notifying the Company that it had regained compliance with the Minimum Bid Requirement. The Notification Letter was sent following the implementation of the Reverse Stock Split, which became effective on April 2, 2026. Additional information regarding the Reverse Split can be found in the Company’s Current Report on Form 8-K filed on April 2, 2026.</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4. Fair</w:t>
      </w:r>
      <w:r>
        <w:rPr>
          <w:rFonts w:ascii="Times New Roman" w:hAnsi="Times New Roman"/>
          <w:color w:val="000000"/>
          <w:sz w:val="20"/>
        </w:rPr>
        <w:t xml:space="preserve"> </w:t>
      </w:r>
      <w:r>
        <w:rPr>
          <w:rFonts w:ascii="Times New Roman" w:hAnsi="Times New Roman"/>
          <w:b/>
          <w:color w:val="000000"/>
          <w:sz w:val="20"/>
        </w:rPr>
        <w:t>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2: Quoted prices for similar assets or liabilities in active markets; quoted prices for identical or similar instruments in markets that are not active; and model-derived valuations in which all significant inputs are observable in active markets.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Valuations derived from valuation techniques in which one or more significant inputs are unobservable in active markets.</w:t>
      </w:r>
    </w:p>
    <w:p>
      <w:pPr>
        <w:pStyle w:val="TextBody"/>
        <w:bidi w:val="0"/>
        <w:spacing w:before="120" w:after="283"/>
        <w:jc w:val="both"/>
        <w:rPr>
          <w:rFonts w:ascii="Times New Roman" w:hAnsi="Times New Roman"/>
          <w:sz w:val="20"/>
        </w:rPr>
      </w:pPr>
      <w:r>
        <w:rPr>
          <w:rFonts w:ascii="Times New Roman" w:hAnsi="Times New Roman"/>
          <w:b/>
          <w:i/>
          <w:color w:val="000000"/>
          <w:sz w:val="20"/>
        </w:rPr>
        <w:t>Assets recorded at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investments in money market accounts which are included in cash and cash equivalents on the condensed consolidated balance sheets. Certain treasury bills are also considered cash equivalents if their maturities are three months or less at the time of purchase. Fair value inputs for these investments are considered Level 1 measurements within the fair value hierarchy since money market account and treasury bill fair values are known and observable through daily published floating net asset values.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adjust or override any fair value measurements as of March 31, 2026 or December 31, 2025. The Company does not have any investments classified as Level 3 and no investment transferred between classification levels during the three months ended March 31, 2026.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Company’s fair value hierarchy for its financial assets measured at fair value on a recurring basis as of March 31, 2026 and December 31, 2025, respectively (in thousands): </w:t>
      </w:r>
    </w:p>
    <w:tbl>
      <w:tblPr>
        <w:tblW w:w="5959" w:type="dxa"/>
        <w:jc w:val="left"/>
        <w:tblInd w:w="0" w:type="dxa"/>
        <w:tblLayout w:type="fixed"/>
        <w:tblCellMar>
          <w:top w:w="28" w:type="dxa"/>
          <w:left w:w="28" w:type="dxa"/>
          <w:bottom w:w="28" w:type="dxa"/>
          <w:right w:w="28" w:type="dxa"/>
        </w:tblCellMar>
      </w:tblPr>
      <w:tblGrid>
        <w:gridCol w:w="2296"/>
        <w:gridCol w:w="211"/>
        <w:gridCol w:w="676"/>
        <w:gridCol w:w="146"/>
        <w:gridCol w:w="211"/>
        <w:gridCol w:w="676"/>
        <w:gridCol w:w="146"/>
        <w:gridCol w:w="239"/>
        <w:gridCol w:w="391"/>
        <w:gridCol w:w="146"/>
        <w:gridCol w:w="239"/>
        <w:gridCol w:w="39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2"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2026</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2"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bonds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20"/>
        <w:jc w:val="both"/>
        <w:rPr>
          <w:rFonts w:ascii="Times New Roman" w:hAnsi="Times New Roman"/>
          <w:sz w:val="20"/>
        </w:rPr>
      </w:pPr>
      <w:r>
        <w:rPr>
          <w:rFonts w:ascii="Times New Roman" w:hAnsi="Times New Roman"/>
          <w:b/>
          <w:i/>
          <w:color w:val="000000"/>
          <w:sz w:val="20"/>
        </w:rPr>
        <w:t>Liabilities recorded at fair value</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As detailed in </w:t>
      </w:r>
      <w:r>
        <w:rPr>
          <w:rFonts w:ascii="Times New Roman" w:hAnsi="Times New Roman"/>
          <w:i/>
          <w:color w:val="000000"/>
          <w:sz w:val="20"/>
        </w:rPr>
        <w:t>Note 12 Stockholders' Equity</w:t>
      </w:r>
      <w:r>
        <w:rPr>
          <w:rFonts w:ascii="Times New Roman" w:hAnsi="Times New Roman"/>
          <w:color w:val="000000"/>
          <w:sz w:val="20"/>
        </w:rPr>
        <w:t>, the Company elected to account for convertible notes (consisting of funding notes and exchange notes) issued on February 13, 2025 at fair value as of the issuance date and immediately before their settlement date of March 4, 2025. The convertible notes were valued using the binomial lattice model with the following key level 3 inputs:</w:t>
      </w:r>
    </w:p>
    <w:tbl>
      <w:tblPr>
        <w:tblW w:w="5620" w:type="dxa"/>
        <w:jc w:val="left"/>
        <w:tblInd w:w="0" w:type="dxa"/>
        <w:tblLayout w:type="fixed"/>
        <w:tblCellMar>
          <w:top w:w="28" w:type="dxa"/>
          <w:left w:w="28" w:type="dxa"/>
          <w:bottom w:w="28" w:type="dxa"/>
          <w:right w:w="28" w:type="dxa"/>
        </w:tblCellMar>
      </w:tblPr>
      <w:tblGrid>
        <w:gridCol w:w="2371"/>
        <w:gridCol w:w="146"/>
        <w:gridCol w:w="406"/>
        <w:gridCol w:w="899"/>
        <w:gridCol w:w="271"/>
        <w:gridCol w:w="146"/>
        <w:gridCol w:w="286"/>
        <w:gridCol w:w="779"/>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settlement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 - 4.28%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provides a roll forward of the fair value of the convertible notes during the three months ended March 31, 2025 (in thousands):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tbl>
      <w:tblPr>
        <w:tblW w:w="6505" w:type="dxa"/>
        <w:jc w:val="left"/>
        <w:tblInd w:w="0" w:type="dxa"/>
        <w:tblLayout w:type="fixed"/>
        <w:tblCellMar>
          <w:top w:w="28" w:type="dxa"/>
          <w:left w:w="28" w:type="dxa"/>
          <w:bottom w:w="28" w:type="dxa"/>
          <w:right w:w="28" w:type="dxa"/>
        </w:tblCellMar>
      </w:tblPr>
      <w:tblGrid>
        <w:gridCol w:w="3421"/>
        <w:gridCol w:w="146"/>
        <w:gridCol w:w="289"/>
        <w:gridCol w:w="866"/>
        <w:gridCol w:w="166"/>
        <w:gridCol w:w="146"/>
        <w:gridCol w:w="315"/>
        <w:gridCol w:w="945"/>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Funding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Exchange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Warrants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As detailed in </w:t>
      </w:r>
      <w:r>
        <w:rPr>
          <w:rFonts w:ascii="Times New Roman" w:hAnsi="Times New Roman"/>
          <w:i/>
          <w:color w:val="000000"/>
          <w:sz w:val="20"/>
        </w:rPr>
        <w:t>Note 12 Stockholders' Equity</w:t>
      </w:r>
      <w:r>
        <w:rPr>
          <w:rFonts w:ascii="Times New Roman" w:hAnsi="Times New Roman"/>
          <w:color w:val="000000"/>
          <w:sz w:val="20"/>
        </w:rPr>
        <w:t xml:space="preserve">, the Company issued March 2025 Series A and March 2025 Series B common stock warrants in connection with the March 2025 Private Placement. The March 2025 Series A and March 2025 Series B common stock warrants were accounted for as liabilities at fair value at their issuance date, and immediately prior to their extinguishment and modification, respectively, on June 17, 2025. The March 2025 Series A and March 2025 Series B common stock warrants were valued using the Monte Carlo simulation, with the following key level 3 inputs: </w:t>
      </w:r>
    </w:p>
    <w:tbl>
      <w:tblPr>
        <w:tblW w:w="6505" w:type="dxa"/>
        <w:jc w:val="left"/>
        <w:tblInd w:w="0" w:type="dxa"/>
        <w:tblLayout w:type="fixed"/>
        <w:tblCellMar>
          <w:top w:w="28" w:type="dxa"/>
          <w:left w:w="28" w:type="dxa"/>
          <w:bottom w:w="28" w:type="dxa"/>
          <w:right w:w="28" w:type="dxa"/>
        </w:tblCellMar>
      </w:tblPr>
      <w:tblGrid>
        <w:gridCol w:w="2011"/>
        <w:gridCol w:w="146"/>
        <w:gridCol w:w="186"/>
        <w:gridCol w:w="729"/>
        <w:gridCol w:w="271"/>
        <w:gridCol w:w="146"/>
        <w:gridCol w:w="548"/>
        <w:gridCol w:w="2152"/>
        <w:gridCol w:w="31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modification and extinguishment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March 2025 Series B Warrants were valued immediately prior to exercise, using the Monte Carlo simulation with the following inputs for the exercises that occurred before the modification on June 17, 2025:</w:t>
      </w:r>
    </w:p>
    <w:tbl>
      <w:tblPr>
        <w:tblW w:w="3718" w:type="dxa"/>
        <w:jc w:val="left"/>
        <w:tblInd w:w="0" w:type="dxa"/>
        <w:tblLayout w:type="fixed"/>
        <w:tblCellMar>
          <w:top w:w="28" w:type="dxa"/>
          <w:left w:w="28" w:type="dxa"/>
          <w:bottom w:w="28" w:type="dxa"/>
          <w:right w:w="28" w:type="dxa"/>
        </w:tblCellMar>
      </w:tblPr>
      <w:tblGrid>
        <w:gridCol w:w="2011"/>
        <w:gridCol w:w="146"/>
        <w:gridCol w:w="156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exercise</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 - 4.06%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4.9 - 5.0</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 - 135.8%</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addition, the February 2025 Warrants issued in connection with the Funding Notes were required to be classified as liabilities and recorded at fair value. The Company estimated the fair value of the February 2025 Warrants using the Black Scholes model at issuance as of February 13, 2025 and as of their redemption date of March 4, 2025, using the following level 3 inputs: </w:t>
      </w:r>
    </w:p>
    <w:tbl>
      <w:tblPr>
        <w:tblW w:w="5230" w:type="dxa"/>
        <w:jc w:val="left"/>
        <w:tblInd w:w="0" w:type="dxa"/>
        <w:tblLayout w:type="fixed"/>
        <w:tblCellMar>
          <w:top w:w="28" w:type="dxa"/>
          <w:left w:w="28" w:type="dxa"/>
          <w:bottom w:w="28" w:type="dxa"/>
          <w:right w:w="28" w:type="dxa"/>
        </w:tblCellMar>
      </w:tblPr>
      <w:tblGrid>
        <w:gridCol w:w="2371"/>
        <w:gridCol w:w="146"/>
        <w:gridCol w:w="285"/>
        <w:gridCol w:w="630"/>
        <w:gridCol w:w="271"/>
        <w:gridCol w:w="146"/>
        <w:gridCol w:w="286"/>
        <w:gridCol w:w="779"/>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settlement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provides a roll forward of the fair value of liability classified common stock warrants during the three months ended March 31, 2025 (in thousands):</w:t>
      </w:r>
    </w:p>
    <w:tbl>
      <w:tblPr>
        <w:tblW w:w="10205" w:type="dxa"/>
        <w:jc w:val="left"/>
        <w:tblInd w:w="0" w:type="dxa"/>
        <w:tblLayout w:type="fixed"/>
        <w:tblCellMar>
          <w:top w:w="28" w:type="dxa"/>
          <w:left w:w="28" w:type="dxa"/>
          <w:bottom w:w="28" w:type="dxa"/>
          <w:right w:w="28" w:type="dxa"/>
        </w:tblCellMar>
      </w:tblPr>
      <w:tblGrid>
        <w:gridCol w:w="2669"/>
        <w:gridCol w:w="146"/>
        <w:gridCol w:w="402"/>
        <w:gridCol w:w="1204"/>
        <w:gridCol w:w="166"/>
        <w:gridCol w:w="146"/>
        <w:gridCol w:w="507"/>
        <w:gridCol w:w="1380"/>
        <w:gridCol w:w="146"/>
        <w:gridCol w:w="146"/>
        <w:gridCol w:w="452"/>
        <w:gridCol w:w="1448"/>
        <w:gridCol w:w="146"/>
        <w:gridCol w:w="146"/>
        <w:gridCol w:w="211"/>
        <w:gridCol w:w="676"/>
        <w:gridCol w:w="214"/>
      </w:tblGrid>
      <w:tr>
        <w:trPr/>
        <w:tc>
          <w:tcPr>
            <w:tcW w:w="2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2025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2025 Series A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2025 Series B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Investor Liability Pursuant to Letter Agreement and Support Letters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repayment obligation owed to certain March 2025 Private Placement Purchasers pursuant to the amended Letter Agreement and Support Letters was accounted for at fair value as a financial liability in accordance with ASC 480. The Company measured the fair value of the repayment obligation using Level 3 inputs. As of December 31, 2025, the Company had a liability of approximately $4.5 million on its consolidated balance sheet related to this repayment obligation. During the three months ended March 31, 2026, the Company paid the March 2025 Private Placement Purchasers $4.5 million to fully satisfy the investor liability owed under the modified Letter Agreement, and 272,821 shares were returned and cancelled under the terms of the Letter Agreement. Due to the $4.5 million payoff, there is no longer a requirement to retain sufficient funds in an interest bearing account to cover such repayment obligations, and as such, the restriction lapsed on the $4.5 million of restricted cash and cash equivalents. Refer to </w:t>
      </w:r>
      <w:r>
        <w:rPr>
          <w:rFonts w:ascii="Times New Roman" w:hAnsi="Times New Roman"/>
          <w:i/>
          <w:color w:val="000000"/>
          <w:sz w:val="20"/>
        </w:rPr>
        <w:t>Note 12 Stockholders’ Equity</w:t>
      </w:r>
      <w:r>
        <w:rPr>
          <w:rFonts w:ascii="Times New Roman" w:hAnsi="Times New Roman"/>
          <w:color w:val="000000"/>
          <w:sz w:val="20"/>
        </w:rPr>
        <w:t xml:space="preserve"> for further details.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120"/>
        <w:jc w:val="both"/>
        <w:rPr>
          <w:rFonts w:ascii="Times New Roman" w:hAnsi="Times New Roman"/>
          <w:sz w:val="20"/>
        </w:rPr>
      </w:pPr>
      <w:r>
        <w:rPr>
          <w:rFonts w:ascii="Times New Roman" w:hAnsi="Times New Roman"/>
          <w:b/>
          <w:i/>
          <w:color w:val="000000"/>
          <w:sz w:val="20"/>
        </w:rPr>
        <w:t>Nonfinancial Assets and Liabilities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applies fair value techniques on a non-recurring basis, if and when necessary, associated with: (1) valuing potential impairment losses related to goodwill and intangible assets which are accounted for pursuant to the authoritative guidance for intangibles—goodwill and other; and (2) valuing potential impairment losses related to long-lived assets which are accounted for pursuant to the authoritative guidance for property, plant and equipment. There was no impairment related to long lived assets, intangible assets, or goodwill during the three months ended March 31, 2026 and 2025.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Short-Term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classified short-term investments as available-for-sale securities, as the sale of such investments may be required prior to maturity to facilitate the execution of management strategies. During the three months ended March 31, 2026 and 2025, the unrealized gain on the Company's available-for-sale securities was immaterial, and not presented separately in the condensed consolidated statements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classified all investments with maturities longer than three months from the date of purchase as short-term investments in the condensed consolidated balance sheets, reflecting its intent and ability to use these assets to meet the liquidity requirements of current operations. The following table summarizes contractual maturities of available-for-sale securities as of March 31, 2026 (in thousands):</w:t>
      </w:r>
    </w:p>
    <w:tbl>
      <w:tblPr>
        <w:tblW w:w="6338" w:type="dxa"/>
        <w:jc w:val="left"/>
        <w:tblInd w:w="0" w:type="dxa"/>
        <w:tblLayout w:type="fixed"/>
        <w:tblCellMar>
          <w:top w:w="28" w:type="dxa"/>
          <w:left w:w="28" w:type="dxa"/>
          <w:bottom w:w="28" w:type="dxa"/>
          <w:right w:w="28" w:type="dxa"/>
        </w:tblCellMar>
      </w:tblPr>
      <w:tblGrid>
        <w:gridCol w:w="3106"/>
        <w:gridCol w:w="296"/>
        <w:gridCol w:w="949"/>
        <w:gridCol w:w="146"/>
        <w:gridCol w:w="392"/>
        <w:gridCol w:w="1258"/>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Total Investments</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or if-converted method, as applicable. Pre-funded warrants are included in the weighted average shares outstanding calculation (as of the beginning of the period or the date of the grant, whichever was earlier) for basic and dilutive earnings per share given their nominal exercise price.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provides a summary of instruments where underlying shares issuable upon exercise or conversion were excluded from the diluted loss per share calculation for the periods presented because their effect would be anti-dilutive. Additionally, the shares underlying the February 2025 Warrants, Funding Notes and Exchange Notes, each outstanding during the three months ended March 31, 2025, were excluded from diluted loss per share as their effect would be anti-dilutive. </w:t>
      </w:r>
    </w:p>
    <w:p>
      <w:pPr>
        <w:pStyle w:val="TextBody"/>
        <w:bidi w:val="0"/>
        <w:jc w:val="both"/>
        <w:rPr/>
      </w:pPr>
      <w:r>
        <w:rPr/>
        <w:t> </w:t>
      </w:r>
    </w:p>
    <w:tbl>
      <w:tblPr>
        <w:tblW w:w="5484" w:type="dxa"/>
        <w:jc w:val="left"/>
        <w:tblInd w:w="0" w:type="dxa"/>
        <w:tblLayout w:type="fixed"/>
        <w:tblCellMar>
          <w:top w:w="28" w:type="dxa"/>
          <w:left w:w="28" w:type="dxa"/>
          <w:bottom w:w="28" w:type="dxa"/>
          <w:right w:w="28" w:type="dxa"/>
        </w:tblCellMar>
      </w:tblPr>
      <w:tblGrid>
        <w:gridCol w:w="2851"/>
        <w:gridCol w:w="146"/>
        <w:gridCol w:w="146"/>
        <w:gridCol w:w="931"/>
        <w:gridCol w:w="146"/>
        <w:gridCol w:w="146"/>
        <w:gridCol w:w="146"/>
        <w:gridCol w:w="78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7. Grant Revenue </w:t>
      </w:r>
      <w:bookmarkStart w:id="10" w:name="footnote_6"/>
      <w:bookmarkEnd w:id="10"/>
    </w:p>
    <w:p>
      <w:pPr>
        <w:pStyle w:val="TextBody"/>
        <w:bidi w:val="0"/>
        <w:spacing w:before="120" w:after="120"/>
        <w:jc w:val="both"/>
        <w:rPr>
          <w:rFonts w:ascii="Times New Roman" w:hAnsi="Times New Roman"/>
          <w:sz w:val="20"/>
        </w:rPr>
      </w:pPr>
      <w:r>
        <w:rPr>
          <w:rFonts w:ascii="Times New Roman" w:hAnsi="Times New Roman"/>
          <w:i/>
          <w:color w:val="000000"/>
          <w:sz w:val="20"/>
        </w:rPr>
        <w:t>CPRIT Grant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September 19, 2022, the Company entered into that certain </w:t>
      </w:r>
      <w:r>
        <w:rPr>
          <w:rFonts w:ascii="Times New Roman" w:hAnsi="Times New Roman"/>
          <w:color w:val="231F20"/>
          <w:sz w:val="20"/>
        </w:rPr>
        <w:t>Cancer Research Grant Contract (the “CPRIT Contract”), effective as of August 31, 2022,</w:t>
      </w:r>
      <w:r>
        <w:rPr>
          <w:rFonts w:ascii="Times New Roman" w:hAnsi="Times New Roman"/>
          <w:color w:val="000000"/>
          <w:sz w:val="20"/>
        </w:rPr>
        <w:t xml:space="preserve"> with the </w:t>
      </w:r>
      <w:r>
        <w:rPr>
          <w:rFonts w:ascii="Times New Roman" w:hAnsi="Times New Roman"/>
          <w:color w:val="231F20"/>
          <w:sz w:val="20"/>
        </w:rPr>
        <w:t>Cancer Prevention and Research Institute of Texas (“CPRIT”)</w:t>
      </w:r>
      <w:r>
        <w:rPr>
          <w:rFonts w:ascii="Times New Roman" w:hAnsi="Times New Roman"/>
          <w:color w:val="000000"/>
          <w:sz w:val="20"/>
        </w:rPr>
        <w:t>, pursuant to which CPRIT provides the Company with a CPRIT grant (“CPRIT Grant”) over a three-year period to fund the continued development of rhenium (</w:t>
      </w:r>
      <w:r>
        <w:rPr>
          <w:rFonts w:ascii="Times New Roman" w:hAnsi="Times New Roman"/>
          <w:color w:val="000000"/>
          <w:sz w:val="13"/>
        </w:rPr>
        <w:t>186</w:t>
      </w:r>
      <w:r>
        <w:rPr>
          <w:rFonts w:ascii="Times New Roman" w:hAnsi="Times New Roman"/>
          <w:color w:val="000000"/>
          <w:sz w:val="20"/>
        </w:rPr>
        <w:t>Re) obisbemeda for the treatment of patients with leptomeningeal metastases. The CPRIT Grant is subject to customary CPRIT funding conditions, including, but not limited to, a matching fund requirement (one dollar for every two dollars awarded by CPRIT), revenue sharing obligations upon commercialization of rhenium (</w:t>
      </w:r>
      <w:r>
        <w:rPr>
          <w:rFonts w:ascii="Times New Roman" w:hAnsi="Times New Roman"/>
          <w:color w:val="000000"/>
          <w:sz w:val="13"/>
        </w:rPr>
        <w:t>186</w:t>
      </w:r>
      <w:r>
        <w:rPr>
          <w:rFonts w:ascii="Times New Roman" w:hAnsi="Times New Roman"/>
          <w:color w:val="000000"/>
          <w:sz w:val="20"/>
        </w:rPr>
        <w:t xml:space="preserve">Re) obisbemeda based on specific dollar thresholds and tiered low single digit royalty rates until CPRIT receives the aggregate amount of 400% of the proceeds awarded under the CPRIT Grant, and certain reporting requirements.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CPRIT Contract will terminate on August 28, 2026, unless terminated earlier by (a) the mutual written consent of all parties to the CPRIT Contract, (b) CPRIT for an event of default by the Company, (c) CPRIT, if the funds allocated to the CPRIT Grant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recognized $1.0 million and $1.1 million in grant revenue from the CPRIT Contract during the three months ended March 31, 2026 and 2025, respectively. The grant revenue receivable related to the CPRIT Grant recorded on the condensed consolidated financial statements as of March 31, 2026 and December 31, 2025 was $1.4 million and $0.3 million, respectively. </w:t>
      </w:r>
    </w:p>
    <w:p>
      <w:pPr>
        <w:pStyle w:val="TextBody"/>
        <w:bidi w:val="0"/>
        <w:spacing w:before="0" w:after="120"/>
        <w:jc w:val="both"/>
        <w:rPr>
          <w:rFonts w:ascii="Times New Roman" w:hAnsi="Times New Roman"/>
          <w:sz w:val="20"/>
        </w:rPr>
      </w:pPr>
      <w:r>
        <w:rPr>
          <w:rFonts w:ascii="Times New Roman" w:hAnsi="Times New Roman"/>
          <w:i/>
          <w:color w:val="000000"/>
          <w:sz w:val="20"/>
        </w:rPr>
        <w:t>Department of Defense Award</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Effective September 1, 2024, the Company entered into an agreement with the Department of Defense office of the Congressionally Directed Medical Research Programs to receive a $3.0 million award for research and development purposes (“DoD Award”) over a three year period. The DoD Award will be used to support the planned expansion of the Company’s clinical trial for pediatric brain cancer. On October 4, 2024, the Company received its first payment under the DoD Award in the amount of $0.9 million, which was recorded as a deferred grant liability as of March 31, 2026 and December 31, 2025. As of March 31, 2026, no amount of grant revenue was recognized related to the DoD Award.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October 16, 2025, the Company entered into a lease (the “Houston Lease”) with LG 1 Property Owner LP, pursuant to which the Company agreed to lease approximately 11,370 rentable square feet of space located at 6420 Levit Green Boulevard, Houston, Texas 77021. The Houston Lease is expected to commence on or about November 1, 2026. The Houston Lease provides for a monthly base rent of $58,745, which increases annually by approximately 3%, plus the Company’s share of the building’s direct expenses. The Houston Lease has an initial term of 120 calendar months. While the premises under the Houston Lease is constructed and designed to fit the Company's business needs and intended purpose, the Company leased temporary space of approximately 11,370 rentable square feet (separate from the premises under the Houston Lease) for a monthly base rent of $58,745. The Company expects to be in the temporary space until the leasehold improvements are completed. The Company recognizes lease expense for the short-term temporary space on a straight-line basis over the expected lease term. The deferred rent balance of $146,000 and $159,000 as of March 31, 2026 and December 31, 2025, respectively, represented the difference between the cash payments made and the straight-line lease expense and is recorded to “Other liabilities” on the condensed consolidated balance sheets.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also leases certain office space in Charlottesville, Virginia (the “Charlottesville Lease”). The Charlottesville Lease expires on March 31, 2027.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Manufacturing Agreement with SpectronRx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November 5, 2024, the Company entered into a manufacturing services agreement with SpectronRx for drug product development and manufacturing, which includes an initial commitment fee of $0.3 million. Under this agreement, the Company owns all rights to intellectual property related to the products developed, while SpectronRx retains rights to its own technology. SpectronRx is required to negotiate a commercial supply agreement upon six months' written notice before the Company's first commercial manufacturing needs. The agreement will remain in place for five years, automatically renewing for successive one-year terms unless terminated with six months' notice. During the three months ended March 31, 2026 and year ended December 31, 2025, the Company did not recognize any expenses related to this agreement.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study progress. As of March 31, 2026, the Company did not have any clinical research study obligations.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entered into service and subscription-based agreements, which are recorded in accounts payable and accrued expenses, with an offsetting amount included in deferred costs within other current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sz w:val="20"/>
        </w:rPr>
      </w:pPr>
      <w:r>
        <w:rPr>
          <w:rFonts w:ascii="Times New Roman" w:hAnsi="Times New Roman"/>
          <w:i/>
          <w:color w:val="000000"/>
          <w:sz w:val="20"/>
        </w:rPr>
        <w:t>Legal proceedings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9. Composition of Certain Financial Statement Captions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March 31, 2026 and December 31, 2025, other current assets were comprised of the following (in thousands):</w:t>
      </w:r>
    </w:p>
    <w:tbl>
      <w:tblPr>
        <w:tblW w:w="5535" w:type="dxa"/>
        <w:jc w:val="left"/>
        <w:tblInd w:w="0" w:type="dxa"/>
        <w:tblLayout w:type="fixed"/>
        <w:tblCellMar>
          <w:top w:w="28" w:type="dxa"/>
          <w:left w:w="28" w:type="dxa"/>
          <w:bottom w:w="28" w:type="dxa"/>
          <w:right w:w="28" w:type="dxa"/>
        </w:tblCellMar>
      </w:tblPr>
      <w:tblGrid>
        <w:gridCol w:w="2146"/>
        <w:gridCol w:w="146"/>
        <w:gridCol w:w="340"/>
        <w:gridCol w:w="920"/>
        <w:gridCol w:w="146"/>
        <w:gridCol w:w="146"/>
        <w:gridCol w:w="403"/>
        <w:gridCol w:w="1097"/>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10. Line of Credit Facility</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 xml:space="preserve">The Company has a margin loan facility under a line of credit (the “Pershing Credit Facility”) with Pershing LLC (“Pershing”), an affiliate of The Bank of New York Mellon Corporation. The available credit line limit under the Pershing Credit Facility fluctuates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held with Pershing, Pershing could require the Company from time-to-time to deposit additional funds or marketable securities in order to restore the level of collateral to an acceptable level. The amounts borrowed under the Pershing Credit Facility are due on demand.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Borrowings under the Pershing Credit Facility bear interest at the target interest rate set by the Federal Open Market Committee, subject to a floor of 5.5%, plus a spread of 1.75% and applicable fees of 0.5%, subject to a maximum interest rate of the then applicable Prime Rate as published in The Wall Street Journal plus 3.0%. Interest payments thereunder are calculated on a monthly basis and, unless paid, are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2026 and December 31, 2025, the outstanding balances on the line of credit facility with Pershing were $0.7 million and $0.8 million, respectively. </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11. License Agreements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i/>
          <w:color w:val="000000"/>
          <w:sz w:val="20"/>
        </w:rPr>
        <w:t>UT Health Science Center at San Antonio (“UTHSCSA”) License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pStyle w:val="TextBody"/>
        <w:bidi w:val="0"/>
        <w:spacing w:before="0" w:after="120"/>
        <w:jc w:val="both"/>
        <w:rPr>
          <w:rFonts w:ascii="Times New Roman" w:hAnsi="Times New Roman"/>
          <w:sz w:val="20"/>
        </w:rPr>
      </w:pPr>
      <w:r>
        <w:rPr>
          <w:rFonts w:ascii="Times New Roman" w:hAnsi="Times New Roman"/>
          <w:i/>
          <w:color w:val="000000"/>
          <w:sz w:val="20"/>
        </w:rPr>
        <w:t>NanoTx License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29, 2020, the Company and NanoTx, Corp. (“NanoTx”) entered into a Patent and Know-How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March 31, 2026, there were no accrued payments due to NanoTx as a result of the CPRIT Grant proceeds received (see </w:t>
      </w:r>
      <w:r>
        <w:rPr>
          <w:rFonts w:ascii="Times New Roman" w:hAnsi="Times New Roman"/>
          <w:i/>
          <w:color w:val="000000"/>
          <w:sz w:val="20"/>
        </w:rPr>
        <w:t xml:space="preserve">Note 7, Grant Revenue </w:t>
      </w:r>
      <w:r>
        <w:rPr>
          <w:rFonts w:ascii="Times New Roman" w:hAnsi="Times New Roman"/>
          <w:color w:val="000000"/>
          <w:sz w:val="20"/>
        </w:rPr>
        <w:t>of the condensed consolidated financial statements for additional information).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left"/>
        <w:rPr>
          <w:rFonts w:ascii="Times New Roman" w:hAnsi="Times New Roman"/>
          <w:b/>
          <w:color w:val="000000"/>
          <w:sz w:val="20"/>
        </w:rPr>
      </w:pPr>
      <w:bookmarkStart w:id="11" w:name="footnote_12"/>
      <w:bookmarkEnd w:id="11"/>
      <w:r>
        <w:rPr>
          <w:rFonts w:ascii="Times New Roman" w:hAnsi="Times New Roman"/>
          <w:b/>
          <w:color w:val="000000"/>
          <w:sz w:val="20"/>
        </w:rPr>
        <w:t>12. Stockholders’ Equity</w:t>
      </w:r>
    </w:p>
    <w:p>
      <w:pPr>
        <w:pStyle w:val="TextBody"/>
        <w:bidi w:val="0"/>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April 1, 2026, the Company implemented a 1-for-25 reverse split of its common stock (the “Reverse Stock Split”). The Reverse Stock Split became effective as of 12:01 a.m. (Eastern time) on April 2, 2026, and the Company’s common stock began trading on The Nasdaq Capital Market on a post-split basis at the open of business on April 2, 2026. Refer to further details as discussed in </w:t>
      </w:r>
      <w:r>
        <w:rPr>
          <w:rFonts w:ascii="Times New Roman" w:hAnsi="Times New Roman"/>
          <w:i/>
          <w:color w:val="000000"/>
          <w:sz w:val="20"/>
        </w:rPr>
        <w:t>Note 1 Organization and Basis of Presentation</w:t>
      </w:r>
      <w:r>
        <w:rPr>
          <w:rFonts w:ascii="Times New Roman" w:hAnsi="Times New Roman"/>
          <w:color w:val="000000"/>
          <w:sz w:val="20"/>
        </w:rPr>
        <w: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authorized 5,000,000 shares of preferred stock, par value $0.001 per share. The Company’s board of directors is authorized to designate the terms and conditions of any preferred stock the Company issues without further action by the common stockholders. </w:t>
      </w:r>
    </w:p>
    <w:p>
      <w:pPr>
        <w:pStyle w:val="TextBody"/>
        <w:bidi w:val="0"/>
        <w:spacing w:before="0" w:after="120"/>
        <w:jc w:val="left"/>
        <w:rPr>
          <w:rFonts w:ascii="Times New Roman" w:hAnsi="Times New Roman"/>
          <w:sz w:val="20"/>
        </w:rPr>
      </w:pPr>
      <w:r>
        <w:rPr>
          <w:rFonts w:ascii="Times New Roman" w:hAnsi="Times New Roman"/>
          <w:i/>
          <w:color w:val="000000"/>
          <w:sz w:val="20"/>
        </w:rPr>
        <w:t>Series B and C Preferred Stock</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March 31, 2026, there were 938 outstanding shares of Series C Preferred Stock that can be converted into an aggregate of 1,111 shares of common stock, and 1,014 shares of Series B Convertible Preferred Stock that can be converted into an aggregate of 15 shares of common stock. </w:t>
      </w:r>
    </w:p>
    <w:p>
      <w:pPr>
        <w:pStyle w:val="TextBody"/>
        <w:bidi w:val="0"/>
        <w:spacing w:before="0" w:after="120"/>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February 2025 SPEA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February 13, 2025 (the “February 2025 Closing Date”), the Company entered into a Securities Purchase and Exchange Agreement (the “February 2025 SPEA”) with certain existing accredited investors (the “February 2025 Purchasers”). Pursuant to the February 2025 SPEA, on the February 2025 Closing Date the Company issued secured convertible promissory notes (the “Funding Notes”) in the aggregate principal amount of $3.3 million together with common stock purchase warrants (the “February 2025 Warrants”) to purchase 120,080 shares of the Company common stock, par value $0.001 and exercise price of $28.00 per share (the “February 2025 Warrant Exercise Price”). The aggregate purchase price for the Funding Notes and the February 2025 Warrants was approximately $3.7 million (the “Aggregate Purchase Price”) and included proceeds from the February 2025 Purchasers of $3.13 per February 2025 Warrant in accordance with Nasdaq listing rules. The Funding Notes would have matured on February 13, 2026, and bore interest at a rate of 10% per annum, subject to increase upon events of default. The February 2025 Warrants were exercisable for five-years from the date of issuance.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Funding Notes, accrued interest and February 2025 warrants were repurchased by the Company subsequent to consummation of the March 2025 Private Placement for proceeds of $4.2 million. </w:t>
      </w:r>
    </w:p>
    <w:p>
      <w:pPr>
        <w:pStyle w:val="TextBody"/>
        <w:bidi w:val="0"/>
        <w:spacing w:before="0" w:after="120"/>
        <w:jc w:val="both"/>
        <w:rPr>
          <w:rFonts w:ascii="Times New Roman" w:hAnsi="Times New Roman"/>
          <w:sz w:val="20"/>
        </w:rPr>
      </w:pPr>
      <w:r>
        <w:rPr>
          <w:rFonts w:ascii="Times New Roman" w:hAnsi="Times New Roman"/>
          <w:i/>
          <w:color w:val="000000"/>
          <w:sz w:val="20"/>
        </w:rPr>
        <w:t>Security Interest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obligations of the Company under the February 2025 SPEA, Funding Notes and Exchange Notes (as defined below) were secured by a pledge of substantially all of the assets of the Company pursuant to a security agreement, dated as of the February 2025 Closing Date, among the Company, CNSide Diagnostics, LLC (a subsidiary of the Company, “CNSide Diagnostics”), and Iroquois Master Fund Ltd., as collateral agent for the February 2025 Purchasers (the “Security Agreement”), subject to certain exceptions. The Security Agreement contained certain customary affirmative and negative covenants, including limitations on the Company’s and CNSide Diagnostics’ ability to dispose of assets, subject to customary exceptions. The repayment of the Company’s obligations under the February 2025 SPEA and Notes were guaranteed pursuant to a subsidiary guarantee, dated as of the February 2025 Closing Date (the “Subsidiary Guarantee”), by and among CNSide Diagnostics and the February 2025 Purchasers. The Security Agreement and the Subsidiary Guarantee were subsequently terminated after the closing of the private placement pursuant to the March 2025 SPA (as defined below).</w:t>
      </w:r>
    </w:p>
    <w:p>
      <w:pPr>
        <w:pStyle w:val="TextBody"/>
        <w:bidi w:val="0"/>
        <w:jc w:val="both"/>
        <w:rPr>
          <w:rFonts w:ascii="Times New Roman" w:hAnsi="Times New Roman"/>
          <w:sz w:val="20"/>
        </w:rPr>
      </w:pPr>
      <w:r>
        <w:rPr>
          <w:rFonts w:ascii="Times New Roman" w:hAnsi="Times New Roman"/>
          <w:i/>
          <w:color w:val="000000"/>
          <w:sz w:val="20"/>
        </w:rPr>
        <w:t>Exchange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disclosed below, the Company entered into the May 2024 Purchase Agreement (defined below), with the May 2024 Purchasers for the private placement of securities, including the May 2024 Series A Warrants to purchase an aggregate of up to 143,661 shares of common stock. The May 2024 Purchase Agreement included certain limitations and restrictions on the Company’s ability to issue securities and provided the May 2024 Purchasers and the other investors signatories to the May 2024 Purchase Agreement participation rights in future equity and equity-linked offerings of securities, subject to certain limited exceptions (the “Financing Restrictions”). On the February 2025 Closing Date, pursuant to the February 2025 SPEA, the Company issued to the May 2024 Purchasers secured convertible promissory notes in the aggregate amount of $3.2 million (the “Exchange Notes”) in exchange for cancellation of the May 2024 Series A Warrants held by the May 2024 Purchasers, and the May 2024 Purchasers entered into a second amendment to the May 2024 Purchase Agreement to eliminate the Financing Restrictions. The terms and conditions of the Exchange Notes were substantially identical in all material respects to the Funding Notes. The Security Agreement and Subsidiary Guarantee also applied to the obligations under the Exchange Notes. The Exchange Notes were exchanged after the closing of the March 2025 Private Placement as defined below.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Both the Funding Notes and the Exchange Notes contained embedded conversion features that were required to be bifurcated and accounted for as derivative liabilities. The Company evaluated authoritative guidance for accounting for convertible debt instruments and elected to account for the Funding Notes and Exchange Notes at fair value. Consequently, the Company recorded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Funding Notes and Exchange Notes in their entirety at fair value at issuance and immediately before settlement, with changes in fair value recorded as change in fair value of derivative instruments in the condensed consolidated statements of operations between the issuance date and the settlement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the transaction due to immediate funding requirements.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Exchange Notes, Funding Notes and associated warrants were recorded at fair value on the issuance date at $3.8 million, $4.0 million and $2.7 million, respectively. The excess of the fair value of the instruments issued over cash received of $3.7 million and the carrying value of the May 2024 Series A Warrants exchanged of $3.7 million, in the amount of $3.1 million was recorded as a financing expense in the condensed consolidated statement of operations for the three months ended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fair value of Exchange Notes, Funding Notes and February 2025 Warrants between issuance date and settlement date, in the amount of a gain of $0.3 million, a gain of $0.3 million and a gain of $2.2 million, respectively, were recorded as change in the fair value of derivative instruments in the condensed consolidated statement of operations for the three months ended March 31, 2025. </w:t>
      </w:r>
    </w:p>
    <w:p>
      <w:pPr>
        <w:pStyle w:val="TextBody"/>
        <w:bidi w:val="0"/>
        <w:spacing w:before="120" w:after="283"/>
        <w:jc w:val="left"/>
        <w:rPr>
          <w:rFonts w:ascii="Times New Roman" w:hAnsi="Times New Roman"/>
          <w:sz w:val="20"/>
        </w:rPr>
      </w:pPr>
      <w:r>
        <w:rPr>
          <w:rFonts w:ascii="Times New Roman" w:hAnsi="Times New Roman"/>
          <w:i/>
          <w:color w:val="000000"/>
          <w:sz w:val="20"/>
        </w:rPr>
        <w:t>March 2025 Private Placement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4, 2025, the Company entered into a securities purchase agreement (the “March 2025 SPA”) with accredited investors, including certain existing stockholders of the Company (collectively, the “March 2025 Private Placement Purchasers”) for a private placement of securities (the “March 2025 Private Placement”). The March 2025 SPA, provided for the sale and issuance by the Company of an aggregate of 1,121,685 shares (the “March 2025 Private Placement Shares”) of the Company’s common stock, or, at the election of each March 2025 Private Placement Purchaser, pre-funded warrants to purchase Common Stock (the “March 2025 Pre-Funded Warrants”), exercisable immediately at an exercise price of $0.001 per share (the “March 2025 Pre-Funded Warrant Shares”), with each March 2025 Private Placement Share or March 2025 Pre-Funded Warrant accompanied by (i) a Series A common warrant (the “March 2025 Series A Warrants”) to purchase one share of common stock (the “March 2025 Series A Warrant Shares”), and (ii) one Series B common warrant (the “March 2025 Series B Warrants”) to purchase one share of common stock (see below for additional details on the Series B Warrants cashless exercise provisions) (the “March 2025 Series B Warrant Shares,” and together with the March 2025 Series A Warrant Shares, the “March 2025 Common Warrant Shares”). The March 2025 Private Placement Shares, March 2025 Pre-Funded Warrants, March 2025 Pre-Funded Warrant Shares, March 2025 Series A Warrants, March 2025 Series B Warrants, and the March 2025 Common Warrant Shares are collectively referred to herein as the “March 2025 Securities.” Pursuant to the March 2025 SPA, the Company issued to the March 2025 Private Placement Purchasers 162,789 March 2025 Private Placement Shares, 958,896 March 2025 Pre-Funded Warrants, 1,121,685 March 2025 Series A Warrants and 1,121,685 March 2025 Series B Warrants. As of December 31, 2025, all March 2025 Pre-Funded Warrants, March 2025 Series A Warrants and March 2025 Series B Warrants were settled as a result of cancellation, exchanges or exercises.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exercise price of each March 2025 Series A Warrant issued in the March 2025 Private Placement was $33.00 per share of common stock. The March 2025 Series A Warrants were exercisable only following stockholder approval and expire five (5) years thereafter. The March 2025 Series A Warrants were subject to certain price reset, share combination event and anti-dilution provisions which, if triggered, provided that the number of shares issuable upon exercise of the March 2025 Series A Warrants would downward adjust, subject to a floor price of $3.30 (the “Floor Price”), and the number of shares issuable upon exercise therefor would increase such that the aggregate exercise price remained unchanged.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exercise price of each March 2025 Series B Warrant issued in the March 2025 Private Placement was $49.50 per share of common stock. The March 2025 Series B Warrants were exercisable only following stockholder approval and expire two and one-half (2.5) years thereafter. The March 2025 Series B Warrants were subject to certain price reset and share combination event provisions which, if triggered, provided that the number of shares issuable upon exercise of the March 2025 Series B Warrants would downward adjust, subject to the Floor Price, and the number of shares issuable upon exercise therefor would increase such that the aggregate exercise price remained unchanged. In addition, the March 2025 Series B Warrant alternative cashless exercise provision provided that the March 2025 Series B Warrant could be exercised without further payment to the Company and for three times the number of shares of common stock then subject to the March 2025 Series B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March 2025 Pre-Funded Warrants will be exercisable from the date of issuance until exercised in full. The March 2025 Pre-Funded Warrants, March 2025 Series A Warrants and March 2025 Series B Warrants may not be exercised to the extent that immediately following such exercise, the holder would beneficially own greater than 4.99% (or, at the election of the holder, greater than 9.99%) of the Company’s outstanding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March 2025 Private Placement, the Company issued 123,090 shares of common stock, 786,000 shares of March 2025 Pre-Funded Warrants in lieu thereof, and accompanying 909,090 March 2025 Series A Warrants and 909,090 March 2025 Series B Warrants in consideration of new capital subscriptions. In addition, the Company issued 39,698 shares of common stock, 172,896 March 2025 Pre-Funded Warrants in lieu thereof, and accompanying 212,594 March 2025 Series A Warrants and 212,594 March 2025 Series B Warrants, were issued in exchange for the cancelation of approximately $3.2 million in aggregate principal amount of the Exchange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evaluated the terms of the February 2025 Warrants, March 2025 Series A Warrants and March 2025 Series B Warrants under authoritative guidance and concluded that each of the instruments should be accounted for as a liability instrument at fair value at issuance and each subsequent balance sheet date until settlement, with changes in the fair value recorded in the condensed consolidated statement of operations. The March 2025 Pre-Funded Warrants met the criteria to be recorded as equity in the Company's condensed consolidated balance sheet.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March 2025 Private Placement closed on March 7, 2025 (the “March 2025 Closing Date”). The aggregate gross proceeds at the March 2025 Closing Date totaled approximately $15.0 million. The gross proceeds, along with the fair value of the February 2025 Warrants of $0.5 million and Exchange Notes of $3.5 million as of the settlement date of March 4, 2025, were first allocated to the warrant liability instruments at their full fair value, totaling $13.2 million, with the remainder of $5.8 million recorded to common stock and additional paid-in capital in equity of the condensed consolidated balance sheet. Total offering expenses of $1.4 million were allocated based on the allocated amount of proceeds to warrant liabilities and equity, with $1.0 million recorded as warrant issuance expenses and expensed as incurred, and the remaining $0.4 million recorded as common stock issuance costs in additional paid-in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 2025, the Company’s stockholders approved, among other things, the March 2025 Series A Warrants and March 2025 Series B Warrants, and an amendment to the Company’s Certificate of Incorporation, as amended, to increase the authorized share capital of the Company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2025 Series B Warrants were both reset on May 19, 2025 to $0.4373 per share. Prior to modification of the March 2025 Series B Warrants as part of the Letter Agreement (as further described below), certain March 2025 Series B Warrants were cashless exercised for the issuance of 859,299 shares of common stock.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Letter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17, 2025, the Company and the March 2025 Private Placement Purchasers entered into a letter agreement (the “Letter Agreement”) with each of the March 2025 Private Placement Purchasers in an effort to, among other items, minimize the dilutive impact of the March 2025 Private Placement. The Letter Agreement extinguished the March 2025 Series A Warrants, modified the March 2025 Series B Warrants, and provided for the return and cancellation of Private Placement Shares and Pre-Funded Warrants, as further discussed in the following paragraphs.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part of the same transaction, the March 2025 Series B Warrants were amended (the “Amended March 2025 Series B Warrants”), to (a) reduce the overall number of March 2025 Series B Warrant Shares issuable upon exercise of the Series B Warrants to an aggregate of up to 1,421,455 Series B Warrant Shares, (b) reduce the alternative cashless exercise ratio in such March 2025 Series B Warrants from 3:1 to 1:1, (c) remove provisions contained in the March 2025 Series B Warrants that would otherwise reduce the Company’s stockholders’ equity, and (d) reset the exercise price of the Amended March 2025 Series B Warrants back to $49.50 per share. As a result of the Letter Agreement, the Amended March 2025 Series B Warrants no longer fail the indexation guidance under ASC 815, Derivatives and Hedging, resulting in a reclassification from liability to equity.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Lastly, in conjunction with the Letter Agreement, each of the March 2025 Private Placement Purchasers agreed to return an aggregate of 489,679 Private Placement Shares and Pre-Funded Warrants issuable for an aggregate of 425,346 Pre-Funded Warrant Shares, held by them as of the date of the Letter Agreement, upon request of the Company (the “Letter Agreement Repurchase Option”), which were issued pursuant to the March 2025 Private Placement Purchase Agreement for a value of $16.50 per Private Placement Share and $16.475 per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 </w:t>
      </w:r>
    </w:p>
    <w:p>
      <w:pPr>
        <w:pStyle w:val="TextBody"/>
        <w:bidi w:val="0"/>
        <w:spacing w:before="120" w:after="283"/>
        <w:jc w:val="both"/>
        <w:rPr>
          <w:rFonts w:ascii="Times New Roman" w:hAnsi="Times New Roman"/>
          <w:sz w:val="20"/>
        </w:rPr>
      </w:pPr>
      <w:r>
        <w:rPr>
          <w:rFonts w:ascii="Times New Roman" w:hAnsi="Times New Roman"/>
          <w:i/>
          <w:color w:val="000000"/>
          <w:sz w:val="20"/>
        </w:rPr>
        <w:t>Support Letters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11, 2025, the Company and certain March 2025 Private Placement Purchasers party to the Letter Agreement entered into that certain letter of support (the “Support Letters”) to modify certain portions of the Letter Agreement as between the Company and each of such March 2025 Private Placement Purchasers. Pursuant to the Support Letters, in the event that the Company reasonably believes that, within the 30 days (the “Modification Period”) prior to the end of any fiscal quarter, the Company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the Company desires to trigger the modification of the Subsequent Financing Percentage, the Company agrees to supply the purchaser who executed a Support Letter with a pro forma balance sheet to evidence its reasonable belief of the Potential Equity Deficiency approximately 30 days prior to each end of fiscal quarter once the books for prior months are closed.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28, 2025, the Company entered into an amendment to the Letter Agreement and the Support Letters with certain March 2025 Private Placement Purchasers (the “Amendment Agreement”), pursuant to which (a) the Support Letters were terminated other than with respect to the participation rights granted therein, and (b) the repayment mechanism under the Letter Agreement was modified. As modified, the Company was required to retain sufficient funds in an interest bearing account to cover such repayment obligations and make such repayments upon request by any March 2025 Private Placement Purchaser who executed the Amendment Agreement until each such purchaser had received cash either from the Company or from reselling securities acquired in the March 2025 Private Placement in an amount equal to 115% of the purchase price such purchaser paid in the March 2025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2026, the Company paid the March 2025 Private Placement Purchasers $4.5 million to fully satisfy the investor liability owed under the modified Letter Agreement, and 272,821 shares were returned and cancelled under the terms of the Letter Agreement. Due to the $4.5 million payoff, there is no longer a requirement to retain sufficient funds in an interest bearing account to cover such repayment obligations, and as such, the restriction lapsed on the $4.5 million of restricted cash and cash equivalents.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First Amendment to the February 2025 SPEA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connection with entering into the March 2025 SPA, the Company entered into that certain First Amendment to the February 2025 SPEA (the “First Amendment”). The February 2025 SPEA included certain limitations and restrictions on the Company’s ability to issue securities and provided the investors with participation rights in future equity and equity-linked offerings of securities, subject to certain limited exceptions (the “New Financing Restrictions”). Pursuant to the First Amendment, subject to consummation of the March 2025 Private Placement, the Company agreed to repurchase from the Investors $3.4 million in principal amount of the Company’s Funding Notes and accrued interest, along with the February 2025 Warrants issued pursuant to the February 2025 SPEA for an aggregate purchase price of $4.2 million. In exchange for the repurchase by the Company of the Funding Notes and SPEA Warrants, the February 2025 Purchasers agreed to consent to the March 2025 Private Placement and eliminate the New Financing Restrictions.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the quarter ended March 31, 2026, all outstanding warrants from the March 2025 Private Placement have been exercised, and all March 2025 Private Placement Purchasers have received repayments or resold their securities.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Lincoln Park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June 17, 2025, the Company entered into a purchase agreement (the “Lincoln Park Purchase Agreement”) and a registration rights agreement (the “Registration Rights Agreement”) with Lincoln Park Capital Fund, LLC (“Lincoln Park”), pursuant to which the Company has the right, but not the obligation, to sell to Lincoln Park, and Lincoln Park committed to purchase up to $50.0 million of shares of the Company’s common stock, $0.001 par value per share. Such sales of common stock by the Company are subject to certain limitations and conditions set forth in the Lincoln Park Purchase Agreement including, but not limited to, the filing and effectiveness of a registration statement (a "Lincoln Park Registration Statement"). As of March 31, 2026, under the Lincoln Park Registration Statements, the resale of up to a total of 2,000,000 shares are reserved for issuance and sale under the Lincoln Park Purchase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Lincoln Park Purchase Agreement, on any business day selected by the Company over the 36-month period commencing on June 23, 2025 (the “Purchase Date”), the Company may direct Lincoln Park to purchase up to 12,000 shares of common stock on such Purchase Date, so long as the closing stock price on The Nasdaq Capital Market is not below $2.50 on the applicable Purchase Date (a “Regular Purchase”); provided, however, that (i) a Regular Purchase may be increased to up to 16,000 shares, if the closing sale price per share of the common stock on The Nasdaq Capital Market is not below $12.50 on the applicable Purchase Date; and (ii) a Regular Purchase may be increased to up to 20,000 shares, if the closing sale price per share of the common stock on The Nasdaq Capital Market is not below $18.75 on the applicable Purchase Date. In any case, Lincoln Park’s maximum obligation under any single Regular Purchase will not exceed $1.0 million. The above-referenced share amount limitations and closing sale price thresholds are subject to adjustment for any reorganization, recapitalization, non-cash dividend, stock split, reverse stock split or other similar transaction as provided in the Purchase Agreement. The purchase price per share for each such Regular Purchase will be 97% of the lesser of: (i) the lowest sale price for the common stock on The Nasdaq Capital Market on the date of sale, and (ii) the average of the three lowest closing sale prices for the common stock on The Nasdaq Capital Market during the 10 consecutive business days ending on the business day immediately preceding the purchase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also has the right to direct Lincoln Park, on any business day on which the Company has properly submitted a Regular Purchase notice for the maximum amount the Company is then permitted to sell to Lincoln Park in such Regular Purchase, to purchase an additional amount of the common stock (an “Accelerated Purchase”) of additional shares based on criteria established in the Lincoln Park Purchase Agreement. The purchase price per share for each such Accelerated Purchase will be 96.5% of the lesser of: (i) the volume weighted average price (“VWAP”) during a specific time window on the Accelerated Purchase date as defined in the Lincoln Park Purchase Agreement, and (ii) the closing sale price of the Company’s common stock on The Nasdaq Capital Market on the same Accelerated Purchase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to the Regular Purchase and Accelerated Purchase, the Company can sell to Lincoln Park an additional amount of common stock (an "Additional Accelerated Purchases"), which can be initiated multiple times on the same Additional Accelerated Purchase date. The purchase price per share for each such Additional Accelerated Purchase will be 96.5% of the lesser of: (i) the VWAP during a specific time windows on the Additional Accelerated Purchase date as defined in the Lincoln Park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color w:val="000000"/>
          <w:sz w:val="20"/>
        </w:rPr>
      </w:pPr>
      <w:r>
        <w:rPr>
          <w:rFonts w:ascii="Times New Roman" w:hAnsi="Times New Roman"/>
          <w:color w:val="000000"/>
          <w:sz w:val="20"/>
        </w:rPr>
        <w:t>Agreement, and (ii) the closing sale price of the Company’s common stock on The Nasdaq Capital Market on the same Additional Accelerated Purchase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sales of shares of common stock to Lincoln Park through a Regular Purchase, an Accelerated Purchase and an Additional Accelerated Purchases, depend upon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Lincoln Park Purchase Agreement to the Company depend on the frequency and prices at which the Company sells shares of its stock to Lincoln Park.</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January 2026 Public Offering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13, 2026, the Company completed an underwritten public offering pursuant to which the Company (a) sold an aggregate of (i) 1,578,947 shares of common stock, par value $ 0.001 per share, of the Company and (ii) warrants to purchase 1,578,947 shares of common stock (the “January 2026 Warrants”), at a combined public offering price of $9.50 per share and January 2026 Warrant, and (b) granted the underwriter a 30-day option to purchase up to an additional 236,837 shares of common stock, additional January 2026 Warrants to purchase up to 236,837 shares of common stock or any combination thereof, at the public offering price, in each case less underwriting discounts and commissions. Each January 2026 Warrant is immediately exercisable, entitles the holder to purchase one share of common stock at an exercise price of $9.50 per share and expires five (5) years from the date of issuance. On January 14, 2026, the underwriter exercised its over-allotment option with respect to additional January 2026 Warrants to purchase 236,837 shares of common stock. Net proceeds from the underwritten public offering were approximately $13.9 million after deducting the underwriting discounts and commissions and other offering expenses payable by the Company.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Outstanding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March 31, 2026, the Company had the following warrants outstanding: </w:t>
      </w:r>
    </w:p>
    <w:tbl>
      <w:tblPr>
        <w:tblW w:w="3882" w:type="dxa"/>
        <w:jc w:val="left"/>
        <w:tblInd w:w="0" w:type="dxa"/>
        <w:tblLayout w:type="fixed"/>
        <w:tblCellMar>
          <w:top w:w="28" w:type="dxa"/>
          <w:left w:w="28" w:type="dxa"/>
          <w:bottom w:w="28" w:type="dxa"/>
          <w:right w:w="28" w:type="dxa"/>
        </w:tblCellMar>
      </w:tblPr>
      <w:tblGrid>
        <w:gridCol w:w="2431"/>
        <w:gridCol w:w="170"/>
        <w:gridCol w:w="1090"/>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2024 Series A Warrants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2024 Series B Warrants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2026 Warrants</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1,815,784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1,941,456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One share of common stock is issuable for each warrant upon exercise.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13. Stock-Based Compensation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March 31, 2026, there were 95,640 shares of common stock remaining and available for future issuances under the 2015 Plan.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provides for the issuance of up to 852,133 shares of common stock, plus the number of shares available for issuance is increased to the extent that awards granted under the 2020 Plan and the Company’s 2014 Equity Incentive Plan are forfeited or expired (except as otherwise provided in the 2020 Plan). As of March 31, 2026, there were 522 shares remaining and available for future issuances under the 2020 Plan.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Generally, options issued under the 2020 Plan are subject to a two-year or four-year vesting schedule with 25% of the options vesting on the one year anniversary of the grant date followed by equal monthly installment vesting, and have a contractual term of 10 years.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summary of stock option activity for the three months ended March 31, 2026 is as follows:</w:t>
      </w:r>
    </w:p>
    <w:tbl>
      <w:tblPr>
        <w:tblW w:w="10086" w:type="dxa"/>
        <w:jc w:val="left"/>
        <w:tblInd w:w="0" w:type="dxa"/>
        <w:tblLayout w:type="fixed"/>
        <w:tblCellMar>
          <w:top w:w="28" w:type="dxa"/>
          <w:left w:w="28" w:type="dxa"/>
          <w:bottom w:w="28" w:type="dxa"/>
          <w:right w:w="28" w:type="dxa"/>
        </w:tblCellMar>
      </w:tblPr>
      <w:tblGrid>
        <w:gridCol w:w="3916"/>
        <w:gridCol w:w="146"/>
        <w:gridCol w:w="146"/>
        <w:gridCol w:w="781"/>
        <w:gridCol w:w="166"/>
        <w:gridCol w:w="146"/>
        <w:gridCol w:w="314"/>
        <w:gridCol w:w="856"/>
        <w:gridCol w:w="146"/>
        <w:gridCol w:w="146"/>
        <w:gridCol w:w="250"/>
        <w:gridCol w:w="800"/>
        <w:gridCol w:w="146"/>
        <w:gridCol w:w="146"/>
        <w:gridCol w:w="600"/>
        <w:gridCol w:w="990"/>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 xml:space="preserve">Intrinsic </w:t>
              <w:br/>
              <w:t>Value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2026, the total compensation cost related to non-vested stock options not yet recognized for all the Company’s plans is approximately $5.2 million, which is expected to be recognized as a result of vesting under service conditions over a weighted average period of 3.17 years. </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Generally, restricted stock units represent the right to receive a certain number of shares of common stock subject to certain vesting conditions and other restrictions. The fair value of restricted stock units is determined by the closing market price on the grant date.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summary of restricted stock unit activity for the three months ended March 31, 2026 is as follows:</w:t>
      </w:r>
    </w:p>
    <w:tbl>
      <w:tblPr>
        <w:tblW w:w="6517" w:type="dxa"/>
        <w:jc w:val="left"/>
        <w:tblInd w:w="0" w:type="dxa"/>
        <w:tblLayout w:type="fixed"/>
        <w:tblCellMar>
          <w:top w:w="28" w:type="dxa"/>
          <w:left w:w="28" w:type="dxa"/>
          <w:bottom w:w="28" w:type="dxa"/>
          <w:right w:w="28" w:type="dxa"/>
        </w:tblCellMar>
      </w:tblPr>
      <w:tblGrid>
        <w:gridCol w:w="2926"/>
        <w:gridCol w:w="146"/>
        <w:gridCol w:w="146"/>
        <w:gridCol w:w="781"/>
        <w:gridCol w:w="166"/>
        <w:gridCol w:w="146"/>
        <w:gridCol w:w="488"/>
        <w:gridCol w:w="1327"/>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Restricted stock units granted during the three months ended March 31, 2026 generally vest over a 36-month period upon satisfaction of service conditions. As of March 31, 2026, the total compensation cost related to non-vested restricted stock units not yet recognized for all the Company’s plans is approximately $1.8 million, which is expected to be recognized as a result of vesting under service conditions over a weighted average period of 2.50 years. </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14. 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operates under one reportable business segment to advance the development, manufacturing and commercialization of complex and innovative treatments for patients battling cancer and other life-threatening diseases. The determination of a single reportable business segment is consistent with the consolidated financial information regularly provided to the Company’s CODM. All of the Company's long-term assets and operations are located in the United States, and the measure of segment assets is reported on the condensed consolidated balance sheets as total assets. The Company’s CODM is its Chief Executive Officer, who reviews financial information presented on a consolidated basis for purposes of making operating decisions, allocating resources, and evaluating financial performance, including comparing actual results to budgets and forecasts to assess variances, identify trends, and guide strategic planning.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significant expense categories included within the consolidated statements of operations, the below disaggregated amounts comprise significant research and development and general and administrative expenses. These expenses consist of (1) clinical, manufacturing and research contracts for research and development programs, (2) personnel-related expenses, including salaries, benefits and stock-based compensation, (3) professional fees, including third-party costs for goods and services such as lab supplies and contract research, and legal and other professional expenses, and (4) facility and other overhead expenses, including depreciation, occupancy, travel, insurance and other costs. Depreciation and amortization expense is consistent with those presented in the condensed consolidated statements of cash flows.</w:t>
      </w:r>
    </w:p>
    <w:p>
      <w:pPr>
        <w:pStyle w:val="TextBody"/>
        <w:bidi w:val="0"/>
        <w:jc w:val="left"/>
        <w:rPr/>
      </w:pPr>
      <w:r>
        <w:rPr/>
        <w:t> </w:t>
      </w:r>
    </w:p>
    <w:tbl>
      <w:tblPr>
        <w:tblW w:w="7295" w:type="dxa"/>
        <w:jc w:val="left"/>
        <w:tblInd w:w="0" w:type="dxa"/>
        <w:tblLayout w:type="fixed"/>
        <w:tblCellMar>
          <w:top w:w="28" w:type="dxa"/>
          <w:left w:w="28" w:type="dxa"/>
          <w:bottom w:w="28" w:type="dxa"/>
          <w:right w:w="28" w:type="dxa"/>
        </w:tblCellMar>
      </w:tblPr>
      <w:tblGrid>
        <w:gridCol w:w="3976"/>
        <w:gridCol w:w="146"/>
        <w:gridCol w:w="339"/>
        <w:gridCol w:w="918"/>
        <w:gridCol w:w="234"/>
        <w:gridCol w:w="234"/>
        <w:gridCol w:w="339"/>
        <w:gridCol w:w="918"/>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Clinical, development and licensing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and other 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and other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15. Subsequent Events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April 20, 2026, the Company received the Notification Letter from The Nasdaq Stock Market LLC notifying the Company that it had regained compliance with the minimum bid price requirement set forth in Nasdaq Listing Rule 5550(a)(2) for continued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listing on The Nasdaq Capital Market (“Nasdaq”). The Notification Letter was sent following the implementation of the Reverse Stock Split, which became effective on April 2, 2026.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May 12, 2026, the Company filed a Certificate of Correction (the “Certificate of Correction”) to a Certificate of Amendment to the Amended and Restated Certificate of Incorporation of the Company (the “Certificate of Amendment”) that was previously filed on April 1, 2026. The Certificate of Amendment erroneously stated the number of authorized shares of common stock, par value $0.001 per share, of the Company (“Common Stock”) as 200,000,000 (two hundred million).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corrected by the Certificate of Correction, the total number of authorized shares of Common Stock is two billion (2,000,000,000).</w:t>
      </w:r>
    </w:p>
    <w:p>
      <w:pPr>
        <w:pStyle w:val="TextBody"/>
        <w:bidi w:val="0"/>
        <w:jc w:val="left"/>
        <w:rPr/>
      </w:pPr>
      <w:r>
        <w:rPr/>
        <w:t> </w:t>
      </w:r>
    </w:p>
    <w:p>
      <w:pPr>
        <w:pStyle w:val="TextBody"/>
        <w:bidi w:val="0"/>
        <w:spacing w:before="120" w:after="12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40" w:after="283"/>
        <w:jc w:val="both"/>
        <w:rPr>
          <w:rFonts w:ascii="Times New Roman" w:hAnsi="Times New Roman"/>
          <w:b/>
          <w:color w:val="000000"/>
          <w:sz w:val="20"/>
        </w:rPr>
      </w:pPr>
      <w:bookmarkStart w:id="12" w:name="item_2_managements_discussion_analysis_f"/>
      <w:bookmarkEnd w:id="12"/>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should be read in conjunction with the unaudited financial information and the notes thereto included herein, as well as the “Management’s Discussion and Analysis of Financial Condition and Results of Operations” and our audited consolidated financial statements and notes thereto contained in our Annual Report on Form 10-K for the year ended December 31, 2025, as filed on March 12, 2026.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Quarterly Report, as well as under “Part I – Item 1A - Risk Factors” in our Annual Report on Form 10-K for the year ended December 31, 2025, in other subsequent filings with the Securities and Exchange Commission, and elsewhere in this Quarterly Report. These statements, like all statements in this Quarterly Report, speak only as of the date of this Quarterly Report (unless another date is indicated), and the Company undertakes no obligation to update or revise these statements in light of future developments.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includes the following sections: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Overview that discusses our operating results and some of the trends that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Operations that includes a more detailed discussion of our revenue and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Liquidity and Capital Resources that discusses key aspects of our consolidated statements of cash flows, changes in our financial position and our financial commitments.</w:t>
      </w:r>
    </w:p>
    <w:p>
      <w:pPr>
        <w:pStyle w:val="TextBody"/>
        <w:bidi w:val="0"/>
        <w:spacing w:before="12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Plus Therapeutics is a U.S. healthcare company developing and commercializing precision diagnostics and targeted radiopharmaceuticals for central nervous system (“CNS”) cancers. CNSide Diagnostics, LLC (“CNSide Diagnostics”) is our wholly owned subsidiary that develops and commercializes proprietary laboratory-developed tests, such as CNSide®, designed to identify tumor cells that have metastasized to the central nervous system in patients with carcinomas and melanomas. In radiopharmaceuticals, our lead candidate, rhenium (</w:t>
      </w:r>
      <w:r>
        <w:rPr>
          <w:rFonts w:ascii="Times New Roman" w:hAnsi="Times New Roman"/>
          <w:color w:val="000000"/>
          <w:sz w:val="9"/>
        </w:rPr>
        <w:t>186</w:t>
      </w:r>
      <w:r>
        <w:rPr>
          <w:rFonts w:ascii="Times New Roman" w:hAnsi="Times New Roman"/>
          <w:color w:val="000000"/>
          <w:sz w:val="20"/>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hAnsi="Times New Roman"/>
          <w:color w:val="000000"/>
          <w:sz w:val="9"/>
        </w:rPr>
        <w:t>188</w:t>
      </w:r>
      <w:r>
        <w:rPr>
          <w:rFonts w:ascii="Times New Roman" w:hAnsi="Times New Roman"/>
          <w:color w:val="000000"/>
          <w:sz w:val="20"/>
        </w:rPr>
        <w:t xml:space="preserve">RNL-BAM”) is designed to treat many solid organ cancers including primary and secondary liver cancers by intra-arterial injection.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novel radioactive drug formulations, medical devices and therapeutic candidates have the potential to overcome these disadvantages as they are designed to deliver safe and effective doses of radiation at the tumors—potentially in a single treatment.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neurosurgery, nuclear medicine, interventional radiology, neuro-oncology, and radiation oncology, affords us the opportunity to target a broad variety of cancer types.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CNSide Cerebrospinal Fluid Assay is currently being utilized in the ReSPECT-LM clinical trial funded by the Cancer Prevention and Research Institute of Texas (“CPRIT”). In connection with our business plan for developing the CNSide Platform, we formed CNSide Diagnostics and our board of directors appointed a board of managers for CNSide Diagnostics. We re-introduced the CNSide Cerebrospinal Fluid Tumor Cell Enumeration test (the “CNSide Test”), which is a laboratory developed test (“LDT”) in August 2025. The laboratory for the CNSide Test in Houston, Texas has received a certificate of accreditation from the Centers for Medicare &amp; Medicaid Services (CMS) which deems the lab compliant with Clinical Laboratory Improvement Amendments (“CLIA”) regulations. Furthermore, CNSide Diagnostics has signed national agreements to provide the CNSide Test with four payers, including United Healthcare, Humana, Highmark, and Blue Shield of California, expanding patient access nationwide.</w:t>
      </w:r>
    </w:p>
    <w:p>
      <w:pPr>
        <w:pStyle w:val="TextBody"/>
        <w:bidi w:val="0"/>
        <w:jc w:val="both"/>
        <w:rPr>
          <w:rFonts w:ascii="Times New Roman" w:hAnsi="Times New Roman"/>
          <w:color w:val="000000"/>
          <w:sz w:val="20"/>
        </w:rPr>
      </w:pPr>
      <w:r>
        <w:rPr>
          <w:rFonts w:ascii="Times New Roman" w:hAnsi="Times New Roman"/>
          <w:color w:val="000000"/>
          <w:sz w:val="20"/>
        </w:rPr>
        <w:t xml:space="preserve">Our headquarters is located in Houston, Texas, in proximity to world-class cancer institutions and researchers.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Pipeline</w:t>
      </w:r>
    </w:p>
    <w:p>
      <w:pPr>
        <w:pStyle w:val="TextBody"/>
        <w:bidi w:val="0"/>
        <w:spacing w:before="120" w:after="120"/>
        <w:jc w:val="both"/>
        <w:rPr>
          <w:rFonts w:ascii="Times New Roman" w:hAnsi="Times New Roman"/>
          <w:sz w:val="20"/>
        </w:rPr>
      </w:pPr>
      <w:r>
        <w:rPr>
          <w:rFonts w:ascii="Times New Roman" w:hAnsi="Times New Roman"/>
          <w:color w:val="000000"/>
          <w:sz w:val="20"/>
        </w:rPr>
        <w:t>Our most advanced investigational drug, rhenium (</w:t>
      </w:r>
      <w:r>
        <w:rPr>
          <w:rFonts w:ascii="Times New Roman" w:hAnsi="Times New Roman"/>
          <w:color w:val="000000"/>
          <w:sz w:val="9"/>
        </w:rPr>
        <w:t>186</w:t>
      </w:r>
      <w:r>
        <w:rPr>
          <w:rFonts w:ascii="Times New Roman" w:hAnsi="Times New Roman"/>
          <w:color w:val="000000"/>
          <w:sz w:val="20"/>
        </w:rPr>
        <w:t>Re) obisbemeda, is a patented radiotherapy potentially useful for patients with CNS and other cancers. Preclinical study data describing the use of rhenium (</w:t>
      </w:r>
      <w:r>
        <w:rPr>
          <w:rFonts w:ascii="Times New Roman" w:hAnsi="Times New Roman"/>
          <w:color w:val="000000"/>
          <w:sz w:val="9"/>
        </w:rPr>
        <w:t>186</w:t>
      </w:r>
      <w:r>
        <w:rPr>
          <w:rFonts w:ascii="Times New Roman" w:hAnsi="Times New Roman"/>
          <w:color w:val="000000"/>
          <w:sz w:val="20"/>
        </w:rPr>
        <w:t>Re) obisbemeda for several cancer targets have been published in peer-reviewed journals and reported at a variety of medical society peer-reviewed meetings. Besides GBM, LM and PBC, rhenium (</w:t>
      </w:r>
      <w:r>
        <w:rPr>
          <w:rFonts w:ascii="Times New Roman" w:hAnsi="Times New Roman"/>
          <w:color w:val="000000"/>
          <w:sz w:val="9"/>
        </w:rPr>
        <w:t>186</w:t>
      </w:r>
      <w:r>
        <w:rPr>
          <w:rFonts w:ascii="Times New Roman" w:hAnsi="Times New Roman"/>
          <w:color w:val="000000"/>
          <w:sz w:val="20"/>
        </w:rPr>
        <w:t>Re) obisbemeda has been reported to have potential applications for head and neck cancer, ovarian cancer, breast cancer and peritoneal metastases.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sz w:val="20"/>
        </w:rPr>
      </w:pPr>
      <w:r>
        <w:rPr>
          <w:rFonts w:ascii="Times New Roman" w:hAnsi="Times New Roman"/>
          <w:color w:val="000000"/>
          <w:sz w:val="20"/>
        </w:rPr>
        <w:t>The rhenium (</w:t>
      </w:r>
      <w:r>
        <w:rPr>
          <w:rFonts w:ascii="Times New Roman" w:hAnsi="Times New Roman"/>
          <w:color w:val="000000"/>
          <w:sz w:val="9"/>
        </w:rPr>
        <w:t>186</w:t>
      </w:r>
      <w:r>
        <w:rPr>
          <w:rFonts w:ascii="Times New Roman" w:hAnsi="Times New Roman"/>
          <w:color w:val="000000"/>
          <w:sz w:val="20"/>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hAnsi="Times New Roman"/>
          <w:color w:val="000000"/>
          <w:sz w:val="9"/>
        </w:rPr>
        <w:t>186</w:t>
      </w:r>
      <w:r>
        <w:rPr>
          <w:rFonts w:ascii="Times New Roman" w:hAnsi="Times New Roman"/>
          <w:color w:val="000000"/>
          <w:sz w:val="20"/>
        </w:rPr>
        <w:t xml:space="preserve">Re) obisbemeda for recurrent GBM through the completion of a Phase 2 clinical trial, including enrollment of up to 55 patients. </w:t>
      </w:r>
    </w:p>
    <w:p>
      <w:pPr>
        <w:pStyle w:val="TextBody"/>
        <w:bidi w:val="0"/>
        <w:jc w:val="both"/>
        <w:rPr>
          <w:rFonts w:ascii="Times New Roman" w:hAnsi="Times New Roman"/>
          <w:sz w:val="20"/>
        </w:rPr>
      </w:pPr>
      <w:r>
        <w:rPr>
          <w:rFonts w:ascii="Times New Roman" w:hAnsi="Times New Roman"/>
          <w:i/>
          <w:color w:val="000000"/>
          <w:sz w:val="20"/>
        </w:rPr>
        <w:t>Rhenium (</w:t>
      </w:r>
      <w:r>
        <w:rPr>
          <w:rFonts w:ascii="Times New Roman" w:hAnsi="Times New Roman"/>
          <w:i/>
          <w:color w:val="000000"/>
          <w:sz w:val="9"/>
        </w:rPr>
        <w:t>186</w:t>
      </w:r>
      <w:r>
        <w:rPr>
          <w:rFonts w:ascii="Times New Roman" w:hAnsi="Times New Roman"/>
          <w:i/>
          <w:color w:val="000000"/>
          <w:sz w:val="20"/>
        </w:rPr>
        <w:t>Re) obisbemeda versus External Beam Radiation Therapy for Recurrent GBM</w:t>
      </w:r>
    </w:p>
    <w:p>
      <w:pPr>
        <w:pStyle w:val="TextBody"/>
        <w:bidi w:val="0"/>
        <w:spacing w:before="120" w:after="120"/>
        <w:jc w:val="both"/>
        <w:rPr>
          <w:rFonts w:ascii="Times New Roman" w:hAnsi="Times New Roman"/>
          <w:sz w:val="20"/>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Re) obisbemeda is a novel injectable radiotherapy designed to deliver targeted, high dose radiation directly into GBM tumors in a safe, effective, and convenient manner that may ultimately prolong patient survival. Rhenium (</w:t>
      </w:r>
      <w:r>
        <w:rPr>
          <w:rFonts w:ascii="Times New Roman" w:hAnsi="Times New Roman"/>
          <w:color w:val="000000"/>
          <w:sz w:val="9"/>
        </w:rPr>
        <w:t>186</w:t>
      </w:r>
      <w:r>
        <w:rPr>
          <w:rFonts w:ascii="Times New Roman" w:hAnsi="Times New Roman"/>
          <w:color w:val="000000"/>
          <w:sz w:val="20"/>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hAnsi="Times New Roman"/>
          <w:color w:val="000000"/>
          <w:sz w:val="9"/>
        </w:rPr>
        <w:t>186</w:t>
      </w:r>
      <w:r>
        <w:rPr>
          <w:rFonts w:ascii="Times New Roman" w:hAnsi="Times New Roman"/>
          <w:color w:val="000000"/>
          <w:sz w:val="20"/>
        </w:rPr>
        <w:t>Re) obisbemeda compared to standard external beam radiotherapy or external beam radiation therapy (“EBRT”) include: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The rhenium (</w:t>
      </w:r>
      <w:r>
        <w:rPr>
          <w:rFonts w:ascii="Times New Roman" w:hAnsi="Times New Roman"/>
          <w:color w:val="000000"/>
          <w:sz w:val="9"/>
        </w:rPr>
        <w:t>186</w:t>
      </w:r>
      <w:r>
        <w:rPr>
          <w:rFonts w:ascii="Times New Roman" w:hAnsi="Times New Roman"/>
          <w:color w:val="000000"/>
          <w:sz w:val="20"/>
        </w:rPr>
        <w:t>Re) obisbemeda radiation dose delivered to patients may be up to 20 times greater than what is possible with commonly used EBRT, which, unlike EBRT and proton beam devices, spares normal tissue and the brain from radiation exposure.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Re) obisbemeda can be visualized in real-time during administration, possibly giving clinicians better control of radiation dosing, distribution and retention.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 xml:space="preserve">Re) obisbemeda potentially more effectively treats a bulk tumor and microscopic disease that has already invaded healthy tissue.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 xml:space="preserve">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 xml:space="preserve">Re) obisbemeda is given during a single, short, in-patient hospital visit, and is available in all hospitals with nuclear medicine and neurosurgery, while EBRT requires out-patient visits five days a week for approximately four to six weeks. </w:t>
        <w:br/>
      </w:r>
      <w:r>
        <w:rPr>
          <w:color w:val="000000"/>
        </w:rPr>
        <w:t>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ReSPECT-GBM Trial for Recurrent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 </w:t>
      </w:r>
    </w:p>
    <w:p>
      <w:pPr>
        <w:pStyle w:val="TextBody"/>
        <w:bidi w:val="0"/>
        <w:spacing w:before="0" w:after="120"/>
        <w:jc w:val="both"/>
        <w:rPr>
          <w:rFonts w:ascii="Times New Roman" w:hAnsi="Times New Roman"/>
          <w:sz w:val="20"/>
        </w:rPr>
      </w:pPr>
      <w:r>
        <w:rPr>
          <w:rFonts w:ascii="Times New Roman" w:hAnsi="Times New Roman"/>
          <w:color w:val="000000"/>
          <w:sz w:val="20"/>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Times New Roman" w:hAnsi="Times New Roman"/>
          <w:color w:val="000000"/>
          <w:sz w:val="9"/>
        </w:rPr>
        <w:t>186</w:t>
      </w:r>
      <w:r>
        <w:rPr>
          <w:rFonts w:ascii="Times New Roman" w:hAnsi="Times New Roman"/>
          <w:color w:val="000000"/>
          <w:sz w:val="20"/>
        </w:rPr>
        <w:t>Re) obisbemeda is designed for and provides patient tolerability and safety. Though no rhenium (</w:t>
      </w:r>
      <w:r>
        <w:rPr>
          <w:rFonts w:ascii="Times New Roman" w:hAnsi="Times New Roman"/>
          <w:color w:val="000000"/>
          <w:sz w:val="9"/>
        </w:rPr>
        <w:t>186</w:t>
      </w:r>
      <w:r>
        <w:rPr>
          <w:rFonts w:ascii="Times New Roman" w:hAnsi="Times New Roman"/>
          <w:color w:val="000000"/>
          <w:sz w:val="20"/>
        </w:rPr>
        <w:t>Re) obisbemeda head-to-head trial with chemo, immune, EBRT or systemic radiopharmaceutical products have been conducted, patient tolerability and safety considerations have been reported as expected.</w:t>
      </w:r>
    </w:p>
    <w:p>
      <w:pPr>
        <w:pStyle w:val="TextBody"/>
        <w:bidi w:val="0"/>
        <w:spacing w:before="0" w:after="120"/>
        <w:jc w:val="both"/>
        <w:rPr>
          <w:rFonts w:ascii="Times New Roman" w:hAnsi="Times New Roman"/>
          <w:sz w:val="20"/>
        </w:rPr>
      </w:pPr>
      <w:r>
        <w:rPr>
          <w:rFonts w:ascii="Times New Roman" w:hAnsi="Times New Roman"/>
          <w:color w:val="000000"/>
          <w:sz w:val="20"/>
        </w:rPr>
        <w:t>In September 2020, the FDA granted both orphan drug designation and Fast Track designations to rhenium (</w:t>
      </w:r>
      <w:r>
        <w:rPr>
          <w:rFonts w:ascii="Times New Roman" w:hAnsi="Times New Roman"/>
          <w:color w:val="000000"/>
          <w:sz w:val="9"/>
        </w:rPr>
        <w:t>186</w:t>
      </w:r>
      <w:r>
        <w:rPr>
          <w:rFonts w:ascii="Times New Roman" w:hAnsi="Times New Roman"/>
          <w:color w:val="000000"/>
          <w:sz w:val="20"/>
        </w:rPr>
        <w:t xml:space="preserve">Re) obisbemeda for the treatment of patients with GBM. </w:t>
      </w:r>
    </w:p>
    <w:p>
      <w:pPr>
        <w:pStyle w:val="TextBody"/>
        <w:bidi w:val="0"/>
        <w:spacing w:before="0" w:after="120"/>
        <w:jc w:val="both"/>
        <w:rPr>
          <w:rFonts w:ascii="Times New Roman" w:hAnsi="Times New Roman"/>
          <w:sz w:val="20"/>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Re) obisbemeda is under clinical investigation in a Phase 1/2 multicenter, sequential cohort, open-label, volume and dose escalation study (“ReSPECT-GBM”) of the safety, tolerability, and distribution of rhenium (</w:t>
      </w:r>
      <w:r>
        <w:rPr>
          <w:rFonts w:ascii="Times New Roman" w:hAnsi="Times New Roman"/>
          <w:color w:val="000000"/>
          <w:sz w:val="9"/>
        </w:rPr>
        <w:t>186</w:t>
      </w:r>
      <w:r>
        <w:rPr>
          <w:rFonts w:ascii="Times New Roman" w:hAnsi="Times New Roman"/>
          <w:color w:val="000000"/>
          <w:sz w:val="20"/>
        </w:rPr>
        <w:t xml:space="preserve">Re) obisbemeda given by CED catheters to patients with recurrent or progressive malignant glioma after standard surgical, radiation, and/or chemotherapy treatment. The trial is funded through Phase 2 in large part by a National Institute of Health/National Cancer Institute grant.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completed Phase 1 of our ReSPECT-GBM Trial and are targeting full enrollment into Phase 2 by the end of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ReSPECT-LM Clinical Trials for LM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 </w:t>
      </w:r>
    </w:p>
    <w:p>
      <w:pPr>
        <w:pStyle w:val="TextBody"/>
        <w:bidi w:val="0"/>
        <w:spacing w:before="0" w:after="120"/>
        <w:jc w:val="both"/>
        <w:rPr>
          <w:rFonts w:ascii="Times New Roman" w:hAnsi="Times New Roman"/>
          <w:sz w:val="20"/>
        </w:rPr>
      </w:pPr>
      <w:r>
        <w:rPr>
          <w:rFonts w:ascii="Times New Roman" w:hAnsi="Times New Roman"/>
          <w:color w:val="000000"/>
          <w:sz w:val="20"/>
        </w:rPr>
        <w:t>The ReSPECT-LM Phase 1 clinical trial (ClinicalTrials.gov NCT05034497) was preceded with preclinical studies in which tolerance to doses of rhenium (</w:t>
      </w:r>
      <w:r>
        <w:rPr>
          <w:rFonts w:ascii="Times New Roman" w:hAnsi="Times New Roman"/>
          <w:color w:val="000000"/>
          <w:sz w:val="9"/>
        </w:rPr>
        <w:t>186</w:t>
      </w:r>
      <w:r>
        <w:rPr>
          <w:rFonts w:ascii="Times New Roman" w:hAnsi="Times New Roman"/>
          <w:color w:val="000000"/>
          <w:sz w:val="20"/>
        </w:rPr>
        <w:t>Re) obisbemeda as high as 1,075 Gy were shown in animal models with LM without significant observed toxicity. Furthermore, treatment led to a marked reduction in tumor burden in both C6 and MDA-231 LM models.</w:t>
      </w:r>
    </w:p>
    <w:p>
      <w:pPr>
        <w:pStyle w:val="TextBody"/>
        <w:bidi w:val="0"/>
        <w:spacing w:before="0" w:after="120"/>
        <w:jc w:val="both"/>
        <w:rPr>
          <w:rFonts w:ascii="Times New Roman" w:hAnsi="Times New Roman"/>
          <w:sz w:val="20"/>
        </w:rPr>
      </w:pPr>
      <w:r>
        <w:rPr>
          <w:rFonts w:ascii="Times New Roman" w:hAnsi="Times New Roman"/>
          <w:color w:val="000000"/>
          <w:sz w:val="20"/>
        </w:rPr>
        <w:t>Upon receiving acceptance of our Investigational New Drug application and Fast Track designation by the FDA for rhenium (</w:t>
      </w:r>
      <w:r>
        <w:rPr>
          <w:rFonts w:ascii="Times New Roman" w:hAnsi="Times New Roman"/>
          <w:color w:val="000000"/>
          <w:sz w:val="9"/>
        </w:rPr>
        <w:t>186</w:t>
      </w:r>
      <w:r>
        <w:rPr>
          <w:rFonts w:ascii="Times New Roman" w:hAnsi="Times New Roman"/>
          <w:color w:val="000000"/>
          <w:sz w:val="20"/>
        </w:rPr>
        <w:t>Re) obisbemeda for the treatment of LM in November 2021, we initiated the trial and began screening patients for the ReSPECT-LM Phase 1 clinical trial in the fourth quarter of 2021.</w:t>
      </w:r>
    </w:p>
    <w:p>
      <w:pPr>
        <w:pStyle w:val="TextBody"/>
        <w:bidi w:val="0"/>
        <w:spacing w:before="0" w:after="120"/>
        <w:jc w:val="both"/>
        <w:rPr>
          <w:rFonts w:ascii="Times New Roman" w:hAnsi="Times New Roman"/>
          <w:sz w:val="20"/>
        </w:rPr>
      </w:pPr>
      <w:r>
        <w:rPr>
          <w:rFonts w:ascii="Times New Roman" w:hAnsi="Times New Roman"/>
          <w:color w:val="000000"/>
          <w:sz w:val="20"/>
        </w:rPr>
        <w:t>ReSPECT-LM is a multi-center, sequential cohort, open-label, dose escalation study evaluating the safety, tolerability, and efficacy of a single-dose application of rhenium (</w:t>
      </w:r>
      <w:r>
        <w:rPr>
          <w:rFonts w:ascii="Times New Roman" w:hAnsi="Times New Roman"/>
          <w:color w:val="000000"/>
          <w:sz w:val="9"/>
        </w:rPr>
        <w:t>186</w:t>
      </w:r>
      <w:r>
        <w:rPr>
          <w:rFonts w:ascii="Times New Roman" w:hAnsi="Times New Roman"/>
          <w:color w:val="000000"/>
          <w:sz w:val="20"/>
        </w:rPr>
        <w:t>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pStyle w:val="TextBody"/>
        <w:bidi w:val="0"/>
        <w:spacing w:before="0" w:after="120"/>
        <w:jc w:val="both"/>
        <w:rPr>
          <w:rFonts w:ascii="Times New Roman" w:hAnsi="Times New Roman"/>
          <w:sz w:val="20"/>
        </w:rPr>
      </w:pPr>
      <w:r>
        <w:rPr>
          <w:rFonts w:ascii="Times New Roman" w:hAnsi="Times New Roman"/>
          <w:color w:val="000000"/>
          <w:sz w:val="20"/>
        </w:rPr>
        <w:t>On September 19, 2022, we entered into a Cancer Research Grant Contract (the “CPRIT Contract”), effective as of August 31, 2022, with CPRIT, pursuant to which CPRIT provides us a grant of up to $17.6 million (the “CPRIT Grant”) over a three-year period to fund the continued development of rhenium (</w:t>
      </w:r>
      <w:r>
        <w:rPr>
          <w:rFonts w:ascii="Times New Roman" w:hAnsi="Times New Roman"/>
          <w:color w:val="000000"/>
          <w:sz w:val="9"/>
        </w:rPr>
        <w:t>186</w:t>
      </w:r>
      <w:r>
        <w:rPr>
          <w:rFonts w:ascii="Times New Roman" w:hAnsi="Times New Roman"/>
          <w:color w:val="000000"/>
          <w:sz w:val="20"/>
        </w:rPr>
        <w:t>Re) obisbemeda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hAnsi="Times New Roman"/>
          <w:color w:val="000000"/>
          <w:sz w:val="9"/>
        </w:rPr>
        <w:t>186</w:t>
      </w:r>
      <w:r>
        <w:rPr>
          <w:rFonts w:ascii="Times New Roman" w:hAnsi="Times New Roman"/>
          <w:color w:val="000000"/>
          <w:sz w:val="20"/>
        </w:rPr>
        <w:t xml:space="preserve">Re) obisbemeda based on specific dollar thresholds until CPRIT receives the aggregate amount of 400% of the proceeds awarded under the CPRIT Grant, and certain reporting requirements. As of March 31, 2026, we had received approximately $15.9 million in milestone payments under the CPRIT Contract. </w:t>
      </w:r>
    </w:p>
    <w:p>
      <w:pPr>
        <w:pStyle w:val="TextBody"/>
        <w:bidi w:val="0"/>
        <w:spacing w:before="0" w:after="120"/>
        <w:jc w:val="both"/>
        <w:rPr>
          <w:rFonts w:ascii="Times New Roman" w:hAnsi="Times New Roman"/>
          <w:sz w:val="20"/>
        </w:rPr>
      </w:pPr>
      <w:r>
        <w:rPr>
          <w:rFonts w:ascii="Times New Roman" w:hAnsi="Times New Roman"/>
          <w:color w:val="000000"/>
          <w:sz w:val="20"/>
        </w:rPr>
        <w:t>Interim results showed that a single treatment with rhenium (</w:t>
      </w:r>
      <w:r>
        <w:rPr>
          <w:rFonts w:ascii="Times New Roman" w:hAnsi="Times New Roman"/>
          <w:color w:val="000000"/>
          <w:sz w:val="9"/>
        </w:rPr>
        <w:t>186</w:t>
      </w:r>
      <w:r>
        <w:rPr>
          <w:rFonts w:ascii="Times New Roman" w:hAnsi="Times New Roman"/>
          <w:color w:val="000000"/>
          <w:sz w:val="20"/>
        </w:rPr>
        <w:t>Re) obisbemeda resulted in a consistent decreased cerebrospinal fluid (“CSF”) tumor cell count/ml and was tolerated by all LM patients. Rhenium (</w:t>
      </w:r>
      <w:r>
        <w:rPr>
          <w:rFonts w:ascii="Times New Roman" w:hAnsi="Times New Roman"/>
          <w:color w:val="000000"/>
          <w:sz w:val="9"/>
        </w:rPr>
        <w:t>186</w:t>
      </w:r>
      <w:r>
        <w:rPr>
          <w:rFonts w:ascii="Times New Roman" w:hAnsi="Times New Roman"/>
          <w:color w:val="000000"/>
          <w:sz w:val="20"/>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Times New Roman" w:hAnsi="Times New Roman"/>
          <w:color w:val="000000"/>
          <w:sz w:val="9"/>
        </w:rPr>
        <w:t>186</w:t>
      </w:r>
      <w:r>
        <w:rPr>
          <w:rFonts w:ascii="Times New Roman" w:hAnsi="Times New Roman"/>
          <w:color w:val="000000"/>
          <w:sz w:val="20"/>
        </w:rPr>
        <w:t>Re) obisbemeda distribution throughout the subarachnoid space.</w:t>
      </w:r>
    </w:p>
    <w:p>
      <w:pPr>
        <w:pStyle w:val="TextBody"/>
        <w:bidi w:val="0"/>
        <w:spacing w:before="0" w:after="120"/>
        <w:jc w:val="both"/>
        <w:rPr>
          <w:rFonts w:ascii="Times New Roman" w:hAnsi="Times New Roman"/>
          <w:sz w:val="20"/>
        </w:rPr>
      </w:pPr>
      <w:r>
        <w:rPr>
          <w:rFonts w:ascii="Times New Roman" w:hAnsi="Times New Roman"/>
          <w:color w:val="000000"/>
          <w:sz w:val="20"/>
        </w:rPr>
        <w:t>In November 2023, the FDA granted orphan drug designation to rhenium (</w:t>
      </w:r>
      <w:r>
        <w:rPr>
          <w:rFonts w:ascii="Times New Roman" w:hAnsi="Times New Roman"/>
          <w:color w:val="000000"/>
          <w:sz w:val="9"/>
        </w:rPr>
        <w:t>186</w:t>
      </w:r>
      <w:r>
        <w:rPr>
          <w:rFonts w:ascii="Times New Roman" w:hAnsi="Times New Roman"/>
          <w:color w:val="000000"/>
          <w:sz w:val="20"/>
        </w:rPr>
        <w:t>Re) obisbemeda for the treatment of patients with breast cancer with LM.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December 12, 2023, we announced our partnership with K2bio to implement the CNSide Test.</w:t>
      </w:r>
    </w:p>
    <w:p>
      <w:pPr>
        <w:pStyle w:val="TextBody"/>
        <w:bidi w:val="0"/>
        <w:jc w:val="left"/>
        <w:rPr>
          <w:rFonts w:ascii="Times New Roman" w:hAnsi="Times New Roman"/>
          <w:color w:val="000000"/>
          <w:sz w:val="20"/>
        </w:rPr>
      </w:pPr>
      <w:r>
        <w:rPr>
          <w:rFonts w:ascii="Times New Roman" w:hAnsi="Times New Roman"/>
          <w:color w:val="000000"/>
          <w:sz w:val="20"/>
        </w:rPr>
        <w:t>On February 26, 2025, we announced the completion of the ReSPECT-LM Phase 1 single-dose escalation trial, having determined a recommended Phase 2 dose. Enrollment in Cohort 6 was completed (75.0 mCi). The Cohort 4 dose (44.1 mCi) was determined to be the recommended Phase 2 dose with no dose-limiting toxicities observed at that dose level. One patient at the Cohort 4 dose was observed to have achieved a complete response, as evidenced by the eradication of tumor cells in the cerebrospinal fluid—a key therapeutic endpoint.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March 2025, the FDA granted orphan drug designation to rhenium (</w:t>
      </w:r>
      <w:r>
        <w:rPr>
          <w:rFonts w:ascii="Times New Roman" w:hAnsi="Times New Roman"/>
          <w:color w:val="000000"/>
          <w:sz w:val="9"/>
        </w:rPr>
        <w:t>186</w:t>
      </w:r>
      <w:r>
        <w:rPr>
          <w:rFonts w:ascii="Times New Roman" w:hAnsi="Times New Roman"/>
          <w:color w:val="000000"/>
          <w:sz w:val="20"/>
        </w:rPr>
        <w:t>Re) obisbemeda for the treatment of LM in patients with lung cancer.</w:t>
      </w:r>
    </w:p>
    <w:p>
      <w:pPr>
        <w:pStyle w:val="TextBody"/>
        <w:bidi w:val="0"/>
        <w:jc w:val="left"/>
        <w:rPr/>
      </w:pPr>
      <w:r>
        <w:rPr/>
        <w: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November 2025, we had our end of phase 1 meeting with the FDA. During this meeting, FDA conveyed that while accelerated approval may be appropriate for this indication, there are insufficient data to support the use of CTCs as an intermediate clinical endpoint, and there was discussion that additional steps would be necessary to validate CTCs as a surrogate endpoint to potentially support other future applications. The FDA recommended that the study evaluate an endpoint with established clinical benefit, such as overall survival, while encouraging further study of reported outcomes and neurologic function as endpoints that could potentially support a marketing application. We were aligned that CTCs could be considered for use as a secondary endpoint. We discussed with the FDA a randomized controlled trial design approach and that the study may include an itrathecal chemotherapeutic as a comparator, as well as approaches to standardize the comparator and any additional interventions available under the trial protocol. The FDA conveyed it may be reasonable to incorporate multiple histologies (i.e., multiple underlying disease etiologies) in a single trial. We plan to consider the Agency’s feedback and propose an updated protocol for our next study for FDA’s feedback.</w:t>
      </w:r>
    </w:p>
    <w:p>
      <w:pPr>
        <w:pStyle w:val="TextBody"/>
        <w:bidi w:val="0"/>
        <w:jc w:val="left"/>
        <w:rPr>
          <w:rFonts w:ascii="Times New Roman" w:hAnsi="Times New Roman"/>
          <w:sz w:val="20"/>
        </w:rPr>
      </w:pPr>
      <w:r>
        <w:rPr>
          <w:rFonts w:ascii="Times New Roman" w:hAnsi="Times New Roman"/>
          <w:color w:val="000000"/>
          <w:sz w:val="20"/>
        </w:rPr>
        <w:t>In December 2025, we reported completion of the ReSPECT-LM single dose trial showed rhenium (</w:t>
      </w:r>
      <w:r>
        <w:rPr>
          <w:rFonts w:ascii="Times New Roman" w:hAnsi="Times New Roman"/>
          <w:color w:val="000000"/>
          <w:sz w:val="9"/>
        </w:rPr>
        <w:t>186</w:t>
      </w:r>
      <w:r>
        <w:rPr>
          <w:rFonts w:ascii="Times New Roman" w:hAnsi="Times New Roman"/>
          <w:color w:val="000000"/>
          <w:sz w:val="20"/>
        </w:rPr>
        <w:t xml:space="preserve">Re) obisbemeda was well-tolerated up to a maximum tolerated dose of 66mCi, with a recommended phase 2 dose of 44.1 mCi, and absorbed doses delivered of &gt;300 Gy observed. We also reported the ReSPECT-LM open label, multidose Phase 1/2 trial initiation to identify maximum tolerated dose across varying dosing intervals and to characterize efficacy of multiple doses at optimal dose selected by assessing response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using the CNSide Test. Enrollment in Cohort 1 has begun with delivery of 13.2 mCi at 3 intervals with one patient receiving all doses without dose limiting toxicity.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ReSPECT LM Multi-dose Phase 2 Study is currently enrolling patients. </w:t>
      </w:r>
    </w:p>
    <w:p>
      <w:pPr>
        <w:pStyle w:val="TextBody"/>
        <w:bidi w:val="0"/>
        <w:jc w:val="left"/>
        <w:rPr>
          <w:rFonts w:ascii="Times New Roman" w:hAnsi="Times New Roman"/>
          <w:i/>
          <w:color w:val="000000"/>
          <w:sz w:val="20"/>
        </w:rPr>
      </w:pPr>
      <w:r>
        <w:rPr>
          <w:rFonts w:ascii="Times New Roman" w:hAnsi="Times New Roman"/>
          <w:i/>
          <w:color w:val="000000"/>
          <w:sz w:val="20"/>
        </w:rPr>
        <w:t>ReSPECT-PBC Clinical Trial for Pediatric Brain Cancer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August 2021, we announced plans for treating pediatric brain cancer at the 2021 American Association of Neurological Surgeons Annual Scientific Meeting. In July 2021, we reported that we had received FDA feedback pertaining to a pre-Investigational New Drug Application (“IND”) meeting briefing package in which the FDA stated that we are not required to perform any additional preclinical or toxicology studies.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Pediatric high-grade gliomas can be found almost anywhere within the CNS; however, they are most commonly found within the supratentorium. While cases occur across the pediatric age spectrum and the overall median age at diagnosis is approximately nine years, the highest incidence of supratentorial high-grade gliomas is observed in older adolescents aged 15 to 19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Overall, pediatric HGG and ependymoma are extremely difficult-to-treat pediatric brain tumors, frequently aggressive, and in recurrent settings, carry an extremely poor prognosis.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September 1, 2024, we entered into an agreement with the Department of Defense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enrolling for our first patient for our Phase 1 ReSPECT-PBC clinical trial in 2026.</w:t>
      </w:r>
    </w:p>
    <w:p>
      <w:pPr>
        <w:pStyle w:val="TextBody"/>
        <w:bidi w:val="0"/>
        <w:jc w:val="left"/>
        <w:rPr>
          <w:rFonts w:ascii="Times New Roman" w:hAnsi="Times New Roman"/>
          <w:color w:val="000000"/>
          <w:sz w:val="20"/>
        </w:rPr>
      </w:pPr>
      <w:r>
        <w:rPr>
          <w:rFonts w:ascii="Times New Roman" w:hAnsi="Times New Roman"/>
          <w:color w:val="000000"/>
          <w:sz w:val="20"/>
        </w:rPr>
        <w:t>Key elements of the trial design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1a/b (dose escalation): This phase will enroll an estimated 24 patients using a modified 3+3 dose escalation scheme to establish the MTD and recommended Phase 2 dose (“RP2D”). Safety assessment and alignment with the FDA will occur at defined intervals.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2a: This phase will enroll approximately 32 patients (12 with ependymoma and 20 with HGG) at the RP2D to assess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beginning enrollment in our ReSPECT-PBC clinical trial, with our first patient enrolled, in 2026.</w:t>
      </w:r>
    </w:p>
    <w:p>
      <w:pPr>
        <w:pStyle w:val="TextBody"/>
        <w:bidi w:val="0"/>
        <w:spacing w:before="240" w:after="283"/>
        <w:jc w:val="left"/>
        <w:rPr>
          <w:rFonts w:ascii="Times New Roman" w:hAnsi="Times New Roman"/>
          <w:sz w:val="20"/>
        </w:rPr>
      </w:pPr>
      <w:r>
        <w:rPr>
          <w:rFonts w:ascii="Times New Roman" w:hAnsi="Times New Roman"/>
          <w:color w:val="000000"/>
          <w:sz w:val="20"/>
        </w:rPr>
        <w:t>On April 8, 2026, we announced that the FDA granted Orphan Drug Designation to rhenium (</w:t>
      </w:r>
      <w:r>
        <w:rPr>
          <w:rFonts w:ascii="Times New Roman" w:hAnsi="Times New Roman"/>
          <w:color w:val="000000"/>
          <w:sz w:val="9"/>
        </w:rPr>
        <w:t>186</w:t>
      </w:r>
      <w:r>
        <w:rPr>
          <w:rFonts w:ascii="Times New Roman" w:hAnsi="Times New Roman"/>
          <w:color w:val="000000"/>
          <w:sz w:val="20"/>
        </w:rPr>
        <w:t>Re) obisbemeda for the treatment of pediatric malignant gliomas.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Rhenium-188 NanoLiposome Biodegradable Alginate Microsphere Technology</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hAnsi="Times New Roman"/>
          <w:color w:val="000000"/>
          <w:sz w:val="7"/>
        </w:rPr>
        <w:t>188</w:t>
      </w:r>
      <w:r>
        <w:rPr>
          <w:rFonts w:ascii="Times New Roman" w:hAnsi="Times New Roman"/>
          <w:color w:val="000000"/>
          <w:sz w:val="20"/>
        </w:rPr>
        <w:t>RNL-BAM for the intra-arterial embolization and local delivery of a high dose of targeted radiation for a variety of solid organ cancers such as hepatocellular cancer, hepatic metastases, pancreatic cancer and many others.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w:t>
      </w:r>
      <w:r>
        <w:rPr>
          <w:rFonts w:ascii="Times New Roman" w:hAnsi="Times New Roman"/>
          <w:color w:val="000000"/>
          <w:sz w:val="9"/>
        </w:rPr>
        <w:t>188</w:t>
      </w:r>
      <w:r>
        <w:rPr>
          <w:rFonts w:ascii="Times New Roman" w:hAnsi="Times New Roman"/>
          <w:color w:val="000000"/>
          <w:sz w:val="20"/>
        </w:rPr>
        <w:t xml:space="preserve">RNL-BAM is a preclinical investigational device we intend to further develop and move into clinical trials. Specifically, in 2022 we transferred the </w:t>
      </w:r>
      <w:r>
        <w:rPr>
          <w:rFonts w:ascii="Times New Roman" w:hAnsi="Times New Roman"/>
          <w:color w:val="000000"/>
          <w:sz w:val="9"/>
        </w:rPr>
        <w:t>188</w:t>
      </w:r>
      <w:r>
        <w:rPr>
          <w:rFonts w:ascii="Times New Roman" w:hAnsi="Times New Roman"/>
          <w:color w:val="000000"/>
          <w:sz w:val="20"/>
        </w:rPr>
        <w:t>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FDA has informed us that </w:t>
      </w:r>
      <w:r>
        <w:rPr>
          <w:rFonts w:ascii="Times New Roman" w:hAnsi="Times New Roman"/>
          <w:color w:val="000000"/>
          <w:sz w:val="13"/>
        </w:rPr>
        <w:t>188</w:t>
      </w:r>
      <w:r>
        <w:rPr>
          <w:rFonts w:ascii="Times New Roman" w:hAnsi="Times New Roman"/>
          <w:color w:val="000000"/>
          <w:sz w:val="20"/>
        </w:rPr>
        <w:t>RNL-BAM will be regulated as a medical device under the FDCA.</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The CNSide CSF Assay Platform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CNSide CSF Assay Platform consists of four LDTs used for detection, quantification, and characterization of tumor cells in patients with LM. The CNSide Platform facilitates tumor cell detection/enumeration and biomarker identification using cellular assays (tumor cell enumeration (“TCE”), immunocytochemistry (“ICC”), and fluorescence in situ hybridization (“FISH”)) and molecular assays (next-generation sequencing (“NGS”)). The CNSide Test is currently being used in the ReSPECT-LM trial as an exploratory endpoint.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acquiring the CNSide Platform in 2024, we have established infrastructure to support a scalable and centralized testing laboratory in Houston, TX that services the U.S. market. We have been executing on our commercial market access strategy, which includes state licensure, receipt of proprietary reimbursement codes, commercial and government payor coverage, and value-based pricing to optimize revenue. We re-introduced the CNSide Platform first in Texas in August of 2025, signed a national agreement to provide the CNSide Test with UnitedHealthcare Insurance Company, Humana, Inc., Highmark and Blue Shield of California, and obtained state licensure for 49 of 50 US states, with the remaining license for the state of New York on track for 2027. In parallel, we expect to launch a portfolio of additional CSF tumor characterization tests that expand our CNSide testing platform later in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When the CNSide CSF Assay Platform was previously commercially available, market acceptance and adoption were widespread, with several national and regional commercial payor agreements in place and the test in regular use at major cancer centers across the U.S. Finally, we have hired experienced leadership with expertise in the development and commercialization of clinical diagnostic technologies on a large scale.</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During the three months ended March 31, 2026, we started commercial billing for our diagnostic CNSide business. Net diagnostic revenue was immaterial to be presented in the condensed consolidated statement of operations for the three months ended March 31, 2026 (refer to </w:t>
      </w:r>
      <w:r>
        <w:rPr>
          <w:rFonts w:ascii="Times New Roman" w:hAnsi="Times New Roman"/>
          <w:i/>
          <w:color w:val="000000"/>
          <w:sz w:val="20"/>
        </w:rPr>
        <w:t>Note 2 Summary of Significant Accounting Policies</w:t>
      </w:r>
      <w:r>
        <w:rPr>
          <w:rFonts w:ascii="Times New Roman" w:hAnsi="Times New Roman"/>
          <w:color w:val="000000"/>
          <w:sz w:val="20"/>
        </w:rPr>
        <w:t xml:space="preserve"> of the footnotes). In April 2026, management obtained approval of proprietary laboratory analyses codes from significant medical payors, and will continue to seek additional authorizations. We expect diagnostic revenue to increase during the remainder of 2026 and beyond. </w:t>
      </w:r>
    </w:p>
    <w:p>
      <w:pPr>
        <w:pStyle w:val="TextBody"/>
        <w:bidi w:val="0"/>
        <w:spacing w:before="0" w:after="120"/>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Recent Financings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Refer to the “Liquidity and Capital Resources” section below for information on our recent financings. </w:t>
      </w:r>
    </w:p>
    <w:p>
      <w:pPr>
        <w:pStyle w:val="TextBody"/>
        <w:bidi w:val="0"/>
        <w:spacing w:before="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CPRIT Grant Revenue</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We recognized $1.0 million and $1.1 million of grant revenue during the three months ended March 31, 2026 and 2025, respectively, which represents CPRIT’s share of the costs incurred for our rhenium (</w:t>
      </w:r>
      <w:r>
        <w:rPr>
          <w:rFonts w:ascii="Times New Roman" w:hAnsi="Times New Roman"/>
          <w:color w:val="000000"/>
          <w:sz w:val="13"/>
        </w:rPr>
        <w:t>186</w:t>
      </w:r>
      <w:r>
        <w:rPr>
          <w:rFonts w:ascii="Times New Roman" w:hAnsi="Times New Roman"/>
          <w:color w:val="000000"/>
          <w:sz w:val="20"/>
        </w:rPr>
        <w:t xml:space="preserve">Re) obisbemeda development for the treatment of patients with LM.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Research and development expenses include costs associated with the design, development, testing, and enhancement of our product candidates, payment of regulatory fees, laboratory supplies, preclinical studies, and clinical studies.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three months ended March 31, 2026 and 2025 (in thousands):</w:t>
      </w:r>
    </w:p>
    <w:tbl>
      <w:tblPr>
        <w:tblW w:w="6229" w:type="dxa"/>
        <w:jc w:val="left"/>
        <w:tblInd w:w="0" w:type="dxa"/>
        <w:tblLayout w:type="fixed"/>
        <w:tblCellMar>
          <w:top w:w="28" w:type="dxa"/>
          <w:left w:w="28" w:type="dxa"/>
          <w:bottom w:w="28" w:type="dxa"/>
          <w:right w:w="28" w:type="dxa"/>
        </w:tblCellMar>
      </w:tblPr>
      <w:tblGrid>
        <w:gridCol w:w="3496"/>
        <w:gridCol w:w="146"/>
        <w:gridCol w:w="272"/>
        <w:gridCol w:w="738"/>
        <w:gridCol w:w="188"/>
        <w:gridCol w:w="188"/>
        <w:gridCol w:w="272"/>
        <w:gridCol w:w="738"/>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Research and development expenses increased by approximately $1.1 million during the three months ended March 31, 2026 as compared to the same period in 2025. The increase was due primarily to an increase of $0.4 million in clinical expenses, $0.3 million in diagnostics, $0.3 million in professional research and development services, and $0.1 million in other research and development expenses.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expect aggregate research and development expenditures to increase during the remainder of 2026 as compared to the corresponding comparable period in 2025, due to increased costs for the </w:t>
      </w:r>
      <w:r>
        <w:rPr>
          <w:rFonts w:ascii="Times New Roman" w:hAnsi="Times New Roman"/>
          <w:i/>
          <w:color w:val="000000"/>
          <w:sz w:val="20"/>
        </w:rPr>
        <w:t xml:space="preserve">ReSPECT-LM </w:t>
      </w:r>
      <w:r>
        <w:rPr>
          <w:rFonts w:ascii="Times New Roman" w:hAnsi="Times New Roman"/>
          <w:color w:val="000000"/>
          <w:sz w:val="20"/>
        </w:rPr>
        <w:t>clinical trial (for which CPRIT grant funding is expected to be available), manufacturing scale up for rhenium (</w:t>
      </w:r>
      <w:r>
        <w:rPr>
          <w:rFonts w:ascii="Times New Roman" w:hAnsi="Times New Roman"/>
          <w:color w:val="000000"/>
          <w:sz w:val="9"/>
        </w:rPr>
        <w:t>186</w:t>
      </w:r>
      <w:r>
        <w:rPr>
          <w:rFonts w:ascii="Times New Roman" w:hAnsi="Times New Roman"/>
          <w:color w:val="000000"/>
          <w:sz w:val="20"/>
        </w:rPr>
        <w:t>Re) obisbemeda commercial and approval trial drug availability and initial patient enrollments in the ReSPECT-PBC clinical trial together with expansion of CNSide research and development teams.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General and administrative expenses include costs for administrative personnel, legal and other professional expenses, and general corporate expenses. The following table summarizes the general and administrative expenses for the three months ended March 31, 2026 and 2025 (in thousands):</w:t>
      </w:r>
    </w:p>
    <w:tbl>
      <w:tblPr>
        <w:tblW w:w="6274" w:type="dxa"/>
        <w:jc w:val="left"/>
        <w:tblInd w:w="0" w:type="dxa"/>
        <w:tblLayout w:type="fixed"/>
        <w:tblCellMar>
          <w:top w:w="28" w:type="dxa"/>
          <w:left w:w="28" w:type="dxa"/>
          <w:bottom w:w="28" w:type="dxa"/>
          <w:right w:w="28" w:type="dxa"/>
        </w:tblCellMar>
      </w:tblPr>
      <w:tblGrid>
        <w:gridCol w:w="3541"/>
        <w:gridCol w:w="146"/>
        <w:gridCol w:w="272"/>
        <w:gridCol w:w="738"/>
        <w:gridCol w:w="188"/>
        <w:gridCol w:w="188"/>
        <w:gridCol w:w="272"/>
        <w:gridCol w:w="738"/>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General and administrative expenses increased by $2.4 million during the three months ended March 31, 2026, as compared to the same period in 2025, primarily due to an increase of $1.4 million in compensation expense which included an increase of $0.9 million in stock based compensation, $0.5 million in legal and professional fees, $0.3 million in rent expense, and $0.2 million in other 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general and administrative expenditures to increase during the remainder of 2026 as compared to the corresponding comparable period in 2025 as we expand the CNSide commercial operations team (including sales, customer service and laboratory operations).</w:t>
      </w:r>
    </w:p>
    <w:p>
      <w:pPr>
        <w:pStyle w:val="TextBody"/>
        <w:bidi w:val="0"/>
        <w:jc w:val="both"/>
        <w:rPr>
          <w:rFonts w:ascii="Times New Roman" w:hAnsi="Times New Roman"/>
          <w:i/>
          <w:color w:val="000000"/>
          <w:sz w:val="20"/>
        </w:rPr>
      </w:pPr>
      <w:r>
        <w:rPr>
          <w:rFonts w:ascii="Times New Roman" w:hAnsi="Times New Roman"/>
          <w:i/>
          <w:color w:val="000000"/>
          <w:sz w:val="20"/>
        </w:rPr>
        <w:t>Stock-based compensation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Stock-based compensation expenses include charges related to options and restricted stock awards issued to employees, directors and non-employees. We measure stock-based compensation expenses based on the grant-date fair value of any awards granted to our employees. Such expense is recognized over the requisite service period.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components of our stock-based compensation expenses for the three months ended March 31, 2026 and 2025 (in thousands):</w:t>
      </w:r>
    </w:p>
    <w:tbl>
      <w:tblPr>
        <w:tblW w:w="5480" w:type="dxa"/>
        <w:jc w:val="left"/>
        <w:tblInd w:w="0" w:type="dxa"/>
        <w:tblLayout w:type="fixed"/>
        <w:tblCellMar>
          <w:top w:w="28" w:type="dxa"/>
          <w:left w:w="28" w:type="dxa"/>
          <w:bottom w:w="28" w:type="dxa"/>
          <w:right w:w="28" w:type="dxa"/>
        </w:tblCellMar>
      </w:tblPr>
      <w:tblGrid>
        <w:gridCol w:w="2746"/>
        <w:gridCol w:w="146"/>
        <w:gridCol w:w="296"/>
        <w:gridCol w:w="803"/>
        <w:gridCol w:w="205"/>
        <w:gridCol w:w="205"/>
        <w:gridCol w:w="296"/>
        <w:gridCol w:w="592"/>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stock-based compensation expense is impacted by grants of equity awards, the vesting schedule of such grants, as well as the grant date fair value of equity awards. Stock-based compensation expense increased during the three months ended March 31, 2026 as compared to the same period in 2025 primarily due to an increase in the number of awards granted, which was partially offset by a decrease in the grant date fair value of equity awards granted.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non-operating income and expenses for the three months ended March 31, 2026 and 2025 (in thousands):</w:t>
      </w:r>
    </w:p>
    <w:tbl>
      <w:tblPr>
        <w:tblW w:w="6595" w:type="dxa"/>
        <w:jc w:val="left"/>
        <w:tblInd w:w="0" w:type="dxa"/>
        <w:tblLayout w:type="fixed"/>
        <w:tblCellMar>
          <w:top w:w="28" w:type="dxa"/>
          <w:left w:w="28" w:type="dxa"/>
          <w:bottom w:w="28" w:type="dxa"/>
          <w:right w:w="28" w:type="dxa"/>
        </w:tblCellMar>
      </w:tblPr>
      <w:tblGrid>
        <w:gridCol w:w="3841"/>
        <w:gridCol w:w="146"/>
        <w:gridCol w:w="267"/>
        <w:gridCol w:w="534"/>
        <w:gridCol w:w="210"/>
        <w:gridCol w:w="185"/>
        <w:gridCol w:w="267"/>
        <w:gridCol w:w="934"/>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income increased for the three months ended March 31, 2026 compared with the same period in 2025 was primarily due to a higher investment balance in 2026 as compared to the same period in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decrease in interest expense for the three months ended March 31, 2026 as compared to the same period in 2025 was due to interest related to the Funding Notes issued and redeemed during the three months ended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Financing expenses for the three months ended March 31, 2025 related to the March 2025 PIPE and February 2025 transactions.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change in the fair value of the derivative instruments for the three months ended March 31, 2025 was primarily due to the March 2025 Private Placement (specifically the liability classified March 2025 Series B Warrants, which were remeasured immediately prior to exercise, before being reclassified as equity).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Warrant issuance costs for the three months ended March 31, 2025 related to the March 2025 Private Placement.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4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Short-term and long-term liquidity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is a summary of our key liquidity measures at March 31, 2026 and December 31, 2025 (in thousands):</w:t>
      </w:r>
    </w:p>
    <w:tbl>
      <w:tblPr>
        <w:tblW w:w="6900" w:type="dxa"/>
        <w:jc w:val="left"/>
        <w:tblInd w:w="0" w:type="dxa"/>
        <w:tblLayout w:type="fixed"/>
        <w:tblCellMar>
          <w:top w:w="28" w:type="dxa"/>
          <w:left w:w="28" w:type="dxa"/>
          <w:bottom w:w="28" w:type="dxa"/>
          <w:right w:w="28" w:type="dxa"/>
        </w:tblCellMar>
      </w:tblPr>
      <w:tblGrid>
        <w:gridCol w:w="3511"/>
        <w:gridCol w:w="146"/>
        <w:gridCol w:w="299"/>
        <w:gridCol w:w="961"/>
        <w:gridCol w:w="146"/>
        <w:gridCol w:w="146"/>
        <w:gridCol w:w="357"/>
        <w:gridCol w:w="1143"/>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incurred net losses of $6.9 million for the three months ended March 31, 2026. We have an accumulated deficit of $522.8 million as of March 31, 2026. Additionally, we used net cash of $6.2 million to fund our operating activities for the three months ended March 31, 2026. These factors raise substantial doubt about our ability to continue as a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date, our operating losses have been funded primarily from outside sources of invested capital from issuance of our common and preferred equity, warrants, convertible loan, warrants, term loan, our line of credit facility with Pershing and grant funding. We have had, and will continue to have, an ongoing need to raise additional cash from outside sources to fund our future clinical development programs and other operations. There can be no assurance that we will be able to continue to raise additional capital in the future. Our inability to raise additional cash would have a material and adverse impact on our operations and ability to satisfy our obligations.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January 2026 Public Offering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13, 2026, the Company completed an underwritten public offering pursuant to which the Company (a) sold an aggregate of (i) 1,578,947 shares of common stock, par value $ 0.001 per share, of the Company and (ii) warrants to purchase 1,578,947 shares of common stock (the “January 2026 Warrants”), at a combined public offering price of $9.50 per share and January 2026 Warrant, and (b) granted the underwriter a 30-day option to purchase up to an additional 236,837 shares of common stock, additional January 2026 Warrants to purchase up to 236,837 shares of common stock or any combination thereof, at the public offering price, in each case less underwriting discounts and commissions. Each January 2026 Warrant is immediately exercisable, entitles the holder to purchase one share of common stock at an exercise price of $9.50 per share and expires five (5) years from the date of issuance. On January 14, 2026, the underwriter exercised its over-allotment option with respect to additional January 2026 Warrants to purchase 236,837 shares of common stock. Net proceeds from the underwritten public offering were approximately $13.9 million after deducting the underwriting discounts and commissions and other offering expenses payable by the Company. </w:t>
      </w:r>
    </w:p>
    <w:p>
      <w:pPr>
        <w:pStyle w:val="TextBody"/>
        <w:bidi w:val="0"/>
        <w:jc w:val="both"/>
        <w:rPr>
          <w:rFonts w:ascii="Times New Roman" w:hAnsi="Times New Roman"/>
          <w:i/>
          <w:color w:val="000000"/>
          <w:sz w:val="20"/>
        </w:rPr>
      </w:pPr>
      <w:r>
        <w:rPr>
          <w:rFonts w:ascii="Times New Roman" w:hAnsi="Times New Roman"/>
          <w:i/>
          <w:color w:val="000000"/>
          <w:sz w:val="20"/>
        </w:rPr>
        <w:t>February 2025 SPEA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13, 2025 (the “February 2025 SPEA Closing Date”), we entered into a securities purchase and exchange agreement (the “February 2025 SPEA”) with certain existing accredited investors. Pursuant to the February 2025 SPEA, on the February 2025 SPEA Closing Date we issued secured convertible promissory notes (the “Funding Notes”) in the aggregate principal amount of $3.3 million together with common stock purchase warrants (the “February 2025 Warrants”) to purchase 120,080 shares of our common stock at an exercise price of $28.00 per share. The aggregate purchase price for the Funding Note and February 2025 Warrants was approximately $3.7 million and included payment of $3.125 per February 2025 Warrant in accordance with the listing rules of Nasdaq. </w:t>
      </w:r>
    </w:p>
    <w:p>
      <w:pPr>
        <w:pStyle w:val="TextBody"/>
        <w:bidi w:val="0"/>
        <w:spacing w:before="120" w:after="283"/>
        <w:jc w:val="both"/>
        <w:rPr>
          <w:rFonts w:ascii="Times New Roman" w:hAnsi="Times New Roman"/>
          <w:sz w:val="20"/>
        </w:rPr>
      </w:pPr>
      <w:r>
        <w:rPr>
          <w:rFonts w:ascii="Times New Roman" w:hAnsi="Times New Roman"/>
          <w:i/>
          <w:color w:val="000000"/>
          <w:sz w:val="20"/>
        </w:rPr>
        <w:t>Exchange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May 2024 Purchase Agreement (as described below) included certain limitations and restrictions on our ability to issue securities and provided the May 2024 Private Placement Purchasers other than our directors and executive officers (the “Outside Investors”) participation rights in future equity and equity-linked offerings of securities, subject to certain limited exceptions (the “Financing Restrictions”). On the February 2025 SPEA Closing Date, pursuant to the February 2025 SPEA, we issued to the Outside Investors secured convertible promissory notes in the aggregate amount of $3.2 million (the “Exchange Notes”) in exchange for cancellation of the 141,729 May 2024 Series A Warrants held by them, and the Outside Investors entered into a second amendment to the May 2024 Purchase Agreement to eliminate the Financing Restrictions.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described below, we repurchased the Funding Notes and issued common stock and warrants for cancellation of the Exchange Notes in connection with the March 2025 Private Placement.</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March 2025 Private Placement</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4, 2025, we entered into the March 2025 SPA with the March 2025 Private Placement Purchasers for the March 2025 Private Placement for gross proceeds of approximately $15.0 million. Pursuant to the March 2025 Purchase Agreement, we issued an aggregate of 162,789 shares (the “March 2025 Private Placement Shares”) of our common stock and 958,896 Pre-Funded Warrants, with each March 2025 Private Placement Share or Pre-Funded Warrant accompanied by (i) the March 2025 Series A Warrants to purchase one share of common stock and (ii) one March 2025 Series B Warrant to purchase one share of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exercise price of each March 2025 Series A Warrant is $33.00 per share of common stock. The March 2025 Series A Warrants are exercisable only following stockholder approval and expire five (5) years thereafter. The March 2025 Series A Warrants are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certain price reset, share combination event and anti-dilution provisions which, if triggered, provide that the number of shares issuable upon exercise of the March 2025 Series A Warrants will downward adjust, subject to the Floor Price, and the number of shares issuable upon exercise therefor will increase such that the aggregate exercise price remains unchanged.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exercise price of each March 2025 Series B Warrant is $49.50 per share of common stock. The March 2025 Series B Warrants are exercisable only following stockholder approval and expire two and one-half (2.5) years thereafter. The March 2025 Series B Warrants are subject to certain price reset and share combination event provisions which, if triggered, provide that the number of shares issuable upon exercise of the March 2025 Series B Warrants will downward adjust, subject to the Floor Price, and the number of shares issuable upon exercise therefor will increase such that the aggregate exercise price remains unchanged. In addition, the March 2025 Series B Warrant alternative cashless exercise provision provides that the March 2025 Series B Warrant can be exercised without further payment to us and for three times the number of shares of common stock then subject to the March 2025 Series B Warrant.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Of the securities issued in the March 2025 Private Placement, 123,090 shares of Common Stock, 786,000 shares of March 2025 Pre-Funded Warrants in lieu thereof, and the accompanying 909,090 March 2025 Series A Warrants and 909,090 March 2025 Series B Warrants, were issued in consideration of new capital subscriptions, and 39,698 shares of Common Stock, 172,896 March 2025 Pre-Funded Warrants in lieu thereof, and the accompanying 212,594 March 2025 Series A Warrants and 212,594 March 2025 Series B Warrants, were issued in exchange for the cancelation of the Exchange Notes.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March 2025 Private Placement closed on March 7, 2025. The aggregate gross proceeds at the closing were approximately $15.0 million, before deducting $1.4 million of expenses payable by us.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 2025, our stockholders approved, among other things, the March 2025 Series A Warrants and March 2025 Series B Warrants and an amendment of our Certificate of Incorporation, as amended, to increase the authorized share capital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2023 Series B Warrants were reset on May 19, 2025 to $10.9325 per share. Prior to modification of the March 2025 Series B Warrants as part of the Letter Agreement (as further described below), certain March 2025 Series B Warrants were cashless exercised for the issuance of 859,299 shares of common stock.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Letter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17, 2025, the Company and the Purchasers entered into the Letter Agreement with each of the Purchasers in an effort to, among other items, minimize the dilutive impact of the March 2025 Private Placement. The Letter Agreement extinguished the March 2025 Series A Warrants, modified the March 2025 Series B Warrants, and provided for the return of Private Placement Shares and Pre-Funded Warrants, as further discussed in the following paragraphs.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same transaction, the March 2025 Series B Warrants were amended (“Amended March 2025 Series B Warrants”), to (a) reduce the overall number of March 2025 Series B Warrant Shares issuable upon exercise of the Series B Warrants to an aggregate of up to 1,421,455 Series B Warrant Shares, (b) reduce the alternative cashless exercise ratio in such March 2025 Series B Warrants from 3:1 to 1:1, and (c) remove provisions contained in the March 2025 Series B Warrants that would otherwise reduce the Company’s stockholders’ equity. As a result of the Letter Agreement, the Amended March 2025 Series B Warrants no longer fail the indexation guidance under ASC 815, Derivatives and Hedging, and the fair value of the warrant liability was reclassified to equity. After the June 17, 2025 modification, 1,391,781 Amended March 2025 Series B Warrants were cashless exercised.</w:t>
      </w:r>
    </w:p>
    <w:p>
      <w:pPr>
        <w:pStyle w:val="TextBody"/>
        <w:bidi w:val="0"/>
        <w:spacing w:before="120" w:after="283"/>
        <w:jc w:val="both"/>
        <w:rPr>
          <w:rFonts w:ascii="Times New Roman" w:hAnsi="Times New Roman"/>
          <w:sz w:val="20"/>
        </w:rPr>
      </w:pPr>
      <w:r>
        <w:rPr>
          <w:rFonts w:ascii="Times New Roman" w:hAnsi="Times New Roman"/>
          <w:color w:val="000000"/>
          <w:sz w:val="20"/>
        </w:rPr>
        <w:t>Lastly, in conjunction with the Letter Agreement, each of the March 2025 Private Placement Purchasers agreed to the Letter Agreement Repurchase Option, to return an aggregate of 489,679 Private Placement Shares and Pre-Funded Warrants issuable for an aggregate of 425,346 Pre-Funded Warrant Shares, held by them as of the date of the Letter Agreement, upon request of the Company, which were issued pursuant to the March 2025 Private Placement Purchase Agreement for a value of $16.50 per Private Placement Share and $16.475 per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 During the three months ended March 31, 2026, we paid the March 2025 Private Placement Purchasers $4.5 million and 272,821 shares were returned and cancelled under the terms of the Letter Agreement</w:t>
      </w:r>
      <w:r>
        <w:rPr>
          <w:rFonts w:ascii="Times New Roman" w:hAnsi="Times New Roman"/>
          <w:color w:val="2B333D"/>
          <w:sz w:val="20"/>
        </w:rPr>
        <w:t>.</w:t>
      </w:r>
    </w:p>
    <w:p>
      <w:pPr>
        <w:pStyle w:val="TextBody"/>
        <w:bidi w:val="0"/>
        <w:spacing w:before="120" w:after="283"/>
        <w:jc w:val="both"/>
        <w:rPr>
          <w:rFonts w:ascii="Times New Roman" w:hAnsi="Times New Roman"/>
          <w:sz w:val="20"/>
        </w:rPr>
      </w:pPr>
      <w:r>
        <w:rPr>
          <w:rFonts w:ascii="Times New Roman" w:hAnsi="Times New Roman"/>
          <w:i/>
          <w:color w:val="000000"/>
          <w:sz w:val="20"/>
        </w:rPr>
        <w:t>Support Letters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11, 2025, we and certain March 2025 Private Placement Purchasers party to the Letter Agreement entered into that certain letter of support (the “Support Letters”) to modify certain portions of the Letter Agreement as between us and each of such March 2025 Private Placement Purchasers. In the event that we reasonably believe that, within the 30 days (the “Modification Period”) prior to the end of any fiscal quarter, we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we desire to trigger the modification of the Subsequent Financing Percentage, we agree to supply the purchaser who executed a Support Letter with a pro forma balance sheet to evidence its reasonable belief of the Potential Equity Deficiency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approximately 30 days prior to each end of fiscal quarter once the books for prior months are closed. Each Support Letter also grants the purchaser party to the letter a participation right in certain future financings of ours for a period of 12 months.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First Amendment to the February 2025 SPEA</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March 2025 Purchase Agreement, we entered into that certain First Amendment to the February 2025 SPEA (the “First Amendment”). The February 2025 SPEA included certain limitations and restrictions on our ability to issue securities and provided the investors participation rights in future equity and equity-linked offerings of securities, subject to certain limited exceptions (the “New Financing Restrictions”). Pursuant to the First Amendment, subject to consummation of the March 2025 Private Placement, we agreed to repurchase from the Investors $3.4 million in principal amount of the Funding Notes and accrued interest, along with the February 2025 Warrants issued pursuant to the February 2025 SPEA for an aggregate purchase price of $4.2 million. In exchange for the repurchase by us of the Funding Notes and February 2025 SPEA Warrants, the February 2025 Purchasers agreed to consent to the March 2025 Private Placement and eliminate the New Financing Restrictions.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Lincoln Park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June 17, 2025, we entered into a purchase agreement (the “Lincoln Park Purchase Agreement”) and a registration rights agreement pursuant to which Lincoln Park Capital Fund (“Lincoln Park”) committed to purchase up to $50.0 million of shares of our common stock. Under the terms and subject to the conditions of the Lincoln Park Purchase Agreement, we have the right, but not the obligation, to sell to Lincoln Park, and Lincoln Park is obligated to purchase up to $50.0 million of shares of our common stock. Sales of common stock by us are subject to certain limitations, and can occur from time to time, at our sole discretion, over the 36-month period commencing on June 23, 2025, subject to the satisfaction of certain conditions. Actual sales of shares of common stock to Lincoln Park under the Lincoln Park Purchase Agreement depend on a variety of factors to be determined by us from time to time, including, among others, market conditions, the trading price of the common stock and our determinations as to the appropriate sources of funding for the Company and its operations. As consideration for Lincoln Park’s irrevocable commitment to purchase shares of our common stock upon the terms of and subject to satisfaction of the conditions set forth in the Lincoln Park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June 23, 2025, a registration statement (the “Initial Registration Statement”) was declared effective covering the resale of up to 680,000 shares of our common stock. On August 14, 2025, a registration statement (the “Second Registration Statement”) was declared effective covering the resale of up to 1,320,000 shares of our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initial commitment fee was recorded as a reduction to additional paid-in capital in the condensed consolidated balance sheet. An additional commitment fee of $0.5 million will be paid in cash or shares of common stock, or a combination of cash and shares of common stock, if and when we sell over $25.0 million of our common stock under the Lincoln Park Purchase Agreement. </w:t>
      </w:r>
    </w:p>
    <w:p>
      <w:pPr>
        <w:pStyle w:val="TextBody"/>
        <w:bidi w:val="0"/>
        <w:jc w:val="both"/>
        <w:rPr>
          <w:rFonts w:ascii="Times New Roman" w:hAnsi="Times New Roman"/>
          <w:sz w:val="20"/>
        </w:rPr>
      </w:pPr>
      <w:r>
        <w:rPr>
          <w:rFonts w:ascii="Times New Roman" w:hAnsi="Times New Roman"/>
          <w:b/>
          <w:i/>
          <w:color w:val="000000"/>
          <w:sz w:val="20"/>
        </w:rPr>
        <w:t>Nasdaq Listing Compliance</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Minimum Stockholders’ Equity Requirement</w:t>
      </w:r>
    </w:p>
    <w:p>
      <w:pPr>
        <w:pStyle w:val="TextBody"/>
        <w:bidi w:val="0"/>
        <w:jc w:val="left"/>
        <w:rPr>
          <w:rFonts w:ascii="Times New Roman" w:hAnsi="Times New Roman"/>
          <w:color w:val="000000"/>
          <w:sz w:val="20"/>
        </w:rPr>
      </w:pPr>
      <w:r>
        <w:rPr>
          <w:rFonts w:ascii="Times New Roman" w:hAnsi="Times New Roman"/>
          <w:color w:val="000000"/>
          <w:sz w:val="20"/>
        </w:rPr>
        <w:t>We are currently in compliance with the Minimum Stockholders’ Equity Requirement. We are subject to monitoring through August 22, 2026 with respect to the Minimum Stockholders’ Equity Requirement. If, within such period, the Staff determines that we no longer satisfy the Minimum Stockholders’ Equity Requirement (and we are not then in compliance with one of the alternative standards under Nasdaq Listing Rule 5550(b)), we will not be permitted to provide the Staff with a plan of compliance and the Staff is not permitted to grant additional time to regain compliance with the Minimum Stockholders’ Equity Requirement nor will we be afforded an applicable cure or compliance period. Instead, the Staff will issue a delist determination letter, and we will have an opportunity to request a new hearing before the Nasdaq Hearings Panel, which request would stay any further action by the Staff pending the ultimate outcome of the hearing.</w:t>
      </w:r>
    </w:p>
    <w:p>
      <w:pPr>
        <w:pStyle w:val="TextBody"/>
        <w:bidi w:val="0"/>
        <w:jc w:val="left"/>
        <w:rPr/>
      </w:pPr>
      <w:r>
        <w:rPr/>
        <w:t>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Minimum Bid Requirement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20, 2026, we received the Notification Letter from The Nasdaq Stock Market LLC notifying us that we had regained compliance with the Minimum Bid Requirement. The Notification Letter was sent following the implementation of the Reverse Stock Split, which became effective on April 2, 2026. Additional information regarding the Reverse Split can be found in our Current Report on Form 8-K filed on April 2, 2026.</w:t>
      </w:r>
    </w:p>
    <w:p>
      <w:pPr>
        <w:pStyle w:val="TextBody"/>
        <w:bidi w:val="0"/>
        <w:jc w:val="both"/>
        <w:rPr>
          <w:rFonts w:ascii="Times New Roman" w:hAnsi="Times New Roman"/>
          <w:sz w:val="20"/>
        </w:rPr>
      </w:pPr>
      <w:r>
        <w:rPr>
          <w:rFonts w:ascii="Times New Roman" w:hAnsi="Times New Roman"/>
          <w:i/>
          <w:color w:val="000000"/>
          <w:sz w:val="20"/>
        </w:rPr>
        <w:t>Funding and Material Cash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our operating losses have been funded primarily from outside sources of invested capital from issuance of shares of our common and preferred equity, warrants, convertible loan, warrants, term loan, the margin loan facility under a line of credit with Pershing and grant funding. However, we have had, and will continue to have, an ongoing need to raise additional cash from outside sources through a combination of equity offerings, debt financings and potential collaboration, license or development agreements to fund our future clinical development programs, commercialization of CNSide, and other operations in the next twelve months from the filing of this Quarterly Report.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present and future funding and cash requirements will depend on many factors, including,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timing and completion of our ongoing and planned clinical trials and nonclinical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receive, and the timing of receipt of, future regulatory approvals for our product candidates and the costs related thereto;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utility of the CNSide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our ongoing and planned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expanding our operations and building our sales and marketing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if approved;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new product candidates that we identify and attempt to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that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Cash (used in) provided by operating, investing, and financing activities for the three months ended March 31, 2026 and 2025 is summarized as follows (in thousands):</w:t>
      </w:r>
    </w:p>
    <w:tbl>
      <w:tblPr>
        <w:tblW w:w="6147" w:type="dxa"/>
        <w:jc w:val="left"/>
        <w:tblInd w:w="0" w:type="dxa"/>
        <w:tblLayout w:type="fixed"/>
        <w:tblCellMar>
          <w:top w:w="28" w:type="dxa"/>
          <w:left w:w="28" w:type="dxa"/>
          <w:bottom w:w="28" w:type="dxa"/>
          <w:right w:w="28" w:type="dxa"/>
        </w:tblCellMar>
      </w:tblPr>
      <w:tblGrid>
        <w:gridCol w:w="3391"/>
        <w:gridCol w:w="146"/>
        <w:gridCol w:w="248"/>
        <w:gridCol w:w="742"/>
        <w:gridCol w:w="195"/>
        <w:gridCol w:w="171"/>
        <w:gridCol w:w="248"/>
        <w:gridCol w:w="795"/>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Material Cash Obligations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Under the CPRIT Contract, we receive matching funds for approximately two-thirds of the development costs for the development of REYOBIQ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than as described above, we have no purchase commitments or long-term contractual obligations, except for lease obligations as of March 31, 2026.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used in operating activities for the three months ended March 31, 2026 of $6.2 million was primarily related to the net loss of $6.9 million and $0.4 million of changes to operating assets and liabilities, partially offset by $1.0 million of stock-based compensation expense and $0.1 million of depreciation and amortization.</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2025 was $6.2 million, compared with $4.5 million in the same period of 2024, primarily due to an increase to net loss of $14.1 million, offset by non cash charges of $12.7 million during the three months ended March 31, 2025.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Net cash used in investing activities for the three months ended March 31, 2026 of $8.5 million was primarily related to the purchase of short-term investments of $9.7 million and purchase of property and equipment of $0.8 million, which was partially offset by the redemption of short-term investments of $2.0 million. </w:t>
      </w:r>
    </w:p>
    <w:p>
      <w:pPr>
        <w:pStyle w:val="TextBody"/>
        <w:bidi w:val="0"/>
        <w:jc w:val="left"/>
        <w:rPr>
          <w:rFonts w:ascii="Times New Roman" w:hAnsi="Times New Roman"/>
          <w:color w:val="000000"/>
          <w:sz w:val="20"/>
        </w:rPr>
      </w:pPr>
      <w:r>
        <w:rPr>
          <w:rFonts w:ascii="Times New Roman" w:hAnsi="Times New Roman"/>
          <w:color w:val="000000"/>
          <w:sz w:val="20"/>
        </w:rPr>
        <w:t>Net cash provided by investing activities for the three months ended March 31, 2025 was related to maturities of short-term investments of $3.5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provided by financing activities for the three months ended March 31, 2026 of $9.0 million was related to $15.0 million in proceeds from the January 2026 underwritten public offering and $1.0 million of proceeds from the credit facility, partially offset by $1.1 million repayments of the credit facility, $1.4 million for offering costs for the sale of common stock, and $4.5 million of payments to investors pursuant to the Letter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financing activities for the three months ended March 31, 2025 was related to $14.8 million of net proceeds from issuance of common stock, pre-funded warrants and warrants, $0.9 million related to cash received from exercise of warrants, and $3.7 million from issuance of Funding Notes payable and accompanying warrants, offset by repayment of $3.3 million of our line of credit facility, and repayment of Funding Notes payable and warrants for $3.7 million. </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Critical Accounting Policies and Significant Estimates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our estimates are based on assumptions we consider reasonable at the time they were made, our actual results may differ from our estimates, perhaps significantly. If results differ materially from our estimates, we will make adjustments to our consolidated financial statements prospectively as we become aware of the necessity for an adjustment.</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believe it is important for you to understand our most critical accounting policies. Our critical accounting policies and estimates are discussed in our Annual Report on Form 10-K for the fiscal year ended December 31, 2025 and there have been no material changes during the three months ended March 31, 2026, other than what was disclosed in </w:t>
      </w:r>
      <w:r>
        <w:rPr>
          <w:rFonts w:ascii="Times New Roman" w:hAnsi="Times New Roman"/>
          <w:i/>
          <w:color w:val="000000"/>
          <w:sz w:val="20"/>
        </w:rPr>
        <w:t>Note 2 Summary of Significant Accounting Policies</w:t>
      </w:r>
      <w:r>
        <w:rPr>
          <w:rFonts w:ascii="Times New Roman" w:hAnsi="Times New Roman"/>
          <w:color w:val="000000"/>
          <w:sz w:val="20"/>
        </w:rPr>
        <w:t xml:space="preserve"> of the accompanying condensed consolidated financial statements. </w:t>
      </w:r>
    </w:p>
    <w:p>
      <w:pPr>
        <w:pStyle w:val="TextBody"/>
        <w:bidi w:val="0"/>
        <w:spacing w:before="120" w:after="120"/>
        <w:jc w:val="both"/>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120"/>
        <w:jc w:val="both"/>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of 1934, as amended (the “Exchange Act”), that are designed to ensure that information required to be disclosed in our reports that we file or furnish pursuant to the Exchange Act is recorded, processed, summarized and reported within the time periods specified in the SEC’s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pStyle w:val="TextBody"/>
        <w:bidi w:val="0"/>
        <w:jc w:val="both"/>
        <w:rPr>
          <w:rFonts w:ascii="Times New Roman" w:hAnsi="Times New Roman"/>
          <w:color w:val="000000"/>
          <w:sz w:val="20"/>
        </w:rPr>
      </w:pPr>
      <w:r>
        <w:rPr>
          <w:rFonts w:ascii="Times New Roman" w:hAnsi="Times New Roman"/>
          <w:color w:val="000000"/>
          <w:sz w:val="20"/>
        </w:rPr>
        <w:t xml:space="preserve">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 </w:t>
      </w:r>
    </w:p>
    <w:p>
      <w:pPr>
        <w:pStyle w:val="TextBody"/>
        <w:bidi w:val="0"/>
        <w:spacing w:before="12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(as defined in Rules 13a-15(f) and 15d-15(f) under the Exchange Act) during the quarter ended March 31, 2026, that has materially affected, or is reasonably likely to materially affect, our internal control over financial reporting. </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PART II. OTHE</w:t>
      </w:r>
      <w:bookmarkStart w:id="15" w:name="part_ii_or_information"/>
      <w:bookmarkEnd w:id="15"/>
      <w:r>
        <w:rPr>
          <w:rFonts w:ascii="Times New Roman" w:hAnsi="Times New Roman"/>
          <w:b/>
          <w:color w:val="000000"/>
          <w:sz w:val="20"/>
        </w:rPr>
        <w:t>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120"/>
        <w:jc w:val="both"/>
        <w:rPr>
          <w:rFonts w:ascii="Times New Roman" w:hAnsi="Times New Roman"/>
          <w:sz w:val="20"/>
        </w:rPr>
      </w:pPr>
      <w:bookmarkStart w:id="16" w:name="item_1_legal_proceedings"/>
      <w:bookmarkEnd w:id="16"/>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120"/>
        <w:jc w:val="both"/>
        <w:rPr>
          <w:rFonts w:ascii="Times New Roman" w:hAnsi="Times New Roman"/>
          <w:sz w:val="20"/>
        </w:rPr>
      </w:pPr>
      <w:bookmarkStart w:id="17" w:name="item_1a_risk_factors"/>
      <w:bookmarkEnd w:id="17"/>
      <w:r>
        <w:rPr>
          <w:rFonts w:ascii="Times New Roman" w:hAnsi="Times New Roman"/>
          <w:b/>
          <w:color w:val="000000"/>
          <w:sz w:val="20"/>
        </w:rPr>
        <w:t>Item 1A. Ris</w:t>
      </w:r>
      <w:bookmarkStart w:id="18" w:name="item_1a_risk_factors_new"/>
      <w:bookmarkEnd w:id="18"/>
      <w:r>
        <w:rPr>
          <w:rFonts w:ascii="Times New Roman" w:hAnsi="Times New Roman"/>
          <w:b/>
          <w:color w:val="000000"/>
          <w:sz w:val="20"/>
        </w:rPr>
        <w:t>k Factors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have been no material changes to the risk factors disclosed in Part I, Item 1A, “Risk Factors” of our Annual Report on Form 10-K for the year ended December 31, 2025.</w:t>
      </w:r>
    </w:p>
    <w:p>
      <w:pPr>
        <w:pStyle w:val="TextBody"/>
        <w:bidi w:val="0"/>
        <w:jc w:val="both"/>
        <w:rPr>
          <w:rFonts w:ascii="Times New Roman" w:hAnsi="Times New Roman"/>
          <w:b/>
          <w:color w:val="000000"/>
          <w:sz w:val="20"/>
        </w:rPr>
      </w:pPr>
      <w:bookmarkStart w:id="19" w:name="item_2"/>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2(a):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2(b): Use of Proceeds from 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sz w:val="20"/>
        </w:rPr>
      </w:pPr>
      <w:r>
        <w:rPr>
          <w:rFonts w:ascii="Times New Roman" w:hAnsi="Times New Roman"/>
          <w:b/>
          <w:color w:val="000000"/>
          <w:sz w:val="20"/>
        </w:rPr>
        <w:t>2(c):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certain information with respect to the Company's purchases of its common stock for the three months ended March 31, 2026.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35"/>
        <w:gridCol w:w="146"/>
        <w:gridCol w:w="223"/>
        <w:gridCol w:w="1197"/>
        <w:gridCol w:w="146"/>
        <w:gridCol w:w="146"/>
        <w:gridCol w:w="326"/>
        <w:gridCol w:w="883"/>
        <w:gridCol w:w="146"/>
        <w:gridCol w:w="146"/>
        <w:gridCol w:w="391"/>
        <w:gridCol w:w="2094"/>
        <w:gridCol w:w="146"/>
        <w:gridCol w:w="146"/>
        <w:gridCol w:w="1532"/>
        <w:gridCol w:w="1208"/>
        <w:gridCol w:w="194"/>
      </w:tblGrid>
      <w:tr>
        <w:trPr/>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Purchases of Common Stock</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Approximate Dollar Value of Shares That May Yet Be Purchased Under Plans or Programs</w:t>
            </w:r>
            <w:r>
              <w:rPr>
                <w:rFonts w:ascii="Times New Roman" w:hAnsi="Times New Roman"/>
                <w:b/>
                <w:color w:val="000000"/>
                <w:sz w:val="11"/>
              </w:rPr>
              <w:t>(1)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pPr>
      <w:r>
        <w:rPr>
          <w:rFonts w:ascii="Times New Roman" w:hAnsi="Times New Roman"/>
          <w:color w:val="000000"/>
          <w:sz w:val="18"/>
        </w:rPr>
        <w:t xml:space="preserve">On March 4, 2025, the Company entered into the March 2025 SPA with the March 2025 Private Placement Purchasers for the March 2025 Private Placement . On June 17, 2025, the Company and the Purchasers entered into the Letter Agreement with each of the Purchasers in an effort to, among other items, minimize the dilutive impact of the March 2025 Private Placement and provided for the return and cancellation of Private Placement Shares and Pre-Funded Warrants. The Private Placement Shares and Pre-Funded Warrants were repurchased by the Company pursuant to the Letter Agreement. Refer to </w:t>
      </w:r>
      <w:r>
        <w:rPr>
          <w:rFonts w:ascii="Times New Roman" w:hAnsi="Times New Roman"/>
          <w:i/>
          <w:color w:val="000000"/>
          <w:sz w:val="18"/>
        </w:rPr>
        <w:t xml:space="preserve">Note 12 Stockholders’ Equity </w:t>
      </w:r>
      <w:r>
        <w:rPr>
          <w:rFonts w:ascii="Times New Roman" w:hAnsi="Times New Roman"/>
          <w:color w:val="000000"/>
          <w:sz w:val="18"/>
        </w:rPr>
        <w:t>in Part I, Item 1 of this Quarterly Report on Form 10-Q for more information on the Letter Agreement.</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May 12, 2026, the Company filed a Certificate of Correction (the “Certificate of Correction”) to a Certificate of Amendment to the Amended and Restated Certificate of Incorporation of the Company (the “Certificate of Amendment”) that was previously filed on April 1, 2026. The Certificate of Amendment erroneously stated the number of authorized shares of common stock, par value $0.001 per share, of the Company (“Common Stock”) as 200,000,000 (two hundred million).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corrected by the Certificate of Correction, the total number of authorized shares of Common Stock is two billion (2,000,000,000).</w:t>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9"/>
        <w:gridCol w:w="5726"/>
        <w:gridCol w:w="1193"/>
        <w:gridCol w:w="526"/>
        <w:gridCol w:w="928"/>
        <w:gridCol w:w="803"/>
      </w:tblGrid>
      <w:tr>
        <w:trPr/>
        <w:tc>
          <w:tcPr>
            <w:tcW w:w="1029" w:type="dxa"/>
            <w:tcBorders/>
            <w:vAlign w:val="center"/>
          </w:tcPr>
          <w:p>
            <w:pPr>
              <w:pStyle w:val="TableContents"/>
              <w:bidi w:val="0"/>
              <w:spacing w:before="0" w:after="283"/>
              <w:jc w:val="left"/>
              <w:rPr>
                <w:sz w:val="4"/>
                <w:szCs w:val="4"/>
              </w:rPr>
            </w:pPr>
            <w:r>
              <w:rPr>
                <w:sz w:val="4"/>
                <w:szCs w:val="4"/>
              </w:rPr>
            </w:r>
          </w:p>
        </w:tc>
        <w:tc>
          <w:tcPr>
            <w:tcW w:w="572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029"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Number</w:t>
            </w:r>
          </w:p>
        </w:tc>
        <w:tc>
          <w:tcPr>
            <w:tcW w:w="572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Title</w:t>
            </w:r>
          </w:p>
        </w:tc>
        <w:tc>
          <w:tcPr>
            <w:tcW w:w="1193"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Filed with this Form 10-Q</w:t>
            </w:r>
          </w:p>
        </w:tc>
        <w:tc>
          <w:tcPr>
            <w:tcW w:w="225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Incorporated by Reference</w:t>
            </w:r>
          </w:p>
        </w:tc>
      </w:tr>
      <w:tr>
        <w:trPr/>
        <w:tc>
          <w:tcPr>
            <w:tcW w:w="1029"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572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93"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No.</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 Filed</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Composite Certificate of Incorporation</w:t>
              </w:r>
            </w:hyperlink>
            <w:hyperlink r:id="rId3">
              <w:r>
                <w:rPr>
                  <w:rStyle w:val="InternetLink"/>
                  <w:rFonts w:ascii="Times New Roman" w:hAnsi="Times New Roman"/>
                  <w:color w:val="0000FF"/>
                  <w:sz w:val="20"/>
                </w:rPr>
                <w:t xml:space="preserve"> </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03/11/2016</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05/10/2016</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05/23/2018</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Amended and Restated Certificate</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07/29/2019</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to Amended and Restated Certificate</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08/06/2019</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to Amended and Restated Certificate</w:t>
              </w:r>
            </w:hyperlink>
            <w:r>
              <w:rPr>
                <w:rFonts w:ascii="Times New Roman" w:hAnsi="Times New Roman"/>
                <w:color w:val="000000"/>
                <w:sz w:val="20"/>
              </w:rPr>
              <w:t xml:space="preserve">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04/28/2023</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Amendment to the Certificate of Incorporation, as amended</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05/02/2025</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_8.htm">
              <w:r>
                <w:rPr>
                  <w:rStyle w:val="InternetLink"/>
                  <w:rFonts w:ascii="Times New Roman" w:hAnsi="Times New Roman"/>
                  <w:color w:val="0000FF"/>
                  <w:sz w:val="20"/>
                  <w:u w:val="single"/>
                </w:rPr>
                <w:t>Certificate of Amendment to the Amended and Restated Certificate of Incorporation, filed with the Delaware Secretary of State on April 1, 2026</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3.9</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_9.htm">
              <w:r>
                <w:rPr>
                  <w:rStyle w:val="InternetLink"/>
                  <w:rFonts w:ascii="Times New Roman" w:hAnsi="Times New Roman"/>
                  <w:color w:val="0000FF"/>
                  <w:sz w:val="20"/>
                  <w:u w:val="single"/>
                </w:rPr>
                <w:t>Certificate of Correction to the Amended and Restated Certificate filed with the Delaware Secretary of State on May 12, 2026</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Bylaws of Plus Therapeutics, Inc.</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09/21/2021</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Certificate of Designation of Preferences, Rights and Limitations of Series B Convertible Preferred Stock</w:t>
              </w:r>
            </w:hyperlink>
            <w:r>
              <w:rPr>
                <w:rFonts w:ascii="Times New Roman" w:hAnsi="Times New Roman"/>
                <w:color w:val="000000"/>
                <w:sz w:val="20"/>
              </w:rPr>
              <w:t xml:space="preserve">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Exhibit 3.1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11/28/2017</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Designation of Preferences, Rights and Limitations of Series C Convertible Preferred Stock</w:t>
              </w:r>
            </w:hyperlink>
            <w:r>
              <w:rPr>
                <w:rFonts w:ascii="Times New Roman" w:hAnsi="Times New Roman"/>
                <w:color w:val="000000"/>
                <w:sz w:val="20"/>
              </w:rPr>
              <w:t xml:space="preserve">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8-K </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07/25/2018</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3.13</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_13.htm">
              <w:r>
                <w:rPr>
                  <w:rStyle w:val="InternetLink"/>
                  <w:rFonts w:ascii="Times New Roman" w:hAnsi="Times New Roman"/>
                  <w:color w:val="0000FF"/>
                  <w:sz w:val="20"/>
                  <w:u w:val="single"/>
                </w:rPr>
                <w:t>2020 Stock Incentive Plan, as amended and restated on May 14, 2026</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4.1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Description of Securities</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03/30/2020</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Common Stock Certificate</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4.33</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03/09/2018</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Pre-Funded Warrant</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05/09/2024</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Amendment and Restatement of the May 2024 Series A Warrant</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4.7</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Amendment and Restatement of the May 2024 Series B Warrant</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4.8</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57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Pre-Funded Warrant</w:t>
              </w:r>
            </w:hyperlink>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4.1</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3"/>
        <w:gridCol w:w="7319"/>
        <w:gridCol w:w="241"/>
        <w:gridCol w:w="330"/>
        <w:gridCol w:w="852"/>
        <w:gridCol w:w="810"/>
      </w:tblGrid>
      <w:tr>
        <w:trPr/>
        <w:tc>
          <w:tcPr>
            <w:tcW w:w="653" w:type="dxa"/>
            <w:tcBorders/>
            <w:vAlign w:val="center"/>
          </w:tcPr>
          <w:p>
            <w:pPr>
              <w:pStyle w:val="TableContents"/>
              <w:bidi w:val="0"/>
              <w:spacing w:before="0" w:after="283"/>
              <w:jc w:val="left"/>
              <w:rPr>
                <w:sz w:val="4"/>
                <w:szCs w:val="4"/>
              </w:rPr>
            </w:pPr>
            <w:r>
              <w:rPr>
                <w:sz w:val="4"/>
                <w:szCs w:val="4"/>
              </w:rPr>
            </w:r>
          </w:p>
        </w:tc>
        <w:tc>
          <w:tcPr>
            <w:tcW w:w="7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Warrant issued pursuant to the Securities Purchase and Exchange Agreement, dated February 13, 2025, by and among Plus Therapeutics, Inc. and the purchasers named therein</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5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81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02/18/2025</w:t>
            </w:r>
          </w:p>
          <w:p>
            <w:pPr>
              <w:pStyle w:val="TableContents"/>
              <w:bidi w:val="0"/>
              <w:spacing w:before="0" w:after="283"/>
              <w:jc w:val="lef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Pre-Funded Warrant</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03/04/2025</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Amended March 2025 Series B Warrant</w:t>
              </w:r>
            </w:hyperlink>
            <w:hyperlink r:id="rId22">
              <w:r>
                <w:rPr>
                  <w:rStyle w:val="InternetLink"/>
                  <w:rFonts w:ascii="Times New Roman" w:hAnsi="Times New Roman"/>
                  <w:color w:val="0000FF"/>
                  <w:sz w:val="20"/>
                </w:rPr>
                <w:t xml:space="preserve"> </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06/17/2025</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Warrant, dated January 15, 2026</w:t>
              </w:r>
            </w:hyperlink>
            <w:hyperlink r:id="rId24">
              <w:r>
                <w:rPr>
                  <w:rStyle w:val="InternetLink"/>
                  <w:rFonts w:ascii="Times New Roman" w:hAnsi="Times New Roman"/>
                  <w:color w:val="0000FF"/>
                  <w:sz w:val="20"/>
                </w:rPr>
                <w:t xml:space="preserve"> </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5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01/16/2026</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1_1.htm">
              <w:r>
                <w:rPr>
                  <w:rStyle w:val="InternetLink"/>
                  <w:rFonts w:ascii="Times New Roman" w:hAnsi="Times New Roman"/>
                  <w:color w:val="0000FF"/>
                  <w:sz w:val="20"/>
                  <w:u w:val="single"/>
                </w:rPr>
                <w:t>Certification of Principal Executive Officer Pursuant to Securities Exchange Act Rule 13a-1.04(a), as adopted pursuant to Section 302 of the Sarbanes-Oxley Act of 2002</w:t>
              </w:r>
            </w:hyperlink>
          </w:p>
        </w:tc>
        <w:tc>
          <w:tcPr>
            <w:tcW w:w="2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31.2*</w:t>
            </w:r>
          </w:p>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1_2.htm">
              <w:r>
                <w:rPr>
                  <w:rStyle w:val="InternetLink"/>
                  <w:rFonts w:ascii="Times New Roman" w:hAnsi="Times New Roman"/>
                  <w:color w:val="0000FF"/>
                  <w:sz w:val="20"/>
                  <w:u w:val="single"/>
                </w:rPr>
                <w:t>Certification of Principal Financial and Accounting Officer Pursuant to Securities Exchange Act Rule 13a-14(a), as adopted pursuant to Section 302 of the Sarbanes-Oxley Act of 2002</w:t>
              </w:r>
            </w:hyperlink>
          </w:p>
        </w:tc>
        <w:tc>
          <w:tcPr>
            <w:tcW w:w="2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2_1.htm">
              <w:r>
                <w:rPr>
                  <w:rStyle w:val="InternetLink"/>
                  <w:rFonts w:ascii="Times New Roman" w:hAnsi="Times New Roman"/>
                  <w:color w:val="0000FF"/>
                  <w:sz w:val="20"/>
                  <w:u w:val="single"/>
                </w:rPr>
                <w:t>Certifications Pursuant to 18 U.S.C. Section 1350/ Securities Exchange Act Rule 13a-14(b), as adopted pursuant to Section 906 of the Sarbanes - Oxley Act of 2002</w:t>
              </w:r>
            </w:hyperlink>
          </w:p>
        </w:tc>
        <w:tc>
          <w:tcPr>
            <w:tcW w:w="2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 accordance with Item 601(b)(32)(ii) of Regulation S</w:t>
        <w:noBreakHyphen/>
        <w:t>K and SEC Release No. 34</w:t>
        <w:noBreakHyphen/>
        <w:t>47986, the certifications furnished in Exhibits 31.1, 31.2 and 32.1 hereto are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them by reference.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603"/>
        <w:gridCol w:w="146"/>
        <w:gridCol w:w="406"/>
        <w:gridCol w:w="146"/>
        <w:gridCol w:w="7904"/>
      </w:tblGrid>
      <w:tr>
        <w:trPr/>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04" w:type="dxa"/>
            <w:tcBorders/>
            <w:vAlign w:val="center"/>
          </w:tcPr>
          <w:p>
            <w:pPr>
              <w:pStyle w:val="TableContents"/>
              <w:bidi w:val="0"/>
              <w:spacing w:before="0" w:after="283"/>
              <w:jc w:val="left"/>
              <w:rPr>
                <w:sz w:val="4"/>
                <w:szCs w:val="4"/>
              </w:rPr>
            </w:pPr>
            <w:r>
              <w:rPr>
                <w:sz w:val="4"/>
                <w:szCs w:val="4"/>
              </w:rPr>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PLUS THERAPEUTICS, INC.</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w:t>
            </w:r>
          </w:p>
        </w:tc>
      </w:tr>
      <w:tr>
        <w:trPr/>
        <w:tc>
          <w:tcPr>
            <w:tcW w:w="1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 (Duly Authorized Officer and Principal Executive Officer)</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1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(Duly Authorized Officer and 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pstv-ex3_8.htm"/>
      <w:bookmarkStart w:id="22" w:name="kspstvex3_8"/>
      <w:bookmarkEnd w:id="21"/>
      <w:bookmarkEnd w:id="22"/>
      <w:r>
        <w:rPr>
          <w:rFonts w:ascii="Times New Roman" w:hAnsi="Times New Roman"/>
          <w:b/>
          <w:color w:val="000000"/>
          <w:sz w:val="20"/>
        </w:rPr>
        <w:t>EXHIBIT 3.8</w:t>
      </w:r>
      <w:r>
        <w:br w:type="page"/>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spacing w:before="0" w:after="120"/>
        <w:jc w:val="center"/>
        <w:rPr>
          <w:rFonts w:ascii="Times New Roman" w:hAnsi="Times New Roman"/>
          <w:sz w:val="20"/>
        </w:rPr>
      </w:pPr>
      <w:r>
        <w:rPr>
          <w:rFonts w:ascii="Times New Roman" w:hAnsi="Times New Roman"/>
          <w:b/>
          <w:color w:val="000000"/>
          <w:sz w:val="20"/>
        </w:rPr>
        <w:t>OF AMENDED AND RESTATED CERTIFICATE OF INCORPORATION</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120"/>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Plus Therapeutics, Inc., a corporation organized and existing under and by virtue of the General Corporation Law of the State of Delaware, does hereby certify: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FIRST: The name of the corporation is Plus Therapeutics, Inc. (the “Corporation”).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SECOND: On July 25, 2025, the Board of Directors of the Corporation duly adopted resolutions approving the following amendment of the Amended and Restated Certificate of Incorporation, as amended (the “Certificate of Incorporation”), declaring said amendment to be advisable and providing for such consideration of such amendment at the Corporation’s 2025 annual meeting of the Corporation’s stockholders (the “2025 Annual Meeting”).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THIRD: On August 7, 2025, the 2025 Annual Meeting was duly called and held, upon notice in accordance with Section 222 of the General Corporation Law of the State of Delaware, at which meeting the necessary number of shares as required by statute were voted in favor of the amendment.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FOURTH: On March 20, 2026, the Board of Directors of the Corporation duly adopted resolutions approving the following amendment of the Certificate of Incorporation.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FIFTH: Article IV.A of the Certificate of Incorporation, of the Corporation be hereby amended and restated to read in its entirety as follows:</w:t>
      </w:r>
    </w:p>
    <w:p>
      <w:pPr>
        <w:pStyle w:val="TextBody"/>
        <w:bidi w:val="0"/>
        <w:spacing w:before="0" w:after="120"/>
        <w:jc w:val="both"/>
        <w:rPr>
          <w:color w:val="000000"/>
        </w:rPr>
      </w:pPr>
      <w:r>
        <w:rPr>
          <w:color w:val="000000"/>
        </w:rPr>
        <w:t>“</w:t>
      </w:r>
      <w:r>
        <w:rPr>
          <w:rFonts w:ascii="Times New Roman" w:hAnsi="Times New Roman"/>
          <w:color w:val="000000"/>
          <w:sz w:val="20"/>
        </w:rPr>
        <w:t>(a) Authorized Shares. The total number of shares of stock which the Corporation shall have authority to issue is 205,000,000 shares, consisting of 200,000,000 shares of Common Stock, par value $0.001 per share (“Common Stock”) and 5,000,000 shares of Preferred Stock, par value $0.001 per share (“Preferred Stock”). At 12:01 a.m. Eastern Standard Time on April 2, 2026 (the “Effective Time”), each twenty-five (25) whole number of shares, as determined by the Board, of Common Stock issued and outstanding at such time shall, automatically and without any further action on the part of the Corporation or the holder thereof, be combined into one (1) validly issued, fully paid and non-assessable share of Common Stock (the “Reverse Stock Split”). The par value of the Common Stock following the Reverse Stock Split shall remain $0.001 per share. No fractional shares shall be issued, and, in lieu thereof, the Corporation shall pay cash equal to such fraction multiplied by the fair market value of a share of Common Stock, as determined by the Board of Directors.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SIXTH: This amendment to the Corporation’s Certificate of Incorporation was duly adopted in accordance with the provisions of Section 242 of the General Corporation Law of the State of Delaware and shall be effective on and as of the date of filing of this Certificate of Amendment with the Secretary of State of the State of Delaware. </w:t>
      </w:r>
    </w:p>
    <w:p>
      <w:pPr>
        <w:pStyle w:val="TextBody"/>
        <w:bidi w:val="0"/>
        <w:spacing w:before="0" w:after="120"/>
        <w:jc w:val="both"/>
        <w:rPr>
          <w:rFonts w:ascii="Times New Roman" w:hAnsi="Times New Roman"/>
          <w:sz w:val="20"/>
        </w:rPr>
      </w:pPr>
      <w:r>
        <w:rPr>
          <w:rFonts w:ascii="Times New Roman" w:hAnsi="Times New Roman"/>
          <w:color w:val="000000"/>
          <w:sz w:val="20"/>
        </w:rPr>
        <w:t>IN WITNESS WHEREOF, Plus Therapeutics, Inc. has caused this Certificate of Amendment to be signed by the undersigned, thereunto duly appointed, this 2</w:t>
      </w:r>
      <w:r>
        <w:rPr>
          <w:rFonts w:ascii="Times New Roman" w:hAnsi="Times New Roman"/>
          <w:color w:val="000000"/>
          <w:sz w:val="13"/>
        </w:rPr>
        <w:t>nd</w:t>
      </w:r>
      <w:r>
        <w:rPr>
          <w:rFonts w:ascii="Times New Roman" w:hAnsi="Times New Roman"/>
          <w:color w:val="000000"/>
          <w:sz w:val="20"/>
        </w:rPr>
        <w:t xml:space="preserve"> day of April, 2026.</w:t>
      </w:r>
    </w:p>
    <w:p>
      <w:pPr>
        <w:pStyle w:val="TextBody"/>
        <w:bidi w:val="0"/>
        <w:spacing w:before="0" w:after="120"/>
        <w:jc w:val="both"/>
        <w:rPr/>
      </w:pPr>
      <w:r>
        <w:rPr/>
        <w:t> </w:t>
      </w:r>
    </w:p>
    <w:tbl>
      <w:tblPr>
        <w:tblW w:w="3021" w:type="dxa"/>
        <w:jc w:val="left"/>
        <w:tblInd w:w="0" w:type="dxa"/>
        <w:tblLayout w:type="fixed"/>
        <w:tblCellMar>
          <w:top w:w="28" w:type="dxa"/>
          <w:left w:w="28" w:type="dxa"/>
          <w:bottom w:w="28" w:type="dxa"/>
          <w:right w:w="28" w:type="dxa"/>
        </w:tblCellMar>
      </w:tblPr>
      <w:tblGrid>
        <w:gridCol w:w="124"/>
        <w:gridCol w:w="67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PLUS THERAPEUTICS,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Marc H. Hedrick, M.D.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Name: </w:t>
            </w:r>
          </w:p>
        </w:tc>
        <w:tc>
          <w:tcPr>
            <w:tcW w:w="22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Marc H. Hedrick, M.D.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Title:</w:t>
            </w:r>
          </w:p>
        </w:tc>
        <w:tc>
          <w:tcPr>
            <w:tcW w:w="22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pstv-ex3_9.htm"/>
      <w:bookmarkStart w:id="24" w:name="kspstvex3_9"/>
      <w:bookmarkEnd w:id="23"/>
      <w:bookmarkEnd w:id="24"/>
      <w:r>
        <w:rPr>
          <w:rFonts w:ascii="Times New Roman" w:hAnsi="Times New Roman"/>
          <w:b/>
          <w:color w:val="000000"/>
          <w:sz w:val="20"/>
        </w:rPr>
        <w:t>EXHIBIT 3.9</w:t>
      </w:r>
      <w:r>
        <w:br w:type="page"/>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STATE OF DELAWARE</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CERTIFICATE OF CORRECTION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2"/>
        </w:rPr>
        <w:t>, a corporation organized and existing under and by virtue of the General Corporation Law of the State of Delaware (the “Corporation”),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DOES HEREBY CERTIFY</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The name of the Corporation is Plus Therapeutics, Inc.</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That a Certificate of Amendment to the Amended and Restated Certificate of Incorporation of the Corporation was filed with the Secretary of State of Delaware on April 1, 2026 and that Certificate of Amendment requires correction as permitted by Section 103(f) of the General Corporation Law of the State of Delaware.</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2"/>
        </w:rPr>
      </w:pPr>
      <w:r>
        <w:rPr>
          <w:rFonts w:ascii="Times New Roman" w:hAnsi="Times New Roman"/>
          <w:color w:val="000000"/>
          <w:sz w:val="22"/>
        </w:rPr>
        <w:t>The inaccuracy or defect of said Certificate of Amendment is that Article FIFTH thereof, due to a clerical error, does not state the correct number of total authorized shares of stock or the correct number of authorized shares of common stock.</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22"/>
        </w:rPr>
      </w:pPr>
      <w:r>
        <w:rPr>
          <w:rFonts w:ascii="Times New Roman" w:hAnsi="Times New Roman"/>
          <w:color w:val="000000"/>
          <w:sz w:val="22"/>
        </w:rPr>
        <w:t>The first sentence of Article FIFTH of the Certificate of Amendment is corrected to read in its entirety as follows:</w:t>
      </w:r>
    </w:p>
    <w:p>
      <w:pPr>
        <w:pStyle w:val="TextBody"/>
        <w:bidi w:val="0"/>
        <w:jc w:val="left"/>
        <w:rPr/>
      </w:pPr>
      <w:r>
        <w:rPr/>
        <w:t> </w:t>
      </w:r>
    </w:p>
    <w:p>
      <w:pPr>
        <w:pStyle w:val="TextBody"/>
        <w:bidi w:val="0"/>
        <w:jc w:val="both"/>
        <w:rPr>
          <w:color w:val="000000"/>
        </w:rPr>
      </w:pPr>
      <w:r>
        <w:rPr>
          <w:color w:val="000000"/>
        </w:rPr>
        <w:t>“</w:t>
      </w:r>
      <w:r>
        <w:rPr>
          <w:rFonts w:ascii="Times New Roman" w:hAnsi="Times New Roman"/>
          <w:color w:val="000000"/>
          <w:sz w:val="22"/>
        </w:rPr>
        <w:t>FIFTH: Article IV.A of the Certificate of Incorporation of the Corporation be hereby amended and restated to read in its entirety as follows:</w:t>
      </w:r>
    </w:p>
    <w:p>
      <w:pPr>
        <w:pStyle w:val="TextBody"/>
        <w:bidi w:val="0"/>
        <w:jc w:val="left"/>
        <w:rPr/>
      </w:pPr>
      <w:r>
        <w:rPr/>
        <w:t> </w:t>
      </w:r>
    </w:p>
    <w:p>
      <w:pPr>
        <w:pStyle w:val="TextBody"/>
        <w:bidi w:val="0"/>
        <w:jc w:val="both"/>
        <w:rPr>
          <w:color w:val="000000"/>
        </w:rPr>
      </w:pPr>
      <w:r>
        <w:rPr>
          <w:color w:val="000000"/>
        </w:rPr>
        <w:t>“</w:t>
      </w:r>
      <w:r>
        <w:rPr>
          <w:rFonts w:ascii="Times New Roman" w:hAnsi="Times New Roman"/>
          <w:color w:val="000000"/>
          <w:sz w:val="22"/>
        </w:rPr>
        <w:t>(a) Authorized Shares. The total number of shares of stock which the Corporation shall have authority to issue is 2,005,000,000 shares, consisting of 2,000,000,000 shares of Common Stock, par value $0.001 per share (“Common Stock”) and 5,000,000 shares of Preferred Stock, par value $0.001 per share (“Preferred Stock”). At 12:01 a.m. Eastern Standard Time on April 2, 2026 (the “Effective Time”), each twenty-five (25) whole number of shares, as determined by the Board, of Common Stock issued and outstanding at such time shall, automatically and without any further action on the part of the Corporation or the holder thereof, be combined into one (1) validly issued, fully paid and non-assessable share of Common Stock (the “Reverse Stock Split”). The par value of the Common Stock following the Reverse Stock Split shall remain $0.001 per share. No fractional shares shall be issued, and, in lieu thereof, the Corporation shall pay cash equal to such fraction multiplied by the fair market value of a share of Common Stock, as determined by the Board of Directors.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Corporation has caused this Certificate of Correction to be executed by its duly authorized officer this 12</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May, 2026.</w:t>
      </w:r>
    </w:p>
    <w:tbl>
      <w:tblPr>
        <w:tblW w:w="3392" w:type="dxa"/>
        <w:jc w:val="left"/>
        <w:tblInd w:w="0" w:type="dxa"/>
        <w:tblLayout w:type="fixed"/>
        <w:tblCellMar>
          <w:top w:w="28" w:type="dxa"/>
          <w:left w:w="28" w:type="dxa"/>
          <w:bottom w:w="28" w:type="dxa"/>
          <w:right w:w="28" w:type="dxa"/>
        </w:tblCellMar>
      </w:tblPr>
      <w:tblGrid>
        <w:gridCol w:w="796"/>
        <w:gridCol w:w="2596"/>
      </w:tblGrid>
      <w:tr>
        <w:trPr/>
        <w:tc>
          <w:tcPr>
            <w:tcW w:w="79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33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PPLUS THERAPEUTICS, INC.</w:t>
            </w:r>
          </w:p>
        </w:tc>
      </w:tr>
      <w:tr>
        <w:trPr/>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59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/s/ Marc H. Hedrick, M.D.</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Marc H. Hedrick, M.D.</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r>
    </w:tbl>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pstv-ex3_13.htm"/>
      <w:bookmarkStart w:id="26" w:name="kspstvex3_13"/>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3.13</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2020 STOCK INCENTIVE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1) ESTABLISHMENT AND PURPOSE.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was adopted by the Board of Directors on April 30, 2020 and approved by the Company’s stockholders on June 16, 2020. The Plan was amended and restated by the Board of Directors on March 22, 2021, subject to approval of the Company’s stockholders, which approval occurred on May 17, 2021. The Plan was further amended and restated by the Board of Directors on March 28, 2022, subject to approval of the Company’s stockholders, which approval was obtained on May 16, 2022. The Plan was further amended and restated by the Board of Directors on February 24, 2023, subject to approval of the Company’s stockholders, which approval was obtained on April 20, 2023. The Plan was further amended and restated by the Board of Directors on July 8, 2024, subject to approval of the Company’s stockholders, which approval was obtained on August 15, 2024. The Plan was further amended and restated by the Board of Directors on July 17, 2025, subject to approval of the Company’s stockholders. The Plan was further amended and restated by the Board of Directors on March 31, 2026, subject to approval of the Company’s stockholders. The Plan was initially effective upon approval by the stockholders of the Company on the Effective Date. The Plan is a successor to the 2014 Equity Incentive Plan of Plus Therapeutics, Inc. (the “Predecessor Plan”). From and after 12:01 a.m. Central time on the Effective Date, no additional stock awards will be granted under the Predecessor Plan. All Awards granted on or after the Effective Date will be granted under the Plan as in effect on the date of grant of each Award. All stock awards granted under the Predecessor Plan will remain subject to the terms of the Predecessor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Shares that would otherwise remain available for future grants under the Predecessor Plan as of 12:01 a.m. Central Time on the Effective Date (the “Predecessor Plan’s Available Reserve”) will cease to be available under the Predecessor Plan at such time. Instead, that number of Shares equal to the Predecessor Plan’s Available Reserve will be added to the Absolute Share Limit (as further described in Section 5(a) below) and be then immediately available for grants and issuance pursuant to Awards hereunder, up to the maximum number set forth in Section 5(a)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from and after 12:01 a.m. Central time on the Effective Date, with respect to the aggregate number of Shares subject, at such time, to outstanding stock options and stock awards granted under the Predecessor Plan that (A) expire or terminate for any reason prior to exercise or settlement or (B) are forfeited because of the failure to meet a contingency or condition required to vest such Shares or otherwise return to the Company (such Shares the “Predecessor Plan Returning Shares”) will immediately be added to the Absolute Share Limit (as further described in Section 5(a) below) as and when such a Share becomes a Predecessor Plan Returning Share, up to the maximum number set forth in Section 5(a) below. For the avoidance of doubt, Predecessor Plan Returning Shares will not include any Shares subject to outstanding stock options or stock awards granted under the Predecessor Plan that are reacquired, withheld (or not issued) to satisfy (1) a tax withholding obligation in connection with an award or (2) the purchase price or exercise price of an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purpose of the Plan is to promote the long-term success of the Company and the creation of stockholder value by (i) encouraging Employees, Outside Directors and Consultants to focus on critical long-range objectives, (ii) encouraging the attraction and retention of Employees, Outside Directors and Consultants with exceptional qualifications and (iii) linking Employees, Outside Directors and Consultants directly to stockholder interests through increased stock ownership.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2) DEFINITIONS</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color w:val="000000"/>
        </w:rPr>
        <w:t>“</w:t>
      </w:r>
      <w:r>
        <w:rPr>
          <w:rFonts w:ascii="Times New Roman" w:hAnsi="Times New Roman"/>
          <w:i/>
          <w:color w:val="000000"/>
          <w:sz w:val="20"/>
        </w:rPr>
        <w:t>Affiliate”</w:t>
      </w:r>
      <w:r>
        <w:rPr>
          <w:color w:val="000000"/>
        </w:rPr>
        <w:t xml:space="preserve"> </w:t>
      </w:r>
      <w:r>
        <w:rPr>
          <w:rFonts w:ascii="Times New Roman" w:hAnsi="Times New Roman"/>
          <w:color w:val="000000"/>
          <w:sz w:val="20"/>
        </w:rPr>
        <w:t>shall mean any entity other than a Subsidiary, if the Company and/or one or more Subsidiaries own not less than 50% of such entity.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color w:val="000000"/>
        </w:rPr>
        <w:t>“</w:t>
      </w:r>
      <w:r>
        <w:rPr>
          <w:rFonts w:ascii="Times New Roman" w:hAnsi="Times New Roman"/>
          <w:i/>
          <w:color w:val="000000"/>
          <w:sz w:val="20"/>
        </w:rPr>
        <w:t>Award”</w:t>
      </w:r>
      <w:r>
        <w:rPr>
          <w:color w:val="000000"/>
        </w:rPr>
        <w:t xml:space="preserve"> </w:t>
      </w:r>
      <w:r>
        <w:rPr>
          <w:rFonts w:ascii="Times New Roman" w:hAnsi="Times New Roman"/>
          <w:color w:val="000000"/>
          <w:sz w:val="20"/>
        </w:rPr>
        <w:t xml:space="preserve">shall mean any award of an Option, a SAR, a Restricted Share or a Stock Unit under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color w:val="000000"/>
        </w:rPr>
        <w:t>“</w:t>
      </w:r>
      <w:r>
        <w:rPr>
          <w:rFonts w:ascii="Times New Roman" w:hAnsi="Times New Roman"/>
          <w:i/>
          <w:color w:val="000000"/>
          <w:sz w:val="20"/>
        </w:rPr>
        <w:t>Award Agreement”</w:t>
      </w:r>
      <w:r>
        <w:rPr>
          <w:color w:val="000000"/>
        </w:rPr>
        <w:t xml:space="preserve"> </w:t>
      </w:r>
      <w:r>
        <w:rPr>
          <w:rFonts w:ascii="Times New Roman" w:hAnsi="Times New Roman"/>
          <w:color w:val="000000"/>
          <w:sz w:val="20"/>
        </w:rPr>
        <w:t xml:space="preserve">shall mean a Stock Option Agreement, SAR Agreement, Restricted Share Agreement or Stock Unit Agreement, as applicable.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color w:val="000000"/>
        </w:rPr>
        <w:t>“</w:t>
      </w:r>
      <w:r>
        <w:rPr>
          <w:rFonts w:ascii="Times New Roman" w:hAnsi="Times New Roman"/>
          <w:i/>
          <w:color w:val="000000"/>
          <w:sz w:val="20"/>
        </w:rPr>
        <w:t>Board of Directors” or “Board”</w:t>
      </w:r>
      <w:r>
        <w:rPr>
          <w:color w:val="000000"/>
        </w:rPr>
        <w:t xml:space="preserve"> </w:t>
      </w:r>
      <w:r>
        <w:rPr>
          <w:rFonts w:ascii="Times New Roman" w:hAnsi="Times New Roman"/>
          <w:color w:val="000000"/>
          <w:sz w:val="20"/>
        </w:rPr>
        <w:t xml:space="preserve">shall mean the Board of Directors of the Company, as constituted from time to time.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color w:val="000000"/>
        </w:rPr>
        <w:t>“</w:t>
      </w:r>
      <w:r>
        <w:rPr>
          <w:rFonts w:ascii="Times New Roman" w:hAnsi="Times New Roman"/>
          <w:i/>
          <w:color w:val="000000"/>
          <w:sz w:val="20"/>
        </w:rPr>
        <w:t>Cause”</w:t>
      </w:r>
      <w:r>
        <w:rPr>
          <w:color w:val="000000"/>
        </w:rPr>
        <w:t xml:space="preserve"> </w:t>
      </w:r>
      <w:r>
        <w:rPr>
          <w:rFonts w:ascii="Times New Roman" w:hAnsi="Times New Roman"/>
          <w:color w:val="000000"/>
          <w:sz w:val="20"/>
        </w:rPr>
        <w:t xml:space="preserve">shall mean, unless such term or an equivalent term is otherwise defined by the applicable Award Agreement or other written agreement between a Participant and the Company, a Subsidiary or an Affiliate applicable to an Award, any of the following: (i) the Participant’s theft, dishonesty, willful misconduct, breach of fiduciary duty for personal profit, or falsification of any documents or records of the Company, a Subsidiary or any Affiliate; (ii) the Participant’s material failure to abide by a code of conduct or other policies of the Company, a Subsidiary or an Affiliate (including, without limitation, policies relating to confidentiality and reasonable workplace conduct); (iii) the Participant’s unauthorized use, misappropriation, destruction or diversion of any tangible or intangible asset or corporate opportunity of the Company, a Subsidiary or an Affiliate (including, without limitation, the Participant’s improper use or disclosure of confidential or proprietary information of the Company, a Subsidiary or an Affiliate); (iv) any intentional act by the Participant which has a material detrimental effect on the reputation or business of a Company, a Subsidiary or an Affiliate; (v) the Participant’s repeated failure or inability to perform any reasonable assigned duties after written notice from the Company, a Subsidiary or an Affiliate of, and a reasonable opportunity to cure, such failure or inability; (vi) any material breach by the Participant of any employment, service, non-disclosure, non-competition, non-solicitation or other similar agreement between the Participant and the Company, a Subsidiary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a Subsidiary or an Affiliate.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color w:val="000000"/>
        </w:rPr>
        <w:t>“</w:t>
      </w:r>
      <w:r>
        <w:rPr>
          <w:rFonts w:ascii="Times New Roman" w:hAnsi="Times New Roman"/>
          <w:i/>
          <w:color w:val="000000"/>
          <w:sz w:val="20"/>
        </w:rPr>
        <w:t>Change in Control”.</w:t>
      </w:r>
      <w:r>
        <w:rPr>
          <w:color w:val="000000"/>
        </w:rPr>
        <w:t xml:space="preserve"> </w:t>
      </w:r>
      <w:r>
        <w:rPr>
          <w:rFonts w:ascii="Times New Roman" w:hAnsi="Times New Roman"/>
          <w:color w:val="000000"/>
          <w:sz w:val="20"/>
        </w:rPr>
        <w:t xml:space="preserve">shall mean the occurrence of any of the following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composition of the Board of Directors occurs, as a result of which fewer than one-half of the incumbent directors are directors who either: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Had been directors of the Company on the “look-back date” (as defined below) (the “original directors”);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transfer or other disposition of all or substantially all of the Company’s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subsection 2(f)(i) above, the term “look-back” date shall mean the date 24 months prior to the date of the event that may constitute a Change in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subsection 2(f)(iii) above, the term “person” shall have the same meaning as when used in Sections 13(d) and 14(d) of the Exchange Act but shall exclude (A) a trustee or other fiduciary holding securities under an employee benefit plan maintained by the Company or a Parent or Subsidiary and (B) a corporation owned directly or indirectly by the stockholders of the Company in substantially the same proportions as their ownership of the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other provision of this Section 2(f)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for the offering of securities or debt to the public.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color w:val="000000"/>
        </w:rPr>
        <w:t>“</w:t>
      </w:r>
      <w:r>
        <w:rPr>
          <w:rFonts w:ascii="Times New Roman" w:hAnsi="Times New Roman"/>
          <w:i/>
          <w:color w:val="000000"/>
          <w:sz w:val="20"/>
        </w:rPr>
        <w:t>Code”</w:t>
      </w:r>
      <w:r>
        <w:rPr>
          <w:color w:val="000000"/>
        </w:rPr>
        <w:t xml:space="preserve"> </w:t>
      </w:r>
      <w:r>
        <w:rPr>
          <w:rFonts w:ascii="Times New Roman" w:hAnsi="Times New Roman"/>
          <w:color w:val="000000"/>
          <w:sz w:val="20"/>
        </w:rPr>
        <w:t xml:space="preserve">shall mean the Internal Revenue Code of 1986, as amended.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20" w:after="283"/>
        <w:jc w:val="left"/>
        <w:rPr/>
      </w:pPr>
      <w:r>
        <w:rPr>
          <w:color w:val="000000"/>
        </w:rPr>
        <w:t>“</w:t>
      </w:r>
      <w:r>
        <w:rPr>
          <w:rFonts w:ascii="Times New Roman" w:hAnsi="Times New Roman"/>
          <w:i/>
          <w:color w:val="000000"/>
          <w:sz w:val="20"/>
        </w:rPr>
        <w:t>Committee”</w:t>
      </w:r>
      <w:r>
        <w:rPr>
          <w:color w:val="000000"/>
        </w:rPr>
        <w:t xml:space="preserve"> </w:t>
      </w:r>
      <w:r>
        <w:rPr>
          <w:rFonts w:ascii="Times New Roman" w:hAnsi="Times New Roman"/>
          <w:color w:val="000000"/>
          <w:sz w:val="20"/>
        </w:rPr>
        <w:t xml:space="preserve">shall mean the Compensation Committee as designated by the Board of Directors, which is authorized to administer the Plan, as described in Section 3 hereof.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pPr>
      <w:r>
        <w:rPr>
          <w:color w:val="000000"/>
        </w:rPr>
        <w:t>“</w:t>
      </w:r>
      <w:r>
        <w:rPr>
          <w:rFonts w:ascii="Times New Roman" w:hAnsi="Times New Roman"/>
          <w:i/>
          <w:color w:val="000000"/>
          <w:sz w:val="20"/>
        </w:rPr>
        <w:t>Company”</w:t>
      </w:r>
      <w:r>
        <w:rPr>
          <w:color w:val="000000"/>
        </w:rPr>
        <w:t xml:space="preserve"> </w:t>
      </w:r>
      <w:r>
        <w:rPr>
          <w:rFonts w:ascii="Times New Roman" w:hAnsi="Times New Roman"/>
          <w:color w:val="000000"/>
          <w:sz w:val="20"/>
        </w:rPr>
        <w:t xml:space="preserve">shall mean Plus Therapeutics, Inc., a Delaware corporation, or any successor corporation thereto.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w:t>
      </w:r>
    </w:p>
    <w:p>
      <w:pPr>
        <w:pStyle w:val="TextBody"/>
        <w:bidi w:val="0"/>
        <w:spacing w:before="120" w:after="283"/>
        <w:jc w:val="left"/>
        <w:rPr/>
      </w:pPr>
      <w:r>
        <w:rPr>
          <w:color w:val="000000"/>
        </w:rPr>
        <w:t>“</w:t>
      </w:r>
      <w:r>
        <w:rPr>
          <w:rFonts w:ascii="Times New Roman" w:hAnsi="Times New Roman"/>
          <w:i/>
          <w:color w:val="000000"/>
          <w:sz w:val="20"/>
        </w:rPr>
        <w:t>Consultant”</w:t>
      </w:r>
      <w:r>
        <w:rPr>
          <w:color w:val="000000"/>
        </w:rPr>
        <w:t xml:space="preserve"> </w:t>
      </w:r>
      <w:r>
        <w:rPr>
          <w:rFonts w:ascii="Times New Roman" w:hAnsi="Times New Roman"/>
          <w:color w:val="000000"/>
          <w:sz w:val="20"/>
        </w:rPr>
        <w:t xml:space="preserve">shall mean an individual who is a consultant or advisor and who provides bona fide services to the Company, a Parent, a Subsidiary or an Affiliate as an independent contractor (not including service as a member of the Board of Directors) or a member of the board of directors of a Parent or a Subsidiary, in each case who is not an Employee.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w:t>
      </w:r>
    </w:p>
    <w:p>
      <w:pPr>
        <w:pStyle w:val="TextBody"/>
        <w:bidi w:val="0"/>
        <w:spacing w:before="120" w:after="283"/>
        <w:jc w:val="left"/>
        <w:rPr/>
      </w:pPr>
      <w:r>
        <w:rPr>
          <w:color w:val="000000"/>
        </w:rPr>
        <w:t>“</w:t>
      </w:r>
      <w:r>
        <w:rPr>
          <w:rFonts w:ascii="Times New Roman" w:hAnsi="Times New Roman"/>
          <w:i/>
          <w:color w:val="000000"/>
          <w:sz w:val="20"/>
        </w:rPr>
        <w:t>Disability”</w:t>
      </w:r>
      <w:r>
        <w:rPr>
          <w:color w:val="000000"/>
        </w:rPr>
        <w:t xml:space="preserve"> </w:t>
      </w:r>
      <w:r>
        <w:rPr>
          <w:rFonts w:ascii="Times New Roman" w:hAnsi="Times New Roman"/>
          <w:color w:val="000000"/>
          <w:sz w:val="20"/>
        </w:rPr>
        <w:t xml:space="preserve">shall mean any permanent and total disability as defined by section 22(e)(3) of the Code.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w:t>
      </w:r>
    </w:p>
    <w:p>
      <w:pPr>
        <w:pStyle w:val="TextBody"/>
        <w:bidi w:val="0"/>
        <w:spacing w:before="120" w:after="283"/>
        <w:jc w:val="left"/>
        <w:rPr/>
      </w:pPr>
      <w:r>
        <w:rPr>
          <w:color w:val="000000"/>
        </w:rPr>
        <w:t>“</w:t>
      </w:r>
      <w:r>
        <w:rPr>
          <w:rFonts w:ascii="Times New Roman" w:hAnsi="Times New Roman"/>
          <w:i/>
          <w:color w:val="000000"/>
          <w:sz w:val="20"/>
        </w:rPr>
        <w:t>Effective Date”</w:t>
      </w:r>
      <w:r>
        <w:rPr>
          <w:color w:val="000000"/>
        </w:rPr>
        <w:t xml:space="preserve"> </w:t>
      </w:r>
      <w:r>
        <w:rPr>
          <w:rFonts w:ascii="Times New Roman" w:hAnsi="Times New Roman"/>
          <w:color w:val="000000"/>
          <w:sz w:val="20"/>
        </w:rPr>
        <w:t xml:space="preserve">shall mean the effective date of this Plan document, which is the date of the annual meeting of stockholders of the Company held in 2020.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w:t>
      </w:r>
    </w:p>
    <w:p>
      <w:pPr>
        <w:pStyle w:val="TextBody"/>
        <w:bidi w:val="0"/>
        <w:spacing w:before="120" w:after="283"/>
        <w:jc w:val="left"/>
        <w:rPr/>
      </w:pPr>
      <w:r>
        <w:rPr>
          <w:color w:val="000000"/>
        </w:rPr>
        <w:t>“</w:t>
      </w:r>
      <w:r>
        <w:rPr>
          <w:rFonts w:ascii="Times New Roman" w:hAnsi="Times New Roman"/>
          <w:i/>
          <w:color w:val="000000"/>
          <w:sz w:val="20"/>
        </w:rPr>
        <w:t>Employee”</w:t>
      </w:r>
      <w:r>
        <w:rPr>
          <w:color w:val="000000"/>
        </w:rPr>
        <w:t xml:space="preserve"> </w:t>
      </w:r>
      <w:r>
        <w:rPr>
          <w:rFonts w:ascii="Times New Roman" w:hAnsi="Times New Roman"/>
          <w:color w:val="000000"/>
          <w:sz w:val="20"/>
        </w:rPr>
        <w:t xml:space="preserve">shall mean any individual who is a common-law employee of the Company, a Parent, a Subsidiary or an Affiliate.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w:t>
      </w:r>
    </w:p>
    <w:p>
      <w:pPr>
        <w:pStyle w:val="TextBody"/>
        <w:bidi w:val="0"/>
        <w:spacing w:before="120" w:after="283"/>
        <w:jc w:val="left"/>
        <w:rPr/>
      </w:pPr>
      <w:r>
        <w:rPr>
          <w:color w:val="000000"/>
        </w:rPr>
        <w:t>“</w:t>
      </w:r>
      <w:r>
        <w:rPr>
          <w:rFonts w:ascii="Times New Roman" w:hAnsi="Times New Roman"/>
          <w:i/>
          <w:color w:val="000000"/>
          <w:sz w:val="20"/>
        </w:rPr>
        <w:t>Exchange Act”</w:t>
      </w:r>
      <w:r>
        <w:rPr>
          <w:color w:val="000000"/>
        </w:rPr>
        <w:t xml:space="preserve"> </w:t>
      </w:r>
      <w:r>
        <w:rPr>
          <w:rFonts w:ascii="Times New Roman" w:hAnsi="Times New Roman"/>
          <w:color w:val="000000"/>
          <w:sz w:val="20"/>
        </w:rPr>
        <w:t xml:space="preserve">shall mean the Securities Exchange Act of 1934, as amended, and the rules and regulations promulgated thereunder.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w:t>
      </w:r>
    </w:p>
    <w:p>
      <w:pPr>
        <w:pStyle w:val="TextBody"/>
        <w:bidi w:val="0"/>
        <w:spacing w:before="120" w:after="283"/>
        <w:jc w:val="left"/>
        <w:rPr/>
      </w:pPr>
      <w:r>
        <w:rPr>
          <w:color w:val="000000"/>
        </w:rPr>
        <w:t>“</w:t>
      </w:r>
      <w:r>
        <w:rPr>
          <w:rFonts w:ascii="Times New Roman" w:hAnsi="Times New Roman"/>
          <w:i/>
          <w:color w:val="000000"/>
          <w:sz w:val="20"/>
        </w:rPr>
        <w:t>Exercise Price”</w:t>
      </w:r>
      <w:r>
        <w:rPr>
          <w:color w:val="000000"/>
        </w:rPr>
        <w:t xml:space="preserve"> </w:t>
      </w:r>
      <w:r>
        <w:rPr>
          <w:rFonts w:ascii="Times New Roman" w:hAnsi="Times New Roman"/>
          <w:color w:val="000000"/>
          <w:sz w:val="20"/>
        </w:rPr>
        <w:t xml:space="preserve">shall mean, in the case of an Option, the amount for which one Share may be purchased upon exercise of such Option, as specified in the applicable Stock Option Agreement. “Exercise Price,” in the case of a SAR, shall mean an amount, as specified in the applicable SAR Agreement, which is subtracted from the Fair Market Value of one Share in determining the amount payable upon exercise of such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w:t>
      </w:r>
    </w:p>
    <w:p>
      <w:pPr>
        <w:pStyle w:val="TextBody"/>
        <w:bidi w:val="0"/>
        <w:spacing w:before="120" w:after="283"/>
        <w:jc w:val="left"/>
        <w:rPr/>
      </w:pPr>
      <w:r>
        <w:rPr>
          <w:color w:val="000000"/>
        </w:rPr>
        <w:t>“</w:t>
      </w:r>
      <w:r>
        <w:rPr>
          <w:rFonts w:ascii="Times New Roman" w:hAnsi="Times New Roman"/>
          <w:i/>
          <w:color w:val="000000"/>
          <w:sz w:val="20"/>
        </w:rPr>
        <w:t>Fair Market Value”</w:t>
      </w:r>
      <w:r>
        <w:rPr>
          <w:color w:val="000000"/>
        </w:rPr>
        <w:t xml:space="preserve"> </w:t>
      </w:r>
      <w:r>
        <w:rPr>
          <w:rFonts w:ascii="Times New Roman" w:hAnsi="Times New Roman"/>
          <w:color w:val="000000"/>
          <w:sz w:val="20"/>
        </w:rPr>
        <w:t xml:space="preserve">with respect to a Share, shall mean the market price of one Share, determined by the Committee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Stock was traded over-the-counter (“OTC”)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Sheets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Stock was traded on any established stock exchange (such as The Nasdaq Global Market, The Nasdaq Global Select Market or the New York Stock Exchange) or national market system on the date in question, then the Fair Market Value shall be equal to the closing price reported for such date by the applicable exchange or system;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none of the foregoing provisions is applicable, then the Fair Market Value shall be determined by the Committee in good faith on such basis as it deems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all cases, the determination of Fair Market Value by the Committee shall be conclusive and binding on all persons.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(q)</w:t>
      </w:r>
    </w:p>
    <w:p>
      <w:pPr>
        <w:pStyle w:val="TextBody"/>
        <w:bidi w:val="0"/>
        <w:spacing w:before="120" w:after="283"/>
        <w:jc w:val="left"/>
        <w:rPr/>
      </w:pPr>
      <w:r>
        <w:rPr>
          <w:color w:val="000000"/>
        </w:rPr>
        <w:t>“</w:t>
      </w:r>
      <w:r>
        <w:rPr>
          <w:rFonts w:ascii="Times New Roman" w:hAnsi="Times New Roman"/>
          <w:i/>
          <w:color w:val="000000"/>
          <w:sz w:val="20"/>
        </w:rPr>
        <w:t>ISO”</w:t>
      </w:r>
      <w:r>
        <w:rPr>
          <w:color w:val="000000"/>
        </w:rPr>
        <w:t xml:space="preserve"> </w:t>
      </w:r>
      <w:r>
        <w:rPr>
          <w:rFonts w:ascii="Times New Roman" w:hAnsi="Times New Roman"/>
          <w:color w:val="000000"/>
          <w:sz w:val="20"/>
        </w:rPr>
        <w:t xml:space="preserve">shall mean an employee incentive stock option described in Section 422 of the Code.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w:t>
      </w:r>
    </w:p>
    <w:p>
      <w:pPr>
        <w:pStyle w:val="TextBody"/>
        <w:bidi w:val="0"/>
        <w:spacing w:before="120" w:after="283"/>
        <w:jc w:val="left"/>
        <w:rPr/>
      </w:pPr>
      <w:r>
        <w:rPr>
          <w:color w:val="000000"/>
        </w:rPr>
        <w:t>“</w:t>
      </w:r>
      <w:r>
        <w:rPr>
          <w:rFonts w:ascii="Times New Roman" w:hAnsi="Times New Roman"/>
          <w:i/>
          <w:color w:val="000000"/>
          <w:sz w:val="20"/>
        </w:rPr>
        <w:t>Nonstatutory Option” or “NSO”</w:t>
      </w:r>
      <w:r>
        <w:rPr>
          <w:color w:val="000000"/>
        </w:rPr>
        <w:t xml:space="preserve"> </w:t>
      </w:r>
      <w:r>
        <w:rPr>
          <w:rFonts w:ascii="Times New Roman" w:hAnsi="Times New Roman"/>
          <w:color w:val="000000"/>
          <w:sz w:val="20"/>
        </w:rPr>
        <w:t xml:space="preserve">shall mean an employee stock option that is not an ISO.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w:t>
      </w:r>
    </w:p>
    <w:p>
      <w:pPr>
        <w:pStyle w:val="TextBody"/>
        <w:bidi w:val="0"/>
        <w:spacing w:before="120" w:after="283"/>
        <w:jc w:val="left"/>
        <w:rPr/>
      </w:pPr>
      <w:r>
        <w:rPr>
          <w:color w:val="000000"/>
        </w:rPr>
        <w:t>“</w:t>
      </w:r>
      <w:r>
        <w:rPr>
          <w:rFonts w:ascii="Times New Roman" w:hAnsi="Times New Roman"/>
          <w:i/>
          <w:color w:val="000000"/>
          <w:sz w:val="20"/>
        </w:rPr>
        <w:t>Offeree”</w:t>
      </w:r>
      <w:r>
        <w:rPr>
          <w:color w:val="000000"/>
        </w:rPr>
        <w:t xml:space="preserve"> </w:t>
      </w:r>
      <w:r>
        <w:rPr>
          <w:rFonts w:ascii="Times New Roman" w:hAnsi="Times New Roman"/>
          <w:color w:val="000000"/>
          <w:sz w:val="20"/>
        </w:rPr>
        <w:t xml:space="preserve">shall mean an individual to whom the Committee has offered the right to acquire Shares under the Plan (other than upon exercise of an Option or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w:t>
      </w:r>
    </w:p>
    <w:p>
      <w:pPr>
        <w:pStyle w:val="TextBody"/>
        <w:bidi w:val="0"/>
        <w:spacing w:before="120" w:after="283"/>
        <w:jc w:val="left"/>
        <w:rPr/>
      </w:pPr>
      <w:r>
        <w:rPr>
          <w:color w:val="000000"/>
        </w:rPr>
        <w:t>“</w:t>
      </w:r>
      <w:r>
        <w:rPr>
          <w:rFonts w:ascii="Times New Roman" w:hAnsi="Times New Roman"/>
          <w:i/>
          <w:color w:val="000000"/>
          <w:sz w:val="20"/>
        </w:rPr>
        <w:t>Option”</w:t>
      </w:r>
      <w:r>
        <w:rPr>
          <w:color w:val="000000"/>
        </w:rPr>
        <w:t xml:space="preserve"> </w:t>
      </w:r>
      <w:r>
        <w:rPr>
          <w:rFonts w:ascii="Times New Roman" w:hAnsi="Times New Roman"/>
          <w:color w:val="000000"/>
          <w:sz w:val="20"/>
        </w:rPr>
        <w:t xml:space="preserve">shall mean an ISO or Nonstatutory Option granted under the Plan and entitling the holder to purchase Shares.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w:t>
      </w:r>
    </w:p>
    <w:p>
      <w:pPr>
        <w:pStyle w:val="TextBody"/>
        <w:bidi w:val="0"/>
        <w:spacing w:before="120" w:after="283"/>
        <w:jc w:val="left"/>
        <w:rPr/>
      </w:pPr>
      <w:r>
        <w:rPr>
          <w:color w:val="000000"/>
        </w:rPr>
        <w:t>“</w:t>
      </w:r>
      <w:r>
        <w:rPr>
          <w:rFonts w:ascii="Times New Roman" w:hAnsi="Times New Roman"/>
          <w:i/>
          <w:color w:val="000000"/>
          <w:sz w:val="20"/>
        </w:rPr>
        <w:t>Optionee”</w:t>
      </w:r>
      <w:r>
        <w:rPr>
          <w:color w:val="000000"/>
        </w:rPr>
        <w:t xml:space="preserve"> </w:t>
      </w:r>
      <w:r>
        <w:rPr>
          <w:rFonts w:ascii="Times New Roman" w:hAnsi="Times New Roman"/>
          <w:color w:val="000000"/>
          <w:sz w:val="20"/>
        </w:rPr>
        <w:t xml:space="preserve">shall mean the holder of an Option or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w:t>
      </w:r>
    </w:p>
    <w:p>
      <w:pPr>
        <w:pStyle w:val="TextBody"/>
        <w:bidi w:val="0"/>
        <w:spacing w:before="120" w:after="283"/>
        <w:jc w:val="left"/>
        <w:rPr/>
      </w:pPr>
      <w:r>
        <w:rPr>
          <w:color w:val="000000"/>
        </w:rPr>
        <w:t>“</w:t>
      </w:r>
      <w:r>
        <w:rPr>
          <w:rFonts w:ascii="Times New Roman" w:hAnsi="Times New Roman"/>
          <w:i/>
          <w:color w:val="000000"/>
          <w:sz w:val="20"/>
        </w:rPr>
        <w:t>Outside Director”</w:t>
      </w:r>
      <w:r>
        <w:rPr>
          <w:color w:val="000000"/>
        </w:rPr>
        <w:t xml:space="preserve"> </w:t>
      </w:r>
      <w:r>
        <w:rPr>
          <w:rFonts w:ascii="Times New Roman" w:hAnsi="Times New Roman"/>
          <w:color w:val="000000"/>
          <w:sz w:val="20"/>
        </w:rPr>
        <w:t xml:space="preserve">shall mean a member of the Board of Directors who is not a common-law employee of, or paid consultant to, the Company, a Parent or a Subsidiary.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w:t>
      </w:r>
    </w:p>
    <w:p>
      <w:pPr>
        <w:pStyle w:val="TextBody"/>
        <w:bidi w:val="0"/>
        <w:spacing w:before="120" w:after="283"/>
        <w:jc w:val="left"/>
        <w:rPr/>
      </w:pPr>
      <w:r>
        <w:rPr>
          <w:color w:val="000000"/>
        </w:rPr>
        <w:t>“</w:t>
      </w:r>
      <w:r>
        <w:rPr>
          <w:rFonts w:ascii="Times New Roman" w:hAnsi="Times New Roman"/>
          <w:i/>
          <w:color w:val="000000"/>
          <w:sz w:val="20"/>
        </w:rPr>
        <w:t>Parent”</w:t>
      </w:r>
      <w:r>
        <w:rPr>
          <w:color w:val="000000"/>
        </w:rPr>
        <w:t xml:space="preserve"> </w:t>
      </w:r>
      <w:r>
        <w:rPr>
          <w:rFonts w:ascii="Times New Roman" w:hAnsi="Times New Roman"/>
          <w:color w:val="000000"/>
          <w:sz w:val="20"/>
        </w:rPr>
        <w:t xml:space="preserve">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(x)</w:t>
      </w:r>
    </w:p>
    <w:p>
      <w:pPr>
        <w:pStyle w:val="TextBody"/>
        <w:bidi w:val="0"/>
        <w:spacing w:before="120" w:after="283"/>
        <w:jc w:val="left"/>
        <w:rPr/>
      </w:pPr>
      <w:r>
        <w:rPr>
          <w:color w:val="000000"/>
        </w:rPr>
        <w:t>“</w:t>
      </w:r>
      <w:r>
        <w:rPr>
          <w:rFonts w:ascii="Times New Roman" w:hAnsi="Times New Roman"/>
          <w:i/>
          <w:color w:val="000000"/>
          <w:sz w:val="20"/>
        </w:rPr>
        <w:t>Participant”</w:t>
      </w:r>
      <w:r>
        <w:rPr>
          <w:color w:val="000000"/>
        </w:rPr>
        <w:t xml:space="preserve"> </w:t>
      </w:r>
      <w:r>
        <w:rPr>
          <w:rFonts w:ascii="Times New Roman" w:hAnsi="Times New Roman"/>
          <w:color w:val="000000"/>
          <w:sz w:val="20"/>
        </w:rPr>
        <w:t xml:space="preserve">shall mean the holder of an Award.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w:t>
      </w:r>
    </w:p>
    <w:p>
      <w:pPr>
        <w:pStyle w:val="TextBody"/>
        <w:bidi w:val="0"/>
        <w:spacing w:before="120" w:after="283"/>
        <w:jc w:val="left"/>
        <w:rPr/>
      </w:pPr>
      <w:r>
        <w:rPr>
          <w:color w:val="000000"/>
        </w:rPr>
        <w:t>“</w:t>
      </w:r>
      <w:r>
        <w:rPr>
          <w:rFonts w:ascii="Times New Roman" w:hAnsi="Times New Roman"/>
          <w:i/>
          <w:color w:val="000000"/>
          <w:sz w:val="20"/>
        </w:rPr>
        <w:t>Plan”</w:t>
      </w:r>
      <w:r>
        <w:rPr>
          <w:color w:val="000000"/>
        </w:rPr>
        <w:t xml:space="preserve"> </w:t>
      </w:r>
      <w:r>
        <w:rPr>
          <w:rFonts w:ascii="Times New Roman" w:hAnsi="Times New Roman"/>
          <w:color w:val="000000"/>
          <w:sz w:val="20"/>
        </w:rPr>
        <w:t xml:space="preserve">shall mean this 2020 Stock Incentive Plan of Plus Therapeutics, Inc., as amended from time to time.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(z)</w:t>
      </w:r>
    </w:p>
    <w:p>
      <w:pPr>
        <w:pStyle w:val="TextBody"/>
        <w:bidi w:val="0"/>
        <w:spacing w:before="120" w:after="283"/>
        <w:jc w:val="left"/>
        <w:rPr/>
      </w:pPr>
      <w:r>
        <w:rPr>
          <w:color w:val="000000"/>
        </w:rPr>
        <w:t>“</w:t>
      </w:r>
      <w:r>
        <w:rPr>
          <w:rFonts w:ascii="Times New Roman" w:hAnsi="Times New Roman"/>
          <w:i/>
          <w:color w:val="000000"/>
          <w:sz w:val="20"/>
        </w:rPr>
        <w:t>Purchase Price”</w:t>
      </w:r>
      <w:r>
        <w:rPr>
          <w:color w:val="000000"/>
        </w:rPr>
        <w:t xml:space="preserve"> </w:t>
      </w:r>
      <w:r>
        <w:rPr>
          <w:rFonts w:ascii="Times New Roman" w:hAnsi="Times New Roman"/>
          <w:color w:val="000000"/>
          <w:sz w:val="20"/>
        </w:rPr>
        <w:t xml:space="preserve">shall mean the consideration for which one Share may be acquired under the Plan (other than upon exercise of an Option or SAR), as specified by the Committee.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(aa)</w:t>
      </w:r>
    </w:p>
    <w:p>
      <w:pPr>
        <w:pStyle w:val="TextBody"/>
        <w:bidi w:val="0"/>
        <w:spacing w:before="120" w:after="283"/>
        <w:jc w:val="left"/>
        <w:rPr/>
      </w:pPr>
      <w:r>
        <w:rPr>
          <w:color w:val="000000"/>
        </w:rPr>
        <w:t>“</w:t>
      </w:r>
      <w:r>
        <w:rPr>
          <w:rFonts w:ascii="Times New Roman" w:hAnsi="Times New Roman"/>
          <w:i/>
          <w:color w:val="000000"/>
          <w:sz w:val="20"/>
        </w:rPr>
        <w:t>Restricted Share”</w:t>
      </w:r>
      <w:r>
        <w:rPr>
          <w:color w:val="000000"/>
        </w:rPr>
        <w:t xml:space="preserve"> </w:t>
      </w:r>
      <w:r>
        <w:rPr>
          <w:rFonts w:ascii="Times New Roman" w:hAnsi="Times New Roman"/>
          <w:color w:val="000000"/>
          <w:sz w:val="20"/>
        </w:rPr>
        <w:t xml:space="preserve">shall mean a Share awarded under the Plan.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(bb)</w:t>
      </w:r>
    </w:p>
    <w:p>
      <w:pPr>
        <w:pStyle w:val="TextBody"/>
        <w:bidi w:val="0"/>
        <w:spacing w:before="120" w:after="283"/>
        <w:jc w:val="left"/>
        <w:rPr/>
      </w:pPr>
      <w:r>
        <w:rPr>
          <w:color w:val="000000"/>
        </w:rPr>
        <w:t>“</w:t>
      </w:r>
      <w:r>
        <w:rPr>
          <w:rFonts w:ascii="Times New Roman" w:hAnsi="Times New Roman"/>
          <w:i/>
          <w:color w:val="000000"/>
          <w:sz w:val="20"/>
        </w:rPr>
        <w:t>Restricted Share Agreement”</w:t>
      </w:r>
      <w:r>
        <w:rPr>
          <w:color w:val="000000"/>
        </w:rPr>
        <w:t xml:space="preserve"> </w:t>
      </w:r>
      <w:r>
        <w:rPr>
          <w:rFonts w:ascii="Times New Roman" w:hAnsi="Times New Roman"/>
          <w:color w:val="000000"/>
          <w:sz w:val="20"/>
        </w:rPr>
        <w:t xml:space="preserve">shall mean the agreement between the Company and the recipient of a Restricted Share which contains the terms, conditions and restrictions pertaining to such Restricted Shares.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(cc)</w:t>
      </w:r>
    </w:p>
    <w:p>
      <w:pPr>
        <w:pStyle w:val="TextBody"/>
        <w:bidi w:val="0"/>
        <w:spacing w:before="120" w:after="283"/>
        <w:jc w:val="left"/>
        <w:rPr/>
      </w:pPr>
      <w:r>
        <w:rPr>
          <w:color w:val="000000"/>
        </w:rPr>
        <w:t>“</w:t>
      </w:r>
      <w:r>
        <w:rPr>
          <w:rFonts w:ascii="Times New Roman" w:hAnsi="Times New Roman"/>
          <w:i/>
          <w:color w:val="000000"/>
          <w:sz w:val="20"/>
        </w:rPr>
        <w:t>SAR”</w:t>
      </w:r>
      <w:r>
        <w:rPr>
          <w:color w:val="000000"/>
        </w:rPr>
        <w:t xml:space="preserve"> </w:t>
      </w:r>
      <w:r>
        <w:rPr>
          <w:rFonts w:ascii="Times New Roman" w:hAnsi="Times New Roman"/>
          <w:color w:val="000000"/>
          <w:sz w:val="20"/>
        </w:rPr>
        <w:t xml:space="preserve">shall mean a stock appreciation right granted under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(dd)</w:t>
      </w:r>
    </w:p>
    <w:p>
      <w:pPr>
        <w:pStyle w:val="TextBody"/>
        <w:bidi w:val="0"/>
        <w:spacing w:before="120" w:after="283"/>
        <w:jc w:val="left"/>
        <w:rPr/>
      </w:pPr>
      <w:r>
        <w:rPr>
          <w:color w:val="000000"/>
        </w:rPr>
        <w:t>“</w:t>
      </w:r>
      <w:r>
        <w:rPr>
          <w:rFonts w:ascii="Times New Roman" w:hAnsi="Times New Roman"/>
          <w:i/>
          <w:color w:val="000000"/>
          <w:sz w:val="20"/>
        </w:rPr>
        <w:t>SAR Agreement”</w:t>
      </w:r>
      <w:r>
        <w:rPr>
          <w:color w:val="000000"/>
        </w:rPr>
        <w:t xml:space="preserve"> </w:t>
      </w:r>
      <w:r>
        <w:rPr>
          <w:rFonts w:ascii="Times New Roman" w:hAnsi="Times New Roman"/>
          <w:color w:val="000000"/>
          <w:sz w:val="20"/>
        </w:rPr>
        <w:t xml:space="preserve">shall mean the agreement between the Company and an Optionee which contains the terms, conditions and restrictions pertaining to his or her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(ee)</w:t>
      </w:r>
    </w:p>
    <w:p>
      <w:pPr>
        <w:pStyle w:val="TextBody"/>
        <w:bidi w:val="0"/>
        <w:spacing w:before="120" w:after="283"/>
        <w:jc w:val="left"/>
        <w:rPr/>
      </w:pPr>
      <w:r>
        <w:rPr>
          <w:color w:val="000000"/>
        </w:rPr>
        <w:t>“</w:t>
      </w:r>
      <w:r>
        <w:rPr>
          <w:rFonts w:ascii="Times New Roman" w:hAnsi="Times New Roman"/>
          <w:i/>
          <w:color w:val="000000"/>
          <w:sz w:val="20"/>
        </w:rPr>
        <w:t>Service”</w:t>
      </w:r>
      <w:r>
        <w:rPr>
          <w:color w:val="000000"/>
        </w:rPr>
        <w:t xml:space="preserve"> </w:t>
      </w:r>
      <w:r>
        <w:rPr>
          <w:rFonts w:ascii="Times New Roman" w:hAnsi="Times New Roman"/>
          <w:color w:val="000000"/>
          <w:sz w:val="20"/>
        </w:rPr>
        <w:t xml:space="preserve">shall mean service as an Employee, Consultant or Outside Director, subject to such further limitations as may be set forth in the Plan or the applicable Stock Option Agreement, SAR Agreement, Restricted Share Agreement or Stock Unit Agreement, and as determined in the sole discretion of the Committee.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Service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count toward Service, and when Service terminates for all purposes under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(ff)</w:t>
      </w:r>
    </w:p>
    <w:p>
      <w:pPr>
        <w:pStyle w:val="TextBody"/>
        <w:bidi w:val="0"/>
        <w:spacing w:before="120" w:after="283"/>
        <w:jc w:val="left"/>
        <w:rPr/>
      </w:pPr>
      <w:r>
        <w:rPr>
          <w:color w:val="000000"/>
        </w:rPr>
        <w:t>“</w:t>
      </w:r>
      <w:r>
        <w:rPr>
          <w:rFonts w:ascii="Times New Roman" w:hAnsi="Times New Roman"/>
          <w:i/>
          <w:color w:val="000000"/>
          <w:sz w:val="20"/>
        </w:rPr>
        <w:t>Share”</w:t>
      </w:r>
      <w:r>
        <w:rPr>
          <w:color w:val="000000"/>
        </w:rPr>
        <w:t xml:space="preserve"> </w:t>
      </w:r>
      <w:r>
        <w:rPr>
          <w:rFonts w:ascii="Times New Roman" w:hAnsi="Times New Roman"/>
          <w:color w:val="000000"/>
          <w:sz w:val="20"/>
        </w:rPr>
        <w:t xml:space="preserve">shall mean one share of Stock, as adjusted in accordance with Section 11 (if applicable).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(gg)</w:t>
      </w:r>
    </w:p>
    <w:p>
      <w:pPr>
        <w:pStyle w:val="TextBody"/>
        <w:bidi w:val="0"/>
        <w:spacing w:before="120" w:after="283"/>
        <w:jc w:val="left"/>
        <w:rPr/>
      </w:pPr>
      <w:r>
        <w:rPr>
          <w:color w:val="000000"/>
        </w:rPr>
        <w:t>“</w:t>
      </w:r>
      <w:r>
        <w:rPr>
          <w:rFonts w:ascii="Times New Roman" w:hAnsi="Times New Roman"/>
          <w:i/>
          <w:color w:val="000000"/>
          <w:sz w:val="20"/>
        </w:rPr>
        <w:t>Stock”</w:t>
      </w:r>
      <w:r>
        <w:rPr>
          <w:color w:val="000000"/>
        </w:rPr>
        <w:t xml:space="preserve"> </w:t>
      </w:r>
      <w:r>
        <w:rPr>
          <w:rFonts w:ascii="Times New Roman" w:hAnsi="Times New Roman"/>
          <w:color w:val="000000"/>
          <w:sz w:val="20"/>
        </w:rPr>
        <w:t xml:space="preserve">shall mean the common stock of the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(hh)</w:t>
      </w:r>
    </w:p>
    <w:p>
      <w:pPr>
        <w:pStyle w:val="TextBody"/>
        <w:bidi w:val="0"/>
        <w:spacing w:before="120" w:after="283"/>
        <w:jc w:val="left"/>
        <w:rPr/>
      </w:pPr>
      <w:r>
        <w:rPr>
          <w:color w:val="000000"/>
        </w:rPr>
        <w:t>“</w:t>
      </w:r>
      <w:r>
        <w:rPr>
          <w:rFonts w:ascii="Times New Roman" w:hAnsi="Times New Roman"/>
          <w:i/>
          <w:color w:val="000000"/>
          <w:sz w:val="20"/>
        </w:rPr>
        <w:t>Stock Option Agreement”</w:t>
      </w:r>
      <w:r>
        <w:rPr>
          <w:color w:val="000000"/>
        </w:rPr>
        <w:t xml:space="preserve"> </w:t>
      </w:r>
      <w:r>
        <w:rPr>
          <w:rFonts w:ascii="Times New Roman" w:hAnsi="Times New Roman"/>
          <w:color w:val="000000"/>
          <w:sz w:val="20"/>
        </w:rPr>
        <w:t xml:space="preserve">shall mean the agreement between the Company and an Optionee that contains the terms, conditions and restrictions pertaining to such Option.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left"/>
        <w:rPr/>
      </w:pPr>
      <w:r>
        <w:rPr>
          <w:color w:val="000000"/>
        </w:rPr>
        <w:t>“</w:t>
      </w:r>
      <w:r>
        <w:rPr>
          <w:rFonts w:ascii="Times New Roman" w:hAnsi="Times New Roman"/>
          <w:i/>
          <w:color w:val="000000"/>
          <w:sz w:val="20"/>
        </w:rPr>
        <w:t>Stock Unit”</w:t>
      </w:r>
      <w:r>
        <w:rPr>
          <w:color w:val="000000"/>
        </w:rPr>
        <w:t xml:space="preserve"> </w:t>
      </w:r>
      <w:r>
        <w:rPr>
          <w:rFonts w:ascii="Times New Roman" w:hAnsi="Times New Roman"/>
          <w:color w:val="000000"/>
          <w:sz w:val="20"/>
        </w:rPr>
        <w:t xml:space="preserve">shall mean a bookkeeping entry representing the Company’s obligation to deliver one Share (or distribute cash) on a future date in accordance with the provisions of a Stock Unit Agreement.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(jj)</w:t>
      </w:r>
    </w:p>
    <w:p>
      <w:pPr>
        <w:pStyle w:val="TextBody"/>
        <w:bidi w:val="0"/>
        <w:spacing w:before="120" w:after="283"/>
        <w:jc w:val="left"/>
        <w:rPr/>
      </w:pPr>
      <w:r>
        <w:rPr>
          <w:color w:val="000000"/>
        </w:rPr>
        <w:t>“</w:t>
      </w:r>
      <w:r>
        <w:rPr>
          <w:rFonts w:ascii="Times New Roman" w:hAnsi="Times New Roman"/>
          <w:i/>
          <w:color w:val="000000"/>
          <w:sz w:val="20"/>
        </w:rPr>
        <w:t>Stock Unit Agreement”</w:t>
      </w:r>
      <w:r>
        <w:rPr>
          <w:color w:val="000000"/>
        </w:rPr>
        <w:t xml:space="preserve"> </w:t>
      </w:r>
      <w:r>
        <w:rPr>
          <w:rFonts w:ascii="Times New Roman" w:hAnsi="Times New Roman"/>
          <w:color w:val="000000"/>
          <w:sz w:val="20"/>
        </w:rPr>
        <w:t xml:space="preserve">shall mean the agreement between the Company and the recipient of a Stock Unit which contains the terms, conditions and restrictions pertaining to such Stock Unit.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(kk)</w:t>
      </w:r>
    </w:p>
    <w:p>
      <w:pPr>
        <w:pStyle w:val="TextBody"/>
        <w:bidi w:val="0"/>
        <w:spacing w:before="120" w:after="283"/>
        <w:jc w:val="left"/>
        <w:rPr/>
      </w:pPr>
      <w:r>
        <w:rPr>
          <w:color w:val="000000"/>
        </w:rPr>
        <w:t>“</w:t>
      </w:r>
      <w:r>
        <w:rPr>
          <w:rFonts w:ascii="Times New Roman" w:hAnsi="Times New Roman"/>
          <w:i/>
          <w:color w:val="000000"/>
          <w:sz w:val="20"/>
        </w:rPr>
        <w:t>Subsidiary”</w:t>
      </w:r>
      <w:r>
        <w:rPr>
          <w:color w:val="000000"/>
        </w:rPr>
        <w:t xml:space="preserve"> </w:t>
      </w:r>
      <w:r>
        <w:rPr>
          <w:rFonts w:ascii="Times New Roman" w:hAnsi="Times New Roman"/>
          <w:color w:val="000000"/>
          <w:sz w:val="20"/>
        </w:rPr>
        <w:t xml:space="preserve">shall mean any corporation, if the Company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3) ADMINISTRATION.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Committee Composition</w:t>
      </w:r>
      <w:r>
        <w:rPr>
          <w:rFonts w:ascii="Times New Roman" w:hAnsi="Times New Roman"/>
          <w:color w:val="000000"/>
          <w:sz w:val="20"/>
        </w:rPr>
        <w:t xml:space="preserve">. The Plan shall be administered by a Committee appointed by the Board of Directors, or by the Board of Directors acting as the Committee. The Committee shall consist of two or more directors of the Company. In addition, the composition of the Committee shall satisfy such requirements as the Securities and Exchange Commission may establish for administrators acting under plans intended to qualify for exemption under Rule 16b-3 (or its successor) under the Exchange Act.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Committee for Non-Officer Grants</w:t>
      </w:r>
      <w:r>
        <w:rPr>
          <w:rFonts w:ascii="Times New Roman" w:hAnsi="Times New Roman"/>
          <w:color w:val="000000"/>
          <w:sz w:val="20"/>
        </w:rPr>
        <w:t xml:space="preserve">. The Board of Directors may also appoint one or more separate committees of the Board, each composed of one or more 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grants. Within the limitations of the preceding sentence, any reference in the Plan to the Committee shall include such committee or committees appointed pursuant to the preceding sentence. To the extent permitted by applicable law,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award.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Committee Procedures</w:t>
      </w:r>
      <w:r>
        <w:rPr>
          <w:rFonts w:ascii="Times New Roman" w:hAnsi="Times New Roman"/>
          <w:color w:val="000000"/>
          <w:sz w:val="20"/>
        </w:rPr>
        <w:t xml:space="preserve">. The Board of Directors shall designate one of the members of the Committee as chairman. The Committee may hold meetings at such times and places as it shall determine. The acts of a majority of the Committee members present at meetings at which a quorum exists, or acts reduced to or approved in writing (including via email) by all Committee members, shall be valid acts of the Committee.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Committee Responsibilities</w:t>
      </w:r>
      <w:r>
        <w:rPr>
          <w:rFonts w:ascii="Times New Roman" w:hAnsi="Times New Roman"/>
          <w:color w:val="000000"/>
          <w:sz w:val="20"/>
        </w:rPr>
        <w:t xml:space="preserve">. Subject to the provisions of the Plan, the Committee shall have full authority and discretion to take the following 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interpret the Plan and to apply its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adopt, amend or rescind rules, procedures and forms relating to the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adopt, amend or terminate sub-plans established for the purpose of satisfying applicable foreign laws including qualifying for preferred tax treatment under applicable foreign tax laws;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authorize any person to execute, on behalf of the Company, any instrument required to carry out the purposes of the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when Awards are to be granted under the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select the Offerees, Optionees and Participants;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the type of Award and number of Shares or amount of cash to be made subject to each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amend any outstanding Award Agreement, subject to applicable legal restrictions and to the consent of the Participant if the Participant’s rights or obligations would be materially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prescribe the consideration for the grant of each Award or other right under the Plan and to determine the sufficiency of such consideration;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the disposition of each Award or other right under the Plan in the event of a Participant’s divorce or dissolution of marriage;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whether Awards under the Plan will be granted in replacement of other grants under an incentive or other compensation plan of an acquired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correct any defect, supply any omission, or reconcile any inconsistency in the Plan or any Award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establish or verify the extent of satisfaction of any performance goals or other conditions applicable to the grant, issuance, exercisability, vesting and/or ability to retain any Award;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take any other actions deemed necessary or advisable for the administration of the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Offerees, all Optionees, all Participants and all persons deriving their rights from an Offeree, Optionee or Participant. No member of the Committee shall be liable for any action that he has taken or has failed to take in good faith with respect to the Plan, any Award, or any right to acquire Shares under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Cancellation and Re-Grant of Stock Awards</w:t>
      </w:r>
      <w:r>
        <w:rPr>
          <w:rFonts w:ascii="Times New Roman" w:hAnsi="Times New Roman"/>
          <w:color w:val="000000"/>
          <w:sz w:val="20"/>
        </w:rPr>
        <w:t xml:space="preserve">. Notwithstanding any contrary provision of the Plan, neither the Committee nor its designees shall have the authority to: (i) amend the terms of outstanding Options or SARs to reduce the Exercise Price thereof, or (ii) cancel outstanding Options or SARs with an Exercise Price above the current Fair Market Value per Share in exchange for another Option or SAR with a lower exercise price or for another Award or for cash, unless the stockholders of the Company have previously approved such an action or such action relates to an adjustment pursuant to Section 11.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4) ELIGIBILITY.</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General Rule</w:t>
      </w:r>
      <w:r>
        <w:rPr>
          <w:rFonts w:ascii="Times New Roman" w:hAnsi="Times New Roman"/>
          <w:color w:val="000000"/>
          <w:sz w:val="20"/>
        </w:rPr>
        <w:t xml:space="preserve">. Only common-law employees of the Company, a Parent or a Subsidiary shall be eligible for the grant of ISOs. Only Employees, Consultants and Outside Directors shall be eligible for the grant of Restricted Shares, Stock Units, Nonstatutory Options or SARs.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Limit on Grants to Outside Directors</w:t>
      </w:r>
      <w:r>
        <w:rPr>
          <w:rFonts w:ascii="Times New Roman" w:hAnsi="Times New Roman"/>
          <w:color w:val="000000"/>
          <w:sz w:val="20"/>
        </w:rPr>
        <w:t xml:space="preserve">. Notwithstanding any other provision of the Plan to the contrary, the Board of Directors may establish compensation for Outside Directors from time to time, subject to the limitations in the Plan. The Board of Directors will from time to time determine the terms, conditions and amounts of all such Outside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of Topic 718, or any successor thereto) of Awards granted to Outside Directors as compensation for services as an Outside Director during any calendar year of the Company may not exceed $500,000 (increased to $700,000 in the calendar year of his or her initial service as an Outside Director).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Ten-Percent Stockholders</w:t>
      </w:r>
      <w:r>
        <w:rPr>
          <w:rFonts w:ascii="Times New Roman" w:hAnsi="Times New Roman"/>
          <w:color w:val="000000"/>
          <w:sz w:val="20"/>
        </w:rPr>
        <w:t xml:space="preserve">. An Employee who owns more than 10% of the total combined voting power of all classes of outstanding stock of the Company, a Parent or Subsidiary shall not be eligible for the grant of an ISO unless such grant satisfies the requirements of Section 422(c)(5) of the Code.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Attribution Rules</w:t>
      </w:r>
      <w:r>
        <w:rPr>
          <w:rFonts w:ascii="Times New Roman" w:hAnsi="Times New Roman"/>
          <w:color w:val="000000"/>
          <w:sz w:val="20"/>
        </w:rPr>
        <w:t xml:space="preserve">. For purposes of Section 4(c)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Outstanding Stock</w:t>
      </w:r>
      <w:r>
        <w:rPr>
          <w:rFonts w:ascii="Times New Roman" w:hAnsi="Times New Roman"/>
          <w:color w:val="000000"/>
          <w:sz w:val="20"/>
        </w:rPr>
        <w:t xml:space="preserve">. For purposes of Section 4(c) above, “outstanding stock” shall include all stock actually issued and outstanding immediately after the grant. “Outstanding stock” shall not include shares authorized for issuance under outstanding options held by the Employee or by any other person. </w:t>
      </w:r>
    </w:p>
    <w:p>
      <w:pPr>
        <w:pStyle w:val="TextBody"/>
        <w:bidi w:val="0"/>
        <w:spacing w:before="360" w:after="283"/>
        <w:jc w:val="left"/>
        <w:rPr>
          <w:rFonts w:ascii="Times New Roman" w:hAnsi="Times New Roman"/>
          <w:sz w:val="20"/>
        </w:rPr>
      </w:pPr>
      <w:r>
        <w:rPr>
          <w:rFonts w:ascii="Times New Roman" w:hAnsi="Times New Roman"/>
          <w:b/>
          <w:color w:val="000000"/>
          <w:sz w:val="20"/>
        </w:rPr>
        <w:t>5) STOCK SUBJECT TO PLAN.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Basic Limitation</w:t>
      </w:r>
      <w:r>
        <w:rPr>
          <w:rFonts w:ascii="Times New Roman" w:hAnsi="Times New Roman"/>
          <w:color w:val="000000"/>
          <w:sz w:val="20"/>
        </w:rPr>
        <w:t xml:space="preserve">. Shares offered under the Plan shall be authorized but unissued Shares or treasury Shares. Subject to this Section 5, the maximum aggregate number of Shares authorized for issuance as Awards under the Plan shall not exceed 39,803,334 Shares, which is the sum of (i) 36,667 Shares approved at the Company’s 2020 annual meeting of stockholders, </w:t>
      </w:r>
      <w:r>
        <w:rPr>
          <w:rFonts w:ascii="Times New Roman" w:hAnsi="Times New Roman"/>
          <w:i/>
          <w:color w:val="000000"/>
          <w:sz w:val="20"/>
        </w:rPr>
        <w:t>plus</w:t>
      </w:r>
      <w:r>
        <w:rPr>
          <w:rFonts w:ascii="Times New Roman" w:hAnsi="Times New Roman"/>
          <w:color w:val="000000"/>
          <w:sz w:val="20"/>
        </w:rPr>
        <w:t xml:space="preserve">(ii) 66,667 Shares approved at the Company’s 2021 annual meeting of stockholders,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(iii) 133,333 Shares approved at the Company’s 2022 annual meeting of stockholders,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(iv) 66,667 Shares approved at the Company’s 2023 annual meeting of stockholders, </w:t>
      </w:r>
      <w:r>
        <w:rPr>
          <w:rFonts w:ascii="Times New Roman" w:hAnsi="Times New Roman"/>
          <w:i/>
          <w:color w:val="000000"/>
          <w:sz w:val="20"/>
        </w:rPr>
        <w:t xml:space="preserve">plus </w:t>
      </w:r>
      <w:r>
        <w:rPr>
          <w:rFonts w:ascii="Times New Roman" w:hAnsi="Times New Roman"/>
          <w:color w:val="000000"/>
          <w:sz w:val="20"/>
        </w:rPr>
        <w:t xml:space="preserve">(v) 1,000,000 Shares approved at the Company’s 2024 annual meeting of stockholders, </w:t>
      </w:r>
      <w:r>
        <w:rPr>
          <w:rFonts w:ascii="Times New Roman" w:hAnsi="Times New Roman"/>
          <w:i/>
          <w:color w:val="000000"/>
          <w:sz w:val="20"/>
        </w:rPr>
        <w:t xml:space="preserve">plus </w:t>
      </w:r>
      <w:r>
        <w:rPr>
          <w:rFonts w:ascii="Times New Roman" w:hAnsi="Times New Roman"/>
          <w:color w:val="000000"/>
          <w:sz w:val="20"/>
        </w:rPr>
        <w:t xml:space="preserve">(vi) 20,000,000 Shares approved at the Company’s 2025 annual meeting of stockholders,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(vii) 18,500,000 Shares approved at the Company’s 2026 annual meeting of stockholders, </w:t>
      </w:r>
      <w:r>
        <w:rPr>
          <w:rFonts w:ascii="Times New Roman" w:hAnsi="Times New Roman"/>
          <w:i/>
          <w:color w:val="000000"/>
          <w:sz w:val="20"/>
        </w:rPr>
        <w:t xml:space="preserve">plus </w:t>
      </w:r>
      <w:r>
        <w:rPr>
          <w:rFonts w:ascii="Times New Roman" w:hAnsi="Times New Roman"/>
          <w:color w:val="000000"/>
          <w:sz w:val="20"/>
        </w:rPr>
        <w:t xml:space="preserve">(viii) the number of shares subject to the Predecessor Plan’s Available Reserve,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(ix) the number of shares that are Predecessor Plan Returning Shares, as such shares become available from time to time (the “Absolute Share Limit”). The number of Shares that may be delivered in the aggregate pursuant to the exercise of ISOs granted under the Plan shall not exceed 39,803,334 Shares plus, to the extent allowable under Section 422 of the Code and the Treasury Regulations promulgated thereunder, any Shares that become available for issuance under the Plan pursuant to Section 5(c). The limitations of this Section 5(a) shall be subject to adjustment pursuant to Section 11. The number of Shares that are subject to Options or other Awards outstanding at any time under the Plan shall not exceed the number of Shares which then remain available for issuance under the Plan. The Company shall at all times reserve and keep available sufficient Shares to satisfy the requirements of the Plan.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Evergreen Provision</w:t>
      </w:r>
      <w:r>
        <w:rPr>
          <w:rFonts w:ascii="Times New Roman" w:hAnsi="Times New Roman"/>
          <w:color w:val="000000"/>
          <w:sz w:val="20"/>
        </w:rPr>
        <w:t>. The maximum number of Shares authorized for issuance under Section 5(a) as Awards other than ISOs shall automatically increase on January 1st of each year for a period of nine (9) years, commencing on January 1, 2027 and ending on (and including) January 1, 2035, in an amount equal to five percent (5%) of the total number of shares of Stock outstanding on December 31st of the preceding calendar year. Notwithstanding the foregoing, prior to the first day of any calendar year, the Board may in its discretion determine that there shall be no increase in the Shares available for issuance for such calendar year or that the increase shall be a lesser number of Shares than otherwise provided.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Additional Shares</w:t>
      </w:r>
      <w:r>
        <w:rPr>
          <w:rFonts w:ascii="Times New Roman" w:hAnsi="Times New Roman"/>
          <w:color w:val="000000"/>
          <w:sz w:val="20"/>
        </w:rPr>
        <w:t>. If Restricted Shares are forfeited, then such Shares shall again become available for Awards under the Plan. If Stock Units, Options or SARs are forfeited or terminate for any reason before being exercised or settled, then the corresponding Shares shall again become available for Awards under the Plan. If Stock Units are settled, then only the number of Shares (if any) actually issued in settlement of such Stock Units shall reduce the number available in Section 5(a) and the balance shall again become available for Awards under the Plan. The full number of Options exercised shall be counted against the number of Shares available for Awards under the Plan, regardless of the number of Shares actually issued upon exercise of such Options. The full number of SARs settled shall be counted against the number of Shares available for Awards under the Plan, regardless of the number of Shares actually issued in settlement of such SARs. For the avoidance of doubt, any Shares withheld to satisfy the exercise price or tax withholding obligation pursuant to any Award shall not be added to the Shares available for Awards under the Plan. Notwithstanding the foregoing provisions of this Section 5(c), Shares that have actually been issued shall not again become available for Awards under the Plan, except for Restricted Shares that are forfeited and do not become vested.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 xml:space="preserve">Substitution and Assumption of Awards. </w:t>
      </w:r>
      <w:r>
        <w:rPr>
          <w:rFonts w:ascii="Times New Roman" w:hAnsi="Times New Roman"/>
          <w:color w:val="000000"/>
          <w:sz w:val="20"/>
        </w:rPr>
        <w:t xml:space="preserve">The Committee may make Awards under the Plan by assumption, substitution or replacement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Absolute Share Limit set forth in Section 5(a) (nor shall Shares subject to such Awards be added to the Shares available for Awards under the Plan as provided in Section 5(c) above), except that Shares acquired by exercise of substitute ISOs will count against the maximum number of Shares that may be issued pursuant to the exercise of ISOs under the Plan.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6) RESTRICTED SHARES.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Restricted Stock Agreement</w:t>
      </w:r>
      <w:r>
        <w:rPr>
          <w:rFonts w:ascii="Times New Roman" w:hAnsi="Times New Roman"/>
          <w:color w:val="000000"/>
          <w:sz w:val="20"/>
        </w:rPr>
        <w:t xml:space="preserve">. Each grant of Restricted Shares under the Plan shall be evidenced by a Restricted Stock Agreement between 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Payment for Awards</w:t>
      </w:r>
      <w:r>
        <w:rPr>
          <w:rFonts w:ascii="Times New Roman" w:hAnsi="Times New Roman"/>
          <w:color w:val="000000"/>
          <w:sz w:val="20"/>
        </w:rPr>
        <w:t xml:space="preserve">. Restricted Shares may be sold or awarded under the Plan for such consideration as the Committee may determine, including (without limitation) cash, cash equivalents, full-recourse promissory notes, past services and future services.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Vesting</w:t>
      </w:r>
      <w:r>
        <w:rPr>
          <w:rFonts w:ascii="Times New Roman" w:hAnsi="Times New Roman"/>
          <w:color w:val="000000"/>
          <w:sz w:val="20"/>
        </w:rPr>
        <w:t xml:space="preserve">. Each Award of Restricted Shares may or may not be subject to vesting. Vesting shall occur, in full or in installments, upon satisfaction of the conditions specified in the Restricted Stock Agreement. A Restricted Stock Agreement may provide for accelerated vesting in the event of the Participant’s death, Disability or retirement or other events.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Voting and Dividend Rights</w:t>
      </w:r>
      <w:r>
        <w:rPr>
          <w:rFonts w:ascii="Times New Roman" w:hAnsi="Times New Roman"/>
          <w:color w:val="000000"/>
          <w:sz w:val="20"/>
        </w:rPr>
        <w:t xml:space="preserve">. The holders of Restricted Shares awarded under the Plan shall have the same voting, dividend and other rights as the Company’s other stockholders. Holders of Restricted Shares must invest any cash dividends received in additional Restricted Shares. Such additional Restricted Shares shall be subject to the same conditions and restrictions (including without limitation, any forfeiture conditions) as the Award with respect to which the dividends were paid.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Restrictions on Transfer of Shares</w:t>
      </w:r>
      <w:r>
        <w:rPr>
          <w:rFonts w:ascii="Times New Roman" w:hAnsi="Times New Roman"/>
          <w:color w:val="000000"/>
          <w:sz w:val="20"/>
        </w:rPr>
        <w:t xml:space="preserve">. Restricted Shares shall be subject to such rights of repurchase, rights of first refusal or other restrictions as the Committee may determine. Such restrictions shall be set forth in the applicable Restricted Stock Agreement and shall apply in addition to any general restrictions that may apply to all holders of Shares. </w:t>
      </w:r>
    </w:p>
    <w:p>
      <w:pPr>
        <w:pStyle w:val="TextBody"/>
        <w:bidi w:val="0"/>
        <w:spacing w:before="360" w:after="283"/>
        <w:jc w:val="left"/>
        <w:rPr>
          <w:rFonts w:ascii="Times New Roman" w:hAnsi="Times New Roman"/>
          <w:sz w:val="20"/>
        </w:rPr>
      </w:pPr>
      <w:r>
        <w:rPr>
          <w:rFonts w:ascii="Times New Roman" w:hAnsi="Times New Roman"/>
          <w:b/>
          <w:color w:val="000000"/>
          <w:sz w:val="20"/>
        </w:rPr>
        <w:t>7) TERMS AND CONDITIONS OF OPTIONS.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Stock Option Agreement</w:t>
      </w:r>
      <w:r>
        <w:rPr>
          <w:rFonts w:ascii="Times New Roman" w:hAnsi="Times New Roman"/>
          <w:color w:val="000000"/>
          <w:sz w:val="20"/>
        </w:rPr>
        <w:t xml:space="preserve">. Each grant of an Option under the Plan shall be evidenced by a Stock Option Agreement between the Optionee and the Company. Such Option shall be subject to all applicable terms and conditions of the Plan and may be subject to any other terms and conditions which are not inconsistent with the Plan and which the Committee deems appropriate for inclusion in a Stock Option Agreement. The Stock Option Agreement shall specify whether the Option is an ISO or an NSO. The provisions of the various Stock Option Agreements entered into under the Plan need not be identical. Options may be granted in consideration of a reduction in the Participant’s other compensation.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Number of Shares</w:t>
      </w:r>
      <w:r>
        <w:rPr>
          <w:rFonts w:ascii="Times New Roman" w:hAnsi="Times New Roman"/>
          <w:color w:val="000000"/>
          <w:sz w:val="20"/>
        </w:rPr>
        <w:t xml:space="preserve">. Each Stock Option Agreement shall specify the number of Shares that are subject to the Option and shall provide for the adjustment of such number in accordance with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Exercise Price</w:t>
      </w:r>
      <w:r>
        <w:rPr>
          <w:rFonts w:ascii="Times New Roman" w:hAnsi="Times New Roman"/>
          <w:color w:val="000000"/>
          <w:sz w:val="20"/>
        </w:rPr>
        <w:t xml:space="preserve">. Each Stock Option Agreement shall specify the Exercise Price. The Exercise Price of an ISO shall not be less than 100% of the Fair Market Value of a Share on the date of grant, except as otherwise provided in Section 4(c), and the Exercise Price of an NSO shall not be less 100% of the Fair Market Value of a Share on the date of grant. Notwithstanding the foregoing, Options may be granted with an Exercise Price of less than 100% of the Fair Market Value of a Share on the date of grant pursuant to a transaction described in, and in a manner consistent with, Section 424(a) of the Code. Subject to the foregoing in this Section 7(c), the Exercise Price under any Option shall be determined by the Committee at its sole discretion. The Exercise Price shall be payable in one of the forms described in Section 8.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Withholding Taxes</w:t>
      </w:r>
      <w:r>
        <w:rPr>
          <w:rFonts w:ascii="Times New Roman" w:hAnsi="Times New Roman"/>
          <w:color w:val="000000"/>
          <w:sz w:val="20"/>
        </w:rPr>
        <w:t xml:space="preserve">. As a condition to the exercise of an Option, the Optionee shall make such arrangements as the Committee may require for the satisfaction of any federal, state, local or foreign withholding tax obligations that may arise in connection with such exercise. The Optionee shall also make such arrangements as the Committee may require for the satisfaction of any federal, state, local or foreign withholding tax obligations that may arise in connection with the disposition of Shares acquired by exercising an Option.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Exercisability and Term</w:t>
      </w:r>
      <w:r>
        <w:rPr>
          <w:rFonts w:ascii="Times New Roman" w:hAnsi="Times New Roman"/>
          <w:color w:val="000000"/>
          <w:sz w:val="20"/>
        </w:rPr>
        <w:t xml:space="preserve">. Each Stock Option Agreement shall specify the date when all or any installment of the Option is to become exercisable. The Stock Option Agreement shall also specify the term of the Option; provided that the term of an ISO shall in no event exceed 10 years from the date of grant (five years for Employees described in Section 4(c)). A Stock Option Agreement may provide for accelerated exercisability in the event of the Optionee’s death, Disability, or retirement or other events and may provide for expiration prior to the end of its term in the event of the termination of the Optionee’s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Exercise of Options</w:t>
      </w:r>
      <w:r>
        <w:rPr>
          <w:rFonts w:ascii="Times New Roman" w:hAnsi="Times New Roman"/>
          <w:color w:val="000000"/>
          <w:sz w:val="20"/>
        </w:rPr>
        <w:t xml:space="preserve">. Each Stock Option Agreement shall set forth the extent to which the Optionee shall have the right to exercise the Option following termination of the Optionee’s Service with the Company and its Subsidiaries, and the right to exercise the Option of any executors or administrators of the Optionee’s estate or any person who has acquired such Option(s) directly from the Optionee by bequest or inheritance. Such provisions shall be determined in the sole discretion of the Committee, need not be uniform among all Options issued pursuant to the Plan, and may reflect distinctions based on the reasons for termination of Service.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No Rights as a Stockholder</w:t>
      </w:r>
      <w:r>
        <w:rPr>
          <w:rFonts w:ascii="Times New Roman" w:hAnsi="Times New Roman"/>
          <w:color w:val="000000"/>
          <w:sz w:val="20"/>
        </w:rPr>
        <w:t xml:space="preserve">. An Optionee, or a transferee of an Optionee, shall have no rights (including voting, dividend and other rights) as a stockholder with respect to any Shares covered by his Option until such person has satisfied all of the terms and conditions to receive such Shares, has satisfied any applicable withholding or tax obligations relating to the Award and the Shares have been issued (as evidenced by an appropriate entry on the books of the Company or a duly authorized transfer agent of the Company). The Company will issue (or cause to be issued) such Shares promptly after the Option is exercised. No adjustments shall be made for a dividend or other right for which the record date is prior to the date the Shares are issued, except as provided in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20" w:after="283"/>
        <w:jc w:val="left"/>
        <w:rPr/>
      </w:pPr>
      <w:r>
        <w:rPr>
          <w:rFonts w:ascii="Times New Roman" w:hAnsi="Times New Roman"/>
          <w:i/>
          <w:color w:val="000000"/>
          <w:sz w:val="20"/>
        </w:rPr>
        <w:t>Modification or Extension of Options</w:t>
      </w:r>
      <w:r>
        <w:rPr>
          <w:rFonts w:ascii="Times New Roman" w:hAnsi="Times New Roman"/>
          <w:color w:val="000000"/>
          <w:sz w:val="20"/>
        </w:rPr>
        <w:t xml:space="preserve">. Within the limitations of the Plan, the Committee may modify, extend outstanding Options or may accept the cancellation of outstanding Options (to the extent not previously exercised), whether or not granted hereunder, in return for the grant of new Options for the same or a different number of Shares and at the same or a different Exercise Price; provided, however, that other than in connection with an adjustment of Awards pursuant to Section 11, the Committee may not modify outstanding Options to lower the Exercise Price nor may the Committee assume or accept the cancellation of outstanding Options in return for cash or the grant of new Options or SARs with a lower Exercise Price, unless such action has been approved by the Company’s stockholders. The foregoing notwithstanding, no modification of an Option shall, without the consent of the Optionee, materially impair his or her rights or obligations under such Option.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pPr>
      <w:r>
        <w:rPr>
          <w:rFonts w:ascii="Times New Roman" w:hAnsi="Times New Roman"/>
          <w:i/>
          <w:color w:val="000000"/>
          <w:sz w:val="20"/>
        </w:rPr>
        <w:t>Restrictions on Transfer of Shares</w:t>
      </w:r>
      <w:r>
        <w:rPr>
          <w:rFonts w:ascii="Times New Roman" w:hAnsi="Times New Roman"/>
          <w:color w:val="000000"/>
          <w:sz w:val="20"/>
        </w:rPr>
        <w:t xml:space="preserve">. Any Shares issued upon exercise of an Option shall be subject to such special forfeiture conditions, rights of repurchase, rights of first refusal and other transfer restrictions as the Committee may determine. Such restrictions shall be set forth in the applicable Stock Option Agreement and shall apply in addition to any general restrictions that may apply to all holders of Shares.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w:t>
      </w:r>
    </w:p>
    <w:p>
      <w:pPr>
        <w:pStyle w:val="TextBody"/>
        <w:bidi w:val="0"/>
        <w:spacing w:before="120" w:after="283"/>
        <w:jc w:val="left"/>
        <w:rPr/>
      </w:pPr>
      <w:r>
        <w:rPr>
          <w:rFonts w:ascii="Times New Roman" w:hAnsi="Times New Roman"/>
          <w:i/>
          <w:color w:val="000000"/>
          <w:sz w:val="20"/>
        </w:rPr>
        <w:t>Buyout Provisions</w:t>
      </w:r>
      <w:r>
        <w:rPr>
          <w:rFonts w:ascii="Times New Roman" w:hAnsi="Times New Roman"/>
          <w:color w:val="000000"/>
          <w:sz w:val="20"/>
        </w:rPr>
        <w:t xml:space="preserve">. Except with respect to an Option whose Exercise Price exceeds the Fair Market Value of the Shares subject to the Option, the Committee may at any time (i) offer to buy out for a payment in cash or cash equivalents an Option previously granted or (ii) authorize an Optionee to elect to cash out an Option previously granted, in either case at such time and based upon such terms and conditions as the Committee shall establish.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8) PAYMENT FOR SHARES.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General Rule</w:t>
      </w:r>
      <w:r>
        <w:rPr>
          <w:rFonts w:ascii="Times New Roman" w:hAnsi="Times New Roman"/>
          <w:color w:val="000000"/>
          <w:sz w:val="20"/>
        </w:rPr>
        <w:t xml:space="preserve">. The entire Exercise Price or Purchase Price of Shares issued under the Plan shall be payable in lawful money of the United States of America at the time when such Shares are purchased, except as provided in Section 8(b) through Section 8(h) below.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Surrender of Stock</w:t>
      </w:r>
      <w:r>
        <w:rPr>
          <w:rFonts w:ascii="Times New Roman" w:hAnsi="Times New Roman"/>
          <w:color w:val="000000"/>
          <w:sz w:val="20"/>
        </w:rPr>
        <w:t xml:space="preserve">. To the extent that a Stock Option Agreement so provides, payment may be made all or in part by surrendering, or attesting to the ownership of, Shares which have already been owned by the Optionee or his representative. Such Shares shall be valued at their Fair Market Value on the date when the new Shares are purchased under the Plan. The Optionee shall not surrender, or attest to the ownership of, Shares in payment of the Exercise Price if such action would cause the Company to recognize compensation expense (or additional compensation expense) with respect to the Option for financial reporting purposes.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Services Rendered</w:t>
      </w:r>
      <w:r>
        <w:rPr>
          <w:rFonts w:ascii="Times New Roman" w:hAnsi="Times New Roman"/>
          <w:color w:val="000000"/>
          <w:sz w:val="20"/>
        </w:rPr>
        <w:t xml:space="preserve">. At the discretion of the Committee, Shares may be awarded under the Plan in consideration of services rendered to the Company or a Subsidiary prior to the award. If Shares are awarded without the payment of a Purchase Price in cash, the Committee shall make a determination (at the time of the Award) of the value of the services rendered by the Offeree and the sufficiency of the consideration to meet the requirements of Section 6(b).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Cashless Exercise</w:t>
      </w:r>
      <w:r>
        <w:rPr>
          <w:rFonts w:ascii="Times New Roman" w:hAnsi="Times New Roman"/>
          <w:color w:val="000000"/>
          <w:sz w:val="20"/>
        </w:rPr>
        <w:t xml:space="preserve">. To the extent that a Stock Option Agreement so provides, payment may be made all or in part by delivery (on a form prescribed by the Committee) of an irrevocable direction to a securities broker to sell Shares and to deliver all or part of the sale proceeds to the Company in payment of the aggregate Exercise Price.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Exercise/Pledge</w:t>
      </w:r>
      <w:r>
        <w:rPr>
          <w:rFonts w:ascii="Times New Roman" w:hAnsi="Times New Roman"/>
          <w:color w:val="000000"/>
          <w:sz w:val="20"/>
        </w:rPr>
        <w:t xml:space="preserve">. To the extent that a Stock Option Agreement so provides, payment may be made all or in part by delivery (on a form prescribed by the Committee) of an irrevocable direction to a securities broker or lender to pledge Shares, as security for a loan, and to deliver all or part of the loan proceeds to the Company in payment of the aggregate Exercise Price.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Net Exercise</w:t>
      </w:r>
      <w:r>
        <w:rPr>
          <w:rFonts w:ascii="Times New Roman" w:hAnsi="Times New Roman"/>
          <w:color w:val="000000"/>
          <w:sz w:val="20"/>
        </w:rPr>
        <w:t xml:space="preserve">. To the extent that a Stock Option Agreement so provides, in the case of an NSO payment may be made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or other form of payment permitted under the Stock Option Agreement.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Promissory Note</w:t>
      </w:r>
      <w:r>
        <w:rPr>
          <w:rFonts w:ascii="Times New Roman" w:hAnsi="Times New Roman"/>
          <w:color w:val="000000"/>
          <w:sz w:val="20"/>
        </w:rPr>
        <w:t xml:space="preserve">. To the extent that a Stock Option Agreement or Restricted Stock Agreement so provides, payment may be made all or in part by delivering (on a form prescribed by the Company) a full-recourse promissory note.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20" w:after="283"/>
        <w:jc w:val="left"/>
        <w:rPr/>
      </w:pPr>
      <w:r>
        <w:rPr>
          <w:rFonts w:ascii="Times New Roman" w:hAnsi="Times New Roman"/>
          <w:i/>
          <w:color w:val="000000"/>
          <w:sz w:val="20"/>
        </w:rPr>
        <w:t>Other Forms of Payment</w:t>
      </w:r>
      <w:r>
        <w:rPr>
          <w:rFonts w:ascii="Times New Roman" w:hAnsi="Times New Roman"/>
          <w:color w:val="000000"/>
          <w:sz w:val="20"/>
        </w:rPr>
        <w:t xml:space="preserve">. To the extent that a Stock Option Agreement or Restricted Stock Agreement so provides, payment may be made in any other form that is consistent with applicable laws, regulations and rules.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pPr>
      <w:r>
        <w:rPr>
          <w:rFonts w:ascii="Times New Roman" w:hAnsi="Times New Roman"/>
          <w:i/>
          <w:color w:val="000000"/>
          <w:sz w:val="20"/>
        </w:rPr>
        <w:t>Limitations under Applicable Law</w:t>
      </w:r>
      <w:r>
        <w:rPr>
          <w:rFonts w:ascii="Times New Roman" w:hAnsi="Times New Roman"/>
          <w:color w:val="000000"/>
          <w:sz w:val="20"/>
        </w:rPr>
        <w:t xml:space="preserve">. Notwithstanding anything herein or in a Stock Option Agreement or Restricted Stock Agreement to the contrary, payment may not be made in any form that is unlawful, as determined by the Committee in its sole discretion. </w:t>
      </w:r>
    </w:p>
    <w:p>
      <w:pPr>
        <w:pStyle w:val="TextBody"/>
        <w:bidi w:val="0"/>
        <w:spacing w:before="360" w:after="283"/>
        <w:jc w:val="left"/>
        <w:rPr>
          <w:rFonts w:ascii="Times New Roman" w:hAnsi="Times New Roman"/>
          <w:sz w:val="20"/>
        </w:rPr>
      </w:pPr>
      <w:r>
        <w:rPr>
          <w:rFonts w:ascii="Times New Roman" w:hAnsi="Times New Roman"/>
          <w:b/>
          <w:color w:val="000000"/>
          <w:sz w:val="20"/>
        </w:rPr>
        <w:t>9) STOCK APPRECIATION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SAR Agreement</w:t>
      </w:r>
      <w:r>
        <w:rPr>
          <w:rFonts w:ascii="Times New Roman" w:hAnsi="Times New Roman"/>
          <w:color w:val="000000"/>
          <w:sz w:val="20"/>
        </w:rPr>
        <w:t xml:space="preserve">. Each grant of a SAR under the Plan shall be evidenced by a SAR Agreement between the Optionee and the Company. Such SAR 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Participant’s other compensation.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Number of Shares</w:t>
      </w:r>
      <w:r>
        <w:rPr>
          <w:rFonts w:ascii="Times New Roman" w:hAnsi="Times New Roman"/>
          <w:color w:val="000000"/>
          <w:sz w:val="20"/>
        </w:rPr>
        <w:t xml:space="preserve">. Each SAR Agreement shall specify the number of Shares to which the SAR pertains and shall provide for the adjustment of such number in accordance with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Exercise Price</w:t>
      </w:r>
      <w:r>
        <w:rPr>
          <w:rFonts w:ascii="Times New Roman" w:hAnsi="Times New Roman"/>
          <w:color w:val="000000"/>
          <w:sz w:val="20"/>
        </w:rPr>
        <w:t xml:space="preserve">. Each SAR Agreement shall specify the Exercise Price. The Exercise Price of a SAR shall not be less than 100% of the Fair Market Value of a Share on the date of grant. Notwithstanding the foregoing, SARs may be granted with an Exercise Price of less than 100% of the Fair Market Value of a Share on the date of grant pursuant to a transaction described in, and in a manner consistent with, Section 424(a) of the Code. Subject to the foregoing in this Section 9(c), the Exercise Price under any SAR shall be determined by the Committee in its sole discretion.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Exercisability and Term</w:t>
      </w:r>
      <w:r>
        <w:rPr>
          <w:rFonts w:ascii="Times New Roman" w:hAnsi="Times New Roman"/>
          <w:color w:val="000000"/>
          <w:sz w:val="20"/>
        </w:rPr>
        <w:t xml:space="preserve">. Each SAR Agreement shall specify the date when all or any installment of the SAR is to become exercisable. The SAR Agreement shall also specify the term of the SAR. A SAR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No Rights as a Stockholder</w:t>
      </w:r>
      <w:r>
        <w:rPr>
          <w:rFonts w:ascii="Times New Roman" w:hAnsi="Times New Roman"/>
          <w:color w:val="000000"/>
          <w:sz w:val="20"/>
        </w:rPr>
        <w:t xml:space="preserve">. A Participant, or a transferee of a Participant, shall have no rights (including voting, dividend and other rights) as a stockholder with respect to any Shares pertaining to his SAR until the date such person has satisfied all of the terms and conditions to receive such Shares, has satisfied any applicable withholding or tax obligations relating to the Award and any Shares have been issued pursuant to the SAR (to the extent the SAR is settled in Shares and as evidenced by an appropriate entry on the books of the Company or a duly authorized transfer agent of the Company). No adjustments shall be made for a dividend or other right for which the record date is prior to the date the Shares are issued, except as provided in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Exercise of SARs</w:t>
      </w:r>
      <w:r>
        <w:rPr>
          <w:rFonts w:ascii="Times New Roman" w:hAnsi="Times New Roman"/>
          <w:color w:val="000000"/>
          <w:sz w:val="20"/>
        </w:rPr>
        <w:t xml:space="preserve">. Upon exercise of a SAR, the Optionee (or any person having the right to exercise the SAR after his or her death) shall receive 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Modification, Extension or Assumption of SARs</w:t>
      </w:r>
      <w:r>
        <w:rPr>
          <w:rFonts w:ascii="Times New Roman" w:hAnsi="Times New Roman"/>
          <w:color w:val="000000"/>
          <w:sz w:val="20"/>
        </w:rPr>
        <w:t xml:space="preserve">.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provided, however, that other than in connection with an adjustment of Awards pursuant to Section 11, the Committee may not modify outstanding SARs to lower the Exercise Price nor may the Committee assume or accept the cancellation of outstanding SARs in return for cash or the grant of new Options or SARs with a lower Exercise Price, unless such action has been approved by the Company’s stockholders. The foregoing notwithstanding, no modification of a SAR shall, without the consent of the holder, materially impair his or her rights or obligations under such SAR.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w:t>
      </w:r>
    </w:p>
    <w:p>
      <w:pPr>
        <w:pStyle w:val="TextBody"/>
        <w:bidi w:val="0"/>
        <w:spacing w:before="120" w:after="283"/>
        <w:jc w:val="left"/>
        <w:rPr/>
      </w:pPr>
      <w:r>
        <w:rPr>
          <w:rFonts w:ascii="Times New Roman" w:hAnsi="Times New Roman"/>
          <w:i/>
          <w:color w:val="000000"/>
          <w:sz w:val="20"/>
        </w:rPr>
        <w:t>Buyout Provisions</w:t>
      </w:r>
      <w:r>
        <w:rPr>
          <w:rFonts w:ascii="Times New Roman" w:hAnsi="Times New Roman"/>
          <w:color w:val="000000"/>
          <w:sz w:val="20"/>
        </w:rPr>
        <w:t xml:space="preserve">. Except with respect to a SAR whose Exercise Price exceeds the Fair Market Value of the Shares subject to the SAR, the Committee may at any time (a) offer to buy out for a payment in cash or cash equivalents a SAR previously granted, or (b) authorize an Optionee to elect to cash out a SAR previously granted, in either case at such time and based upon such terms and conditions as the Committee shall establish.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Stock Unit Agreement</w:t>
      </w:r>
      <w:r>
        <w:rPr>
          <w:rFonts w:ascii="Times New Roman" w:hAnsi="Times New Roman"/>
          <w:color w:val="000000"/>
          <w:sz w:val="20"/>
        </w:rPr>
        <w:t xml:space="preserve">. Each grant of Stock Units under the Plan shall be evidenced by a Stock Unit Agreement between the recipient and the Company.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Participant’s other compensation.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Payment for Awards</w:t>
      </w:r>
      <w:r>
        <w:rPr>
          <w:rFonts w:ascii="Times New Roman" w:hAnsi="Times New Roman"/>
          <w:color w:val="000000"/>
          <w:sz w:val="20"/>
        </w:rPr>
        <w:t xml:space="preserve">. To the extent that an Award is granted in the form of Stock Units, no cash consideration shall be required of the Award recipients.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Vesting Conditions</w:t>
      </w:r>
      <w:r>
        <w:rPr>
          <w:rFonts w:ascii="Times New Roman" w:hAnsi="Times New Roman"/>
          <w:color w:val="000000"/>
          <w:sz w:val="20"/>
        </w:rPr>
        <w:t xml:space="preserve">. Each Award of Stock Units may or may not be subject to vesting. Vesting shall occur, in full or in installments, upon satisfaction of the conditions specified in the Stock Unit Agreement. A Stock Unit Agreement may provide for accelerated vesting in the event of the Participant’s death, Disability or retirement or other events.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Voting and Dividend Rights</w:t>
      </w:r>
      <w:r>
        <w:rPr>
          <w:rFonts w:ascii="Times New Roman" w:hAnsi="Times New Roman"/>
          <w:color w:val="000000"/>
          <w:sz w:val="20"/>
        </w:rPr>
        <w:t>.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Dividend equivalents shall not be distributed prior to settlement of the Stock Unit to which the dividend equivalents pertain. Prior to distribution, any dividend equivalents which are not paid shall be subject to the same conditions and restrictions (including without limitation, any forfeiture conditions) as the Stock Units to which they attach.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Form and Time of Settlement of Stock Units</w:t>
      </w:r>
      <w:r>
        <w:rPr>
          <w:rFonts w:ascii="Times New Roman" w:hAnsi="Times New Roman"/>
          <w:color w:val="000000"/>
          <w:sz w:val="20"/>
        </w:rPr>
        <w:t xml:space="preserve">. Settlement of vested Stock Units may be made in the form of (i) cash, (ii) Shares or (iii) any 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Vested Stock Units may be settled in a lump sum or in installments.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11.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Death of Recipient</w:t>
      </w:r>
      <w:r>
        <w:rPr>
          <w:rFonts w:ascii="Times New Roman" w:hAnsi="Times New Roman"/>
          <w:color w:val="000000"/>
          <w:sz w:val="20"/>
        </w:rPr>
        <w:t xml:space="preserve">. Any Stock Units Award that becomes payable after the recipient’s death shall be distributed to the recipient’s beneficiary or 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w:t>
      </w:r>
    </w:p>
    <w:p>
      <w:pPr>
        <w:pStyle w:val="TextBody"/>
        <w:bidi w:val="0"/>
        <w:spacing w:before="120" w:after="283"/>
        <w:jc w:val="left"/>
        <w:rPr/>
      </w:pPr>
      <w:r>
        <w:rPr>
          <w:rFonts w:ascii="Times New Roman" w:hAnsi="Times New Roman"/>
          <w:i/>
          <w:color w:val="000000"/>
          <w:sz w:val="20"/>
        </w:rPr>
        <w:t>Creditors’ Rights</w:t>
      </w:r>
      <w:r>
        <w:rPr>
          <w:rFonts w:ascii="Times New Roman" w:hAnsi="Times New Roman"/>
          <w:color w:val="000000"/>
          <w:sz w:val="20"/>
        </w:rPr>
        <w:t xml:space="preserve">. A holder of Stock Units shall have no rights other than those of a general creditor of the Company. Stock Units represent an unfunded and unsecured obligation of the Company, subject to the terms and conditions of the applicable Stock Unit Agreement. </w:t>
      </w:r>
    </w:p>
    <w:p>
      <w:pPr>
        <w:pStyle w:val="TextBody"/>
        <w:bidi w:val="0"/>
        <w:spacing w:before="360" w:after="283"/>
        <w:jc w:val="left"/>
        <w:rPr>
          <w:rFonts w:ascii="Times New Roman" w:hAnsi="Times New Roman"/>
          <w:sz w:val="20"/>
        </w:rPr>
      </w:pPr>
      <w:r>
        <w:rPr>
          <w:rFonts w:ascii="Times New Roman" w:hAnsi="Times New Roman"/>
          <w:b/>
          <w:color w:val="000000"/>
          <w:sz w:val="20"/>
        </w:rPr>
        <w:t>11) ADJUSTMENT OF SHARES.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Adjustments</w:t>
      </w:r>
      <w:r>
        <w:rPr>
          <w:rFonts w:ascii="Times New Roman" w:hAnsi="Times New Roman"/>
          <w:color w:val="000000"/>
          <w:sz w:val="20"/>
        </w:rPr>
        <w:t xml:space="preserve">.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class(es) and maximum number of securities available for future Awards under Section 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class(es) and number of securities that may be issued pursuant to the exercise of ISOs pursuant to Section 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class(es) and number of securities covered by each outstanding Option and SAR;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Exercise Price under each outstanding Option and SAR;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classes and number of securities subject to any outstanding Award.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Committee will make such adjustments, and its determination will be final, binding and conclusive. Except as provided in this Section 11,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Dissolution or Liquidation</w:t>
      </w:r>
      <w:r>
        <w:rPr>
          <w:rFonts w:ascii="Times New Roman" w:hAnsi="Times New Roman"/>
          <w:color w:val="000000"/>
          <w:sz w:val="20"/>
        </w:rPr>
        <w:t xml:space="preserve">. To the extent not previously exercised or settled, Options, SARs and Stock Units shall terminate immediately prior to the dissolution or liquidation of the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Reorganizations</w:t>
      </w:r>
      <w:r>
        <w:rPr>
          <w:rFonts w:ascii="Times New Roman" w:hAnsi="Times New Roman"/>
          <w:color w:val="000000"/>
          <w:sz w:val="20"/>
        </w:rPr>
        <w:t xml:space="preserve">. In the event that the Company is a party to a merger or other reorganization, outstanding Awards shall be subject to the agreement of merger or reorganization. Subject to compliance with Section 409A of the Code, such agreement shall provide for: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continuation of the outstanding Awards by the Company, if the Company is a surviving corporation;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the outstanding Awards by the surviving corporation or its parent or subsidiary;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substitution by the surviving corporation or its parent or subsidiary of its own awards for the outstanding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Full exercisability or vesting and accelerated expiration of the outstanding Awards, provided, however, that the Committee may require Participants to complete and deliver to the Company a notice of exercise before the effective date of the merger or reorganization, which exercise is contingent upon the effectiveness of such merger or reorganization;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Cancellation of the Award, to the extent not vested or not exercised prior to the effective time of the merger or reorganization, in exchange for such cash consideration, if any, as the Committee, in its sole discretion, may consider appropriate;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and such amount may be delayed to the same extent that payment of consideration to the holders of common stock in connection with the merger or reorganization is delayed as a result of escrows, earnouts, holdbacks or other contingencies); in each case without the Participant’s consent. Any acceleration of payment or an amount that is subject to Section 409A of the Code will be delayed, if necessary, until the earliest time that such payment would be permissible under Section 409A of the Code without triggering any additional taxes applicable under Section 409A of the Code.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need not take the same action or actions with respect to all Awards or portions thereof or with respect to all Participants. The Company may take different actions with respect to the vested and unvested portions of an Award.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Reservation of Rights</w:t>
      </w:r>
      <w:r>
        <w:rPr>
          <w:rFonts w:ascii="Times New Roman" w:hAnsi="Times New Roman"/>
          <w:color w:val="000000"/>
          <w:sz w:val="20"/>
        </w:rPr>
        <w:t xml:space="preserve">. Except as provided in this Section 11, an Optionee, Offeree or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Change in Control</w:t>
      </w:r>
      <w:r>
        <w:rPr>
          <w:rFonts w:ascii="Times New Roman" w:hAnsi="Times New Roman"/>
          <w:color w:val="000000"/>
          <w:sz w:val="20"/>
        </w:rPr>
        <w:t xml:space="preserve">. In its discretion, the Committee pay provide in the Award Agreement governing an Award or at any 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 In the absence of such provision in an Award Agreement or any such action taken by the Committee, no acceleration will occur.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12) DEFERRAL OF AWARDS.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Committee Powers</w:t>
      </w:r>
      <w:r>
        <w:rPr>
          <w:rFonts w:ascii="Times New Roman" w:hAnsi="Times New Roman"/>
          <w:color w:val="000000"/>
          <w:sz w:val="20"/>
        </w:rPr>
        <w:t xml:space="preserve">. Subject to compliance with Section 409A of the Code, the Committee (in its sole discretion) may permit or require a Participant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cash that otherwise would be paid to such Participant as a result of the exercise of a SAR or the settlement of Stock Units credited to a deferred compensation account established for such Participant by the Committee as an entry on the Company’s books;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Shares that otherwise would be delivered to such Participant as a result of the exercise of an Option or SAR converted into an equal number of Stock Units;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General Rules</w:t>
      </w:r>
      <w:r>
        <w:rPr>
          <w:rFonts w:ascii="Times New Roman" w:hAnsi="Times New Roman"/>
          <w:color w:val="000000"/>
          <w:sz w:val="20"/>
        </w:rPr>
        <w:t>. A deferred compensation account established under this Section 12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12.</w:t>
      </w:r>
    </w:p>
    <w:p>
      <w:pPr>
        <w:pStyle w:val="TextBody"/>
        <w:bidi w:val="0"/>
        <w:spacing w:before="360" w:after="283"/>
        <w:jc w:val="left"/>
        <w:rPr>
          <w:rFonts w:ascii="Times New Roman" w:hAnsi="Times New Roman"/>
          <w:sz w:val="20"/>
        </w:rPr>
      </w:pPr>
      <w:r>
        <w:rPr>
          <w:rFonts w:ascii="Times New Roman" w:hAnsi="Times New Roman"/>
          <w:b/>
          <w:color w:val="000000"/>
          <w:sz w:val="20"/>
        </w:rPr>
        <w:t>13) AWARDS UNDER OTHER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 </w:t>
      </w:r>
    </w:p>
    <w:p>
      <w:pPr>
        <w:pStyle w:val="TextBody"/>
        <w:bidi w:val="0"/>
        <w:spacing w:before="360" w:after="283"/>
        <w:jc w:val="left"/>
        <w:rPr>
          <w:rFonts w:ascii="Times New Roman" w:hAnsi="Times New Roman"/>
          <w:sz w:val="20"/>
        </w:rPr>
      </w:pPr>
      <w:r>
        <w:rPr>
          <w:rFonts w:ascii="Times New Roman" w:hAnsi="Times New Roman"/>
          <w:b/>
          <w:color w:val="000000"/>
          <w:sz w:val="20"/>
        </w:rPr>
        <w:t>14) LEGAL AND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 </w:t>
      </w:r>
    </w:p>
    <w:p>
      <w:pPr>
        <w:pStyle w:val="TextBody"/>
        <w:bidi w:val="0"/>
        <w:spacing w:before="360" w:after="283"/>
        <w:jc w:val="left"/>
        <w:rPr>
          <w:rFonts w:ascii="Times New Roman" w:hAnsi="Times New Roman"/>
          <w:sz w:val="20"/>
        </w:rPr>
      </w:pPr>
      <w:r>
        <w:rPr>
          <w:rFonts w:ascii="Times New Roman" w:hAnsi="Times New Roman"/>
          <w:b/>
          <w:color w:val="000000"/>
          <w:sz w:val="20"/>
        </w:rPr>
        <w:t>15) WITHHOLDING TAXES.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Withholding Taxes</w:t>
      </w:r>
      <w:r>
        <w:rPr>
          <w:rFonts w:ascii="Times New Roman" w:hAnsi="Times New Roman"/>
          <w:color w:val="000000"/>
          <w:sz w:val="20"/>
        </w:rPr>
        <w:t xml:space="preserve">. To the extent required by applicable federal, state, local or foreign law, a Participant or his 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Share Withholding</w:t>
      </w:r>
      <w:r>
        <w:rPr>
          <w:rFonts w:ascii="Times New Roman" w:hAnsi="Times New Roman"/>
          <w:color w:val="000000"/>
          <w:sz w:val="20"/>
        </w:rPr>
        <w:t xml:space="preserve">.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16) OTHER PROVISIONS APPLICABLE TO AWARDS.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Transferability</w:t>
      </w:r>
      <w:r>
        <w:rPr>
          <w:rFonts w:ascii="Times New Roman" w:hAnsi="Times New Roman"/>
          <w:color w:val="000000"/>
          <w:sz w:val="20"/>
        </w:rPr>
        <w:t xml:space="preserve">. Unless the agreement evidencing an Award (or an amendment thereto authorized by the Committee) expressly provides 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16(a) shall be void and unenforceable against the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 xml:space="preserve">Performance Criteria. </w:t>
      </w:r>
      <w:r>
        <w:rPr>
          <w:rFonts w:ascii="Times New Roman" w:hAnsi="Times New Roman"/>
          <w:color w:val="000000"/>
          <w:sz w:val="20"/>
        </w:rPr>
        <w:t>The number of Shares or other benefits granted, issued, retainable and/or vested under an Award may be made subject to the attainment of performance goals over a specified period of time, each as determined by the Committee at the time of grant. The Committee may provide that additional Shares may be awarded in the event the applicable performance goals are exceeded. The minimum duration of a performance period will be one year, but may be longer, as determined by the Committee at the time the Award is granted. The Committee shall make any adjustments necessary to eliminate the effect on the stated performance goals of unusual or extraordinary items that could not be reasonably anticipated.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Committee will establish the performance goals and performance period before results are substantially certain and will determine and certify, for each Award recipient, the extent to which the applicable performance criteria have been met. The Committee may reserve the right, in its sole discretion, to reduce the amount of compensation otherwise payable under the Plan upon the attainment of the pre-established performance goals.</w:t>
      </w:r>
    </w:p>
    <w:p>
      <w:pPr>
        <w:pStyle w:val="TextBody"/>
        <w:bidi w:val="0"/>
        <w:spacing w:before="360" w:after="283"/>
        <w:jc w:val="left"/>
        <w:rPr>
          <w:rFonts w:ascii="Times New Roman" w:hAnsi="Times New Roman"/>
          <w:sz w:val="20"/>
        </w:rPr>
      </w:pPr>
      <w:r>
        <w:rPr>
          <w:rFonts w:ascii="Times New Roman" w:hAnsi="Times New Roman"/>
          <w:b/>
          <w:color w:val="000000"/>
          <w:sz w:val="20"/>
        </w:rPr>
        <w:t>17) NO EMPLOYMENT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provision of the Plan, nor any right or Award granted under the Plan, shall be construed to give any person any right to become, to be treated as, or to remain an Employee, Consultant or Outside Director. The Company and its Subsidiaries and Affiliates reserve the right to terminate any person’s Service at any time and for any reason, with or without notice. </w:t>
      </w:r>
    </w:p>
    <w:p>
      <w:pPr>
        <w:pStyle w:val="TextBody"/>
        <w:bidi w:val="0"/>
        <w:spacing w:before="360" w:after="283"/>
        <w:jc w:val="left"/>
        <w:rPr>
          <w:rFonts w:ascii="Times New Roman" w:hAnsi="Times New Roman"/>
          <w:sz w:val="20"/>
        </w:rPr>
      </w:pPr>
      <w:r>
        <w:rPr>
          <w:rFonts w:ascii="Times New Roman" w:hAnsi="Times New Roman"/>
          <w:b/>
          <w:color w:val="000000"/>
          <w:sz w:val="20"/>
        </w:rPr>
        <w:t>18) SECTION 409A.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is intended to comply with Section 409A of the Code to the extent subject thereto, and, accordingly, to the maximum extent permitted, the Plan shall be interpreted and administered to be in compliance therewith.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additional tax or penalty.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Award that provides for “nonqualified deferred compensation” within the meaning of Section 409A of the Code shall be subject to such additional rules and requirements as specified by the Committee from time to time in order to comply with Section 409A of the Code. If any amount under such an Award is payable upon a “separation from service” (within the meaning of Section 409A of the Code) to a Participant who is then considered a “specified employee” (within the meaning of Section 409A of the Code),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of the Code. In addition, the settlement of any such Award may not be accelerated except to the extent permitted by Section 409A of the Code. </w:t>
      </w:r>
    </w:p>
    <w:p>
      <w:pPr>
        <w:pStyle w:val="TextBody"/>
        <w:bidi w:val="0"/>
        <w:spacing w:before="360" w:after="283"/>
        <w:jc w:val="left"/>
        <w:rPr>
          <w:rFonts w:ascii="Times New Roman" w:hAnsi="Times New Roman"/>
          <w:sz w:val="20"/>
        </w:rPr>
      </w:pPr>
      <w:r>
        <w:rPr>
          <w:rFonts w:ascii="Times New Roman" w:hAnsi="Times New Roman"/>
          <w:b/>
          <w:color w:val="000000"/>
          <w:sz w:val="20"/>
        </w:rPr>
        <w:t>19) DURATION AND AMENDMENTS.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Term of the Plan</w:t>
      </w:r>
      <w:r>
        <w:rPr>
          <w:rFonts w:ascii="Times New Roman" w:hAnsi="Times New Roman"/>
          <w:color w:val="000000"/>
          <w:sz w:val="20"/>
        </w:rPr>
        <w:t>. The Plan, as set forth herein, shall become effective on the Effective Date. No Award may be granted hereunder prior to the Effective Date. The Board of Directors may suspend or terminate the Plan at any time. No ISOs may be granted after the tenth anniversary of the earlier of (i) the date the Plan, as amended and restated herein, is adopted by the Board of Directors, or (ii) the date the Plan, as amended and restated herein is approved the stockholders of the Company.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Right to Amend or Terminate the Plan</w:t>
      </w:r>
      <w:r>
        <w:rPr>
          <w:rFonts w:ascii="Times New Roman" w:hAnsi="Times New Roman"/>
          <w:color w:val="000000"/>
          <w:sz w:val="20"/>
        </w:rPr>
        <w:t xml:space="preserve">. The Board of Directors may amend or terminate the Plan at any time and from time to time. Rights and obligations under any 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Effect of Termination</w:t>
      </w:r>
      <w:r>
        <w:rPr>
          <w:rFonts w:ascii="Times New Roman" w:hAnsi="Times New Roman"/>
          <w:color w:val="000000"/>
          <w:sz w:val="20"/>
        </w:rPr>
        <w:t xml:space="preserve">. No Awards shall be granted under the Plan after the termination thereof. The termination of the Plan shall not affect Awards previously granted under the Plan. </w:t>
      </w:r>
    </w:p>
    <w:p>
      <w:pPr>
        <w:pStyle w:val="TextBody"/>
        <w:bidi w:val="0"/>
        <w:spacing w:before="360" w:after="283"/>
        <w:jc w:val="left"/>
        <w:rPr>
          <w:rFonts w:ascii="Times New Roman" w:hAnsi="Times New Roman"/>
          <w:sz w:val="20"/>
        </w:rPr>
      </w:pPr>
      <w:r>
        <w:rPr>
          <w:rFonts w:ascii="Times New Roman" w:hAnsi="Times New Roman"/>
          <w:b/>
          <w:color w:val="000000"/>
          <w:sz w:val="20"/>
        </w:rPr>
        <w:t>20) AWARDS TO NON-U.S. PARTICIPANTS.</w:t>
      </w:r>
      <w:r>
        <w:rPr>
          <w:rFonts w:ascii="Times New Roman" w:hAnsi="Times New Roman"/>
          <w:color w:val="000000"/>
          <w:sz w:val="20"/>
        </w:rPr>
        <w:t xml:space="preserv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currency or tax policy or custom. The Committee also may impose conditions on the exercise, vesting or settlement of Awards in order to minimize the Company’s obligation with respect to tax equalization for Participants on assignments outside their home country. The Committee may, in its sole discretion, adjust the value of any Awards or any amounts due to Participants hereunder to reflect any foreign currency conversions or fluctuations in foreign currency exchange rates; provided, however, that none of the Company or any Parent, Subsidiary or Affiliate shall be liable for any foreign exchange rate fluctuations between a Participant’s local currency and the United States Dollar that may affect the value of any Awards or of any amounts due to a Participant hereunder.</w:t>
      </w:r>
    </w:p>
    <w:p>
      <w:pPr>
        <w:pStyle w:val="TextBody"/>
        <w:bidi w:val="0"/>
        <w:spacing w:before="360" w:after="283"/>
        <w:jc w:val="left"/>
        <w:rPr>
          <w:rFonts w:ascii="Times New Roman" w:hAnsi="Times New Roman"/>
          <w:sz w:val="20"/>
        </w:rPr>
      </w:pPr>
      <w:r>
        <w:rPr>
          <w:rFonts w:ascii="Times New Roman" w:hAnsi="Times New Roman"/>
          <w:b/>
          <w:color w:val="000000"/>
          <w:sz w:val="20"/>
        </w:rPr>
        <w:t>21) FORFEITURE, CANCELLATION OR CLAWBACK OF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is required to prepare an accounting restatement due to the material noncompliance of the Company, as a result of misconduct, with any financial reporting requirement under the securities laws, at the discretion of the Committee,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12 month period. In addition, to the extent claw-back or similar provisions applicable to Awards are required by applicable law, listing standards and/or policies adopted by the Company, Awards granted under the Plan shall be subject to such provisions. </w:t>
      </w:r>
    </w:p>
    <w:p>
      <w:pPr>
        <w:pStyle w:val="TextBody"/>
        <w:bidi w:val="0"/>
        <w:spacing w:before="360" w:after="283"/>
        <w:jc w:val="left"/>
        <w:rPr>
          <w:rFonts w:ascii="Times New Roman" w:hAnsi="Times New Roman"/>
          <w:sz w:val="20"/>
        </w:rPr>
      </w:pPr>
      <w:r>
        <w:rPr>
          <w:rFonts w:ascii="Times New Roman" w:hAnsi="Times New Roman"/>
          <w:b/>
          <w:color w:val="000000"/>
          <w:sz w:val="20"/>
        </w:rPr>
        <w:t>22) GOVERNING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Plan, each Award Agreement and each Award and all disputes or controversies arising out of or relating thereto and all other matters shall be governed by, and construed in accordance with, the internal laws of the State of Delaware as to matters within the scope thereof, without regard to the laws of any other jurisdiction that might be applied because of the conflicts of laws principles of any state.</w:t>
      </w:r>
    </w:p>
    <w:p>
      <w:pPr>
        <w:pStyle w:val="TextBody"/>
        <w:bidi w:val="0"/>
        <w:spacing w:before="120" w:after="283"/>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pstv-ex31_1.htm"/>
      <w:bookmarkStart w:id="28" w:name="kspstvex31_1"/>
      <w:bookmarkEnd w:id="27"/>
      <w:bookmarkEnd w:id="28"/>
      <w:r>
        <w:rPr/>
        <w:t> </w:t>
      </w:r>
      <w:r>
        <w:br w:type="page"/>
      </w:r>
    </w:p>
    <w:p>
      <w:pPr>
        <w:pStyle w:val="TextBody"/>
        <w:bidi w:val="0"/>
        <w:jc w:val="right"/>
        <w:rPr>
          <w:rFonts w:ascii="Times New Roman" w:hAnsi="Times New Roman"/>
          <w:b/>
          <w:color w:val="000000"/>
          <w:sz w:val="20"/>
        </w:rPr>
      </w:pPr>
      <w:bookmarkStart w:id="29" w:name="ole_link16"/>
      <w:bookmarkStart w:id="30" w:name="ole_link19"/>
      <w:bookmarkStart w:id="31" w:name="ole_link18"/>
      <w:bookmarkStart w:id="32" w:name="ole_link15"/>
      <w:bookmarkEnd w:id="29"/>
      <w:bookmarkEnd w:id="30"/>
      <w:bookmarkEnd w:id="31"/>
      <w:bookmarkEnd w:id="32"/>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Marc H. Hedrick,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Plus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Marc H. Hedrick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30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&amp;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pstv-ex31_2.htm"/>
      <w:bookmarkStart w:id="34" w:name="kspstvex31_2"/>
      <w:bookmarkEnd w:id="33"/>
      <w:bookmarkEnd w:id="34"/>
      <w:r>
        <w:rPr/>
        <w:t> </w:t>
      </w:r>
      <w:r>
        <w:br w:type="page"/>
      </w:r>
    </w:p>
    <w:p>
      <w:pPr>
        <w:pStyle w:val="TextBody"/>
        <w:bidi w:val="0"/>
        <w:jc w:val="right"/>
        <w:rPr>
          <w:rFonts w:ascii="Times New Roman" w:hAnsi="Times New Roman"/>
          <w:b/>
          <w:color w:val="000000"/>
          <w:sz w:val="20"/>
        </w:rPr>
      </w:pPr>
      <w:bookmarkStart w:id="35" w:name="ole_link191"/>
      <w:bookmarkStart w:id="36" w:name="fis_exhibit_31_2"/>
      <w:bookmarkStart w:id="37" w:name="ole_link151"/>
      <w:bookmarkStart w:id="38" w:name="eolpage39"/>
      <w:bookmarkStart w:id="39" w:name="ole_link161"/>
      <w:bookmarkStart w:id="40" w:name="ex31_2_htm"/>
      <w:bookmarkStart w:id="41" w:name="ole_link181"/>
      <w:bookmarkEnd w:id="35"/>
      <w:bookmarkEnd w:id="36"/>
      <w:bookmarkEnd w:id="37"/>
      <w:bookmarkEnd w:id="38"/>
      <w:bookmarkEnd w:id="39"/>
      <w:bookmarkEnd w:id="40"/>
      <w:bookmarkEnd w:id="41"/>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Sims,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Plus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pstv-ex32_1.htm"/>
      <w:bookmarkStart w:id="43" w:name="kspstvex32_1"/>
      <w:bookmarkEnd w:id="42"/>
      <w:bookmarkEnd w:id="43"/>
      <w:r>
        <w:rPr/>
        <w:t> </w:t>
      </w:r>
      <w:r>
        <w:br w:type="page"/>
      </w:r>
    </w:p>
    <w:p>
      <w:pPr>
        <w:pStyle w:val="TextBody"/>
        <w:bidi w:val="0"/>
        <w:jc w:val="right"/>
        <w:rPr>
          <w:rFonts w:ascii="Times New Roman" w:hAnsi="Times New Roman"/>
          <w:b/>
          <w:color w:val="000000"/>
          <w:sz w:val="20"/>
        </w:rPr>
      </w:pPr>
      <w:bookmarkStart w:id="44" w:name="ole_link182"/>
      <w:bookmarkStart w:id="45" w:name="ole_link152"/>
      <w:bookmarkStart w:id="46" w:name="ole_link192"/>
      <w:bookmarkStart w:id="47" w:name="ole_link162"/>
      <w:bookmarkEnd w:id="44"/>
      <w:bookmarkEnd w:id="45"/>
      <w:bookmarkEnd w:id="46"/>
      <w:bookmarkEnd w:id="47"/>
      <w:r>
        <w:rPr>
          <w:rFonts w:ascii="Times New Roman" w:hAnsi="Times New Roman"/>
          <w:b/>
          <w:color w:val="000000"/>
          <w:sz w:val="20"/>
        </w:rPr>
        <w:t>EXHIBIT 32.1</w:t>
      </w:r>
    </w:p>
    <w:p>
      <w:pPr>
        <w:pStyle w:val="TextBody"/>
        <w:bidi w:val="0"/>
        <w:spacing w:before="240" w:after="283"/>
        <w:jc w:val="left"/>
        <w:rPr>
          <w:rFonts w:ascii="Times New Roman" w:hAnsi="Times New Roman"/>
          <w:b/>
          <w:color w:val="000000"/>
          <w:sz w:val="20"/>
        </w:rPr>
      </w:pPr>
      <w:bookmarkStart w:id="48" w:name="fis_certification"/>
      <w:bookmarkEnd w:id="48"/>
      <w:r>
        <w:rPr>
          <w:rFonts w:ascii="Times New Roman" w:hAnsi="Times New Roman"/>
          <w:b/>
          <w:color w:val="000000"/>
          <w:sz w:val="20"/>
        </w:rPr>
        <w:t>CERTIFICATION PURSUANT TO 18 U.S.C. SECTION 1350/ SECURITIES EXCHANGE ACT RULE 13a-14(b), 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Plus Therapeutics, Inc. for the quarterly period ended March 31, 2026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Form 10-Q report of Plus Therapeutics, Inc. that this certification accompanies fully complies with the requirements of Section 13(a)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Form 10-Q report of Plus Therapeutics, Inc. that this certification accompanies fairly presents, in all material respects, the financial condition and results of operations of Plus Therapeutics, Inc.</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1846"/>
        <w:gridCol w:w="146"/>
        <w:gridCol w:w="406"/>
        <w:gridCol w:w="146"/>
        <w:gridCol w:w="33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&amp;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Andrew Sims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&amp; VP of Finance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095981/000114036116057505/ex3_1.htm" TargetMode="External"/><Relationship Id="rId3" Type="http://schemas.openxmlformats.org/officeDocument/2006/relationships/hyperlink" Target="https://www.sec.gov/Archives/edgar/data/0001095981/000114036116057505/ex3_1.htm" TargetMode="External"/><Relationship Id="rId4" Type="http://schemas.openxmlformats.org/officeDocument/2006/relationships/hyperlink" Target="https://www.sec.gov/Archives/edgar/data/0001095981/000109598116000063/ex3_1.htm" TargetMode="External"/><Relationship Id="rId5" Type="http://schemas.openxmlformats.org/officeDocument/2006/relationships/hyperlink" Target="https://www.sec.gov/Archives/edgar/data/0001095981/000156459018014245/cytx-ex31_6.htm" TargetMode="External"/><Relationship Id="rId6" Type="http://schemas.openxmlformats.org/officeDocument/2006/relationships/hyperlink" Target="https://www.sec.gov/Archives/edgar/data/1095981/000156459019026454/cytx-ex31_6.htm" TargetMode="External"/><Relationship Id="rId7" Type="http://schemas.openxmlformats.org/officeDocument/2006/relationships/hyperlink" Target="https://www.sec.gov/Archives/edgar/data/0001095981/000156459019028996/pstv-ex31_18.htm" TargetMode="External"/><Relationship Id="rId8" Type="http://schemas.openxmlformats.org/officeDocument/2006/relationships/hyperlink" Target="https://www.sec.gov/Archives/edgar/data/0001095981/000119312523127227/d475493dex31.htm" TargetMode="External"/><Relationship Id="rId9" Type="http://schemas.openxmlformats.org/officeDocument/2006/relationships/hyperlink" Target="https://www.sec.gov/Archives/edgar/data/1095981/000095017025062742/pstv-ex3_1.htm" TargetMode="External"/><Relationship Id="rId10" Type="http://schemas.openxmlformats.org/officeDocument/2006/relationships/hyperlink" Target="https://www.sec.gov/Archives/edgar/data/0001095981/000119312521277718/d164672dex31.htm" TargetMode="External"/><Relationship Id="rId11" Type="http://schemas.openxmlformats.org/officeDocument/2006/relationships/hyperlink" Target="https://www.sec.gov/Archives/edgar/data/1095981/000156459017024297/cytx-ex31_6.htm" TargetMode="External"/><Relationship Id="rId12" Type="http://schemas.openxmlformats.org/officeDocument/2006/relationships/hyperlink" Target="https://www.sec.gov/Archives/edgar/data/1095981/000156459018017443/cytx-ex31_7.htm" TargetMode="External"/><Relationship Id="rId13" Type="http://schemas.openxmlformats.org/officeDocument/2006/relationships/hyperlink" Target="https://www.sec.gov/Archives/edgar/data/1095981/000156459020014165/pstv-ex41_202.htm" TargetMode="External"/><Relationship Id="rId14" Type="http://schemas.openxmlformats.org/officeDocument/2006/relationships/hyperlink" Target="https://www.sec.gov/Archives/edgar/data/1095981/000156459018005136/cytx-ex433_277.htm" TargetMode="External"/><Relationship Id="rId15" Type="http://schemas.openxmlformats.org/officeDocument/2006/relationships/hyperlink" Target="https://www.sec.gov/ix?doc=/Archives/edgar/data/0001095981/000119312524135399/d827838d8k.htm" TargetMode="External"/><Relationship Id="rId16" Type="http://schemas.openxmlformats.org/officeDocument/2006/relationships/hyperlink" Target="https://www.sec.gov/ix?doc=/Archives/edgar/data/0001095981/000095017024097091/pstv-20240630.htm" TargetMode="External"/><Relationship Id="rId17" Type="http://schemas.openxmlformats.org/officeDocument/2006/relationships/hyperlink" Target="https://www.sec.gov/ix?doc=/Archives/edgar/data/0001095981/000095017024097091/pstv-20240630.htm" TargetMode="External"/><Relationship Id="rId18" Type="http://schemas.openxmlformats.org/officeDocument/2006/relationships/hyperlink" Target="https://www.sec.gov/Archives/edgar/data/1095981/000119312525028151/d916701dex41.htm" TargetMode="External"/><Relationship Id="rId19" Type="http://schemas.openxmlformats.org/officeDocument/2006/relationships/hyperlink" Target="https://www.sec.gov/Archives/edgar/data/1095981/000119312525028151/d916701dex42.htm" TargetMode="External"/><Relationship Id="rId20" Type="http://schemas.openxmlformats.org/officeDocument/2006/relationships/hyperlink" Target="https://www.sec.gov/Archives/edgar/data/1095981/000119312525045305/d875007dex41.htm" TargetMode="External"/><Relationship Id="rId21" Type="http://schemas.openxmlformats.org/officeDocument/2006/relationships/hyperlink" Target="https://www.sec.gov/Archives/edgar/data/1095981/000119312525142093/d942989dex41.htm" TargetMode="External"/><Relationship Id="rId22" Type="http://schemas.openxmlformats.org/officeDocument/2006/relationships/hyperlink" Target="https://www.sec.gov/Archives/edgar/data/1095981/000119312525142093/d942989dex41.htm" TargetMode="External"/><Relationship Id="rId23" Type="http://schemas.openxmlformats.org/officeDocument/2006/relationships/hyperlink" Target="https://www.sec.gov/Archives/edgar/data/1095981/000119312525178940/d942543dex1041.htm" TargetMode="External"/><Relationship Id="rId24" Type="http://schemas.openxmlformats.org/officeDocument/2006/relationships/hyperlink" Target="https://www.sec.gov/Archives/edgar/data/1095981/000119312525178940/d942543dex1041.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37500</Words>
  <Characters>202473</Characters>
  <CharactersWithSpaces>240638</CharactersWithSpaces>
  <Paragraphs>4642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