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422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PLUS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183"/>
        </w:trPr>
        <w:tc>
          <w:tcPr>
            <w:tcW w:w="3800" w:type="dxa"/>
            <w:vAlign w:val="bottom"/>
            <w:gridSpan w:val="2"/>
          </w:tcPr>
          <w:p>
            <w:pPr>
              <w:jc w:val="center"/>
              <w:ind w:left="1750"/>
              <w:spacing w:after="0"/>
              <w:rPr>
                <w:sz w:val="20"/>
                <w:szCs w:val="20"/>
                <w:color w:val="auto"/>
              </w:rPr>
            </w:pPr>
            <w:r>
              <w:rPr>
                <w:rFonts w:ascii="Times New Roman" w:cs="Times New Roman" w:eastAsia="Times New Roman" w:hAnsi="Times New Roman"/>
                <w:sz w:val="14"/>
                <w:szCs w:val="14"/>
                <w:b w:val="1"/>
                <w:bCs w:val="1"/>
                <w:color w:val="auto"/>
                <w:w w:val="99"/>
              </w:rPr>
              <w:t>DELAWARE</w:t>
            </w:r>
          </w:p>
        </w:tc>
        <w:tc>
          <w:tcPr>
            <w:tcW w:w="3740" w:type="dxa"/>
            <w:vAlign w:val="bottom"/>
          </w:tcPr>
          <w:p>
            <w:pPr>
              <w:spacing w:after="0"/>
              <w:rPr>
                <w:sz w:val="15"/>
                <w:szCs w:val="15"/>
                <w:color w:val="auto"/>
              </w:rPr>
            </w:pPr>
          </w:p>
        </w:tc>
        <w:tc>
          <w:tcPr>
            <w:tcW w:w="3700" w:type="dxa"/>
            <w:vAlign w:val="bottom"/>
            <w:gridSpan w:val="2"/>
          </w:tcPr>
          <w:p>
            <w:pPr>
              <w:jc w:val="right"/>
              <w:ind w:right="2392"/>
              <w:spacing w:after="0"/>
              <w:rPr>
                <w:sz w:val="20"/>
                <w:szCs w:val="20"/>
                <w:color w:val="auto"/>
              </w:rPr>
            </w:pPr>
            <w:r>
              <w:rPr>
                <w:rFonts w:ascii="Times New Roman" w:cs="Times New Roman" w:eastAsia="Times New Roman" w:hAnsi="Times New Roman"/>
                <w:sz w:val="14"/>
                <w:szCs w:val="14"/>
                <w:b w:val="1"/>
                <w:bCs w:val="1"/>
                <w:color w:val="auto"/>
              </w:rPr>
              <w:t>33-0827593</w:t>
            </w:r>
          </w:p>
        </w:tc>
      </w:tr>
      <w:tr>
        <w:trPr>
          <w:trHeight w:val="148"/>
        </w:trPr>
        <w:tc>
          <w:tcPr>
            <w:tcW w:w="3800" w:type="dxa"/>
            <w:vAlign w:val="bottom"/>
            <w:gridSpan w:val="2"/>
          </w:tcPr>
          <w:p>
            <w:pPr>
              <w:jc w:val="center"/>
              <w:ind w:left="175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60" w:type="dxa"/>
            <w:vAlign w:val="bottom"/>
          </w:tcPr>
          <w:p>
            <w:pPr>
              <w:jc w:val="center"/>
              <w:ind w:right="2192"/>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800" w:type="dxa"/>
            <w:vAlign w:val="bottom"/>
            <w:gridSpan w:val="2"/>
          </w:tcPr>
          <w:p>
            <w:pPr>
              <w:jc w:val="center"/>
              <w:ind w:left="175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60" w:type="dxa"/>
            <w:vAlign w:val="bottom"/>
          </w:tcPr>
          <w:p>
            <w:pPr>
              <w:jc w:val="center"/>
              <w:ind w:right="2192"/>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81"/>
        </w:trPr>
        <w:tc>
          <w:tcPr>
            <w:tcW w:w="7540" w:type="dxa"/>
            <w:vAlign w:val="bottom"/>
            <w:gridSpan w:val="3"/>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rPr>
              <w:t>4200 MARATHON BLVD. SUITE 200, AUSTIN, TX</w:t>
            </w:r>
          </w:p>
        </w:tc>
        <w:tc>
          <w:tcPr>
            <w:tcW w:w="3700" w:type="dxa"/>
            <w:vAlign w:val="bottom"/>
            <w:gridSpan w:val="2"/>
          </w:tcPr>
          <w:p>
            <w:pPr>
              <w:jc w:val="right"/>
              <w:ind w:right="2552"/>
              <w:spacing w:after="0"/>
              <w:rPr>
                <w:sz w:val="20"/>
                <w:szCs w:val="20"/>
                <w:color w:val="auto"/>
              </w:rPr>
            </w:pPr>
            <w:r>
              <w:rPr>
                <w:rFonts w:ascii="Times New Roman" w:cs="Times New Roman" w:eastAsia="Times New Roman" w:hAnsi="Times New Roman"/>
                <w:sz w:val="14"/>
                <w:szCs w:val="14"/>
                <w:b w:val="1"/>
                <w:bCs w:val="1"/>
                <w:color w:val="auto"/>
              </w:rPr>
              <w:t>78756</w:t>
            </w:r>
          </w:p>
        </w:tc>
      </w:tr>
      <w:tr>
        <w:trPr>
          <w:trHeight w:val="178"/>
        </w:trPr>
        <w:tc>
          <w:tcPr>
            <w:tcW w:w="7540" w:type="dxa"/>
            <w:vAlign w:val="bottom"/>
            <w:gridSpan w:val="3"/>
          </w:tcPr>
          <w:p>
            <w:pPr>
              <w:jc w:val="center"/>
              <w:ind w:right="182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40" w:type="dxa"/>
            <w:vAlign w:val="bottom"/>
          </w:tcPr>
          <w:p>
            <w:pPr>
              <w:spacing w:after="0"/>
              <w:rPr>
                <w:sz w:val="15"/>
                <w:szCs w:val="15"/>
                <w:color w:val="auto"/>
              </w:rPr>
            </w:pPr>
          </w:p>
        </w:tc>
        <w:tc>
          <w:tcPr>
            <w:tcW w:w="3360" w:type="dxa"/>
            <w:vAlign w:val="bottom"/>
          </w:tcPr>
          <w:p>
            <w:pPr>
              <w:jc w:val="center"/>
              <w:ind w:right="2192"/>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33"/>
        </w:trPr>
        <w:tc>
          <w:tcPr>
            <w:tcW w:w="3380" w:type="dxa"/>
            <w:vAlign w:val="bottom"/>
          </w:tcPr>
          <w:p>
            <w:pPr>
              <w:spacing w:after="0"/>
              <w:rPr>
                <w:sz w:val="20"/>
                <w:szCs w:val="20"/>
                <w:color w:val="auto"/>
              </w:rPr>
            </w:pPr>
          </w:p>
        </w:tc>
        <w:tc>
          <w:tcPr>
            <w:tcW w:w="7860" w:type="dxa"/>
            <w:vAlign w:val="bottom"/>
            <w:gridSpan w:val="4"/>
          </w:tcPr>
          <w:p>
            <w:pPr>
              <w:jc w:val="center"/>
              <w:ind w:right="329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(737) 255-7194</w:t>
            </w:r>
          </w:p>
        </w:tc>
      </w:tr>
      <w:tr>
        <w:trPr>
          <w:trHeight w:val="229"/>
        </w:trPr>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4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81"/>
        </w:trPr>
        <w:tc>
          <w:tcPr>
            <w:tcW w:w="33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r>
      <w:tr>
        <w:trPr>
          <w:trHeight w:val="169"/>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40" w:type="dxa"/>
            <w:vAlign w:val="bottom"/>
            <w:tcBorders>
              <w:bottom w:val="single" w:sz="8" w:color="auto"/>
              <w:right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2"/>
        </w:trPr>
        <w:tc>
          <w:tcPr>
            <w:tcW w:w="338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2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jc w:val="center"/>
              <w:ind w:right="29"/>
              <w:spacing w:after="0" w:line="152" w:lineRule="exact"/>
              <w:rPr>
                <w:sz w:val="20"/>
                <w:szCs w:val="20"/>
                <w:color w:val="auto"/>
              </w:rPr>
            </w:pPr>
            <w:r>
              <w:rPr>
                <w:rFonts w:ascii="Times New Roman" w:cs="Times New Roman" w:eastAsia="Times New Roman" w:hAnsi="Times New Roman"/>
                <w:sz w:val="14"/>
                <w:szCs w:val="14"/>
                <w:color w:val="auto"/>
              </w:rPr>
              <w:t>PSTV</w:t>
            </w:r>
          </w:p>
        </w:tc>
        <w:tc>
          <w:tcPr>
            <w:tcW w:w="340" w:type="dxa"/>
            <w:vAlign w:val="bottom"/>
            <w:tcBorders>
              <w:bottom w:val="single" w:sz="8" w:color="auto"/>
              <w:right w:val="single" w:sz="8" w:color="auto"/>
            </w:tcBorders>
          </w:tcPr>
          <w:p>
            <w:pPr>
              <w:spacing w:after="0"/>
              <w:rPr>
                <w:sz w:val="13"/>
                <w:szCs w:val="13"/>
                <w:color w:val="auto"/>
              </w:rPr>
            </w:pPr>
          </w:p>
        </w:tc>
        <w:tc>
          <w:tcPr>
            <w:tcW w:w="336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Nasdaq Capital Market</w:t>
            </w:r>
          </w:p>
        </w:tc>
      </w:tr>
      <w:tr>
        <w:trPr>
          <w:trHeight w:val="227"/>
        </w:trPr>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4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03"/>
        </w:trPr>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None.</w:t>
            </w:r>
          </w:p>
        </w:tc>
        <w:tc>
          <w:tcPr>
            <w:tcW w:w="3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30"/>
        </w:trPr>
        <w:tc>
          <w:tcPr>
            <w:tcW w:w="7540" w:type="dxa"/>
            <w:vAlign w:val="bottom"/>
            <w:gridSpan w:val="3"/>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tc>
        <w:tc>
          <w:tcPr>
            <w:tcW w:w="3700" w:type="dxa"/>
            <w:vAlign w:val="bottom"/>
            <w:gridSpan w:val="2"/>
          </w:tcPr>
          <w:p>
            <w:pPr>
              <w:ind w:left="4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4" w:lineRule="exact"/>
        <w:rPr>
          <w:sz w:val="24"/>
          <w:szCs w:val="24"/>
          <w:color w:val="auto"/>
        </w:rPr>
      </w:pPr>
    </w:p>
    <w:p>
      <w:pPr>
        <w:spacing w:after="0" w:line="188" w:lineRule="exact"/>
        <w:tabs>
          <w:tab w:leader="none" w:pos="80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2"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6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10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3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10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3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10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3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41"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380"/>
        <w:spacing w:after="0" w:line="182" w:lineRule="exact"/>
        <w:rPr>
          <w:sz w:val="20"/>
          <w:szCs w:val="20"/>
          <w:color w:val="auto"/>
        </w:rPr>
      </w:pPr>
      <w:r>
        <w:rPr>
          <w:rFonts w:ascii="Times New Roman" w:cs="Times New Roman" w:eastAsia="Times New Roman" w:hAnsi="Times New Roman"/>
          <w:sz w:val="14"/>
          <w:szCs w:val="14"/>
          <w:color w:val="auto"/>
        </w:rPr>
        <w:t xml:space="preserve">Indicacheck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spacing w:after="0" w:line="188"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79"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of the registrant on June 30, 2022, the last business day of the registrant’s most recently completed second fiscal quarter, was $12.1 million based on the closing sales price of the registrant’s common stock on June 30, 2022 as reported on the Nasdaq Capital Market, of $0.54 per share.</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17, 2023, there were 35,109,885 shares of the registrant’s common stock outstanding.</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2023 Annual Meeting of Stockholders, which will be filed with the United States Securities and Exchange Commission within 120 days of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2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5"/>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400" w:type="dxa"/>
            <w:vAlign w:val="bottom"/>
            <w:gridSpan w:val="17"/>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60" w:type="dxa"/>
            <w:vAlign w:val="bottom"/>
            <w:gridSpan w:val="12"/>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580" w:type="dxa"/>
            <w:vAlign w:val="bottom"/>
            <w:gridSpan w:val="19"/>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r>
      <w:tr>
        <w:trPr>
          <w:trHeight w:val="507"/>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2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8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240" w:type="dxa"/>
            <w:vAlign w:val="bottom"/>
            <w:tcBorders>
              <w:top w:val="single" w:sz="8" w:color="0000EE"/>
            </w:tcBorders>
            <w:gridSpan w:val="17"/>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60" w:type="dxa"/>
            <w:vAlign w:val="bottom"/>
            <w:gridSpan w:val="4"/>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EE"/>
            </w:tcBorders>
            <w:gridSpan w:val="2"/>
          </w:tcPr>
          <w:p>
            <w:pPr>
              <w:spacing w:after="0"/>
              <w:rPr>
                <w:sz w:val="19"/>
                <w:szCs w:val="19"/>
                <w:color w:val="auto"/>
              </w:rPr>
            </w:pPr>
          </w:p>
        </w:tc>
        <w:tc>
          <w:tcPr>
            <w:tcW w:w="4960" w:type="dxa"/>
            <w:vAlign w:val="bottom"/>
            <w:gridSpan w:val="7"/>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EE"/>
            </w:tcBorders>
            <w:gridSpan w:val="11"/>
          </w:tcPr>
          <w:p>
            <w:pPr>
              <w:spacing w:after="0"/>
              <w:rPr>
                <w:sz w:val="19"/>
                <w:szCs w:val="19"/>
                <w:color w:val="auto"/>
              </w:rPr>
            </w:pPr>
          </w:p>
        </w:tc>
        <w:tc>
          <w:tcPr>
            <w:tcW w:w="284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9B.</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9C.</w:t>
            </w:r>
          </w:p>
        </w:tc>
        <w:tc>
          <w:tcPr>
            <w:tcW w:w="48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w:t>
            </w:r>
          </w:p>
        </w:tc>
        <w:tc>
          <w:tcPr>
            <w:tcW w:w="4480" w:type="dxa"/>
            <w:vAlign w:val="bottom"/>
            <w:gridSpan w:val="6"/>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r>
      <w:tr>
        <w:trPr>
          <w:trHeight w:val="507"/>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24"/>
                <w:szCs w:val="24"/>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EE"/>
            </w:tcBorders>
            <w:gridSpan w:val="5"/>
          </w:tcPr>
          <w:p>
            <w:pPr>
              <w:spacing w:after="0"/>
              <w:rPr>
                <w:sz w:val="19"/>
                <w:szCs w:val="19"/>
                <w:color w:val="auto"/>
              </w:rPr>
            </w:pPr>
          </w:p>
        </w:tc>
        <w:tc>
          <w:tcPr>
            <w:tcW w:w="5220" w:type="dxa"/>
            <w:vAlign w:val="bottom"/>
            <w:gridSpan w:val="8"/>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2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60" w:type="dxa"/>
            <w:vAlign w:val="bottom"/>
            <w:gridSpan w:val="5"/>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14.</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r>
      <w:tr>
        <w:trPr>
          <w:trHeight w:val="507"/>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15.</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r>
      <w:tr>
        <w:trPr>
          <w:trHeight w:val="223"/>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20" w:type="dxa"/>
            <w:vAlign w:val="bottom"/>
            <w:gridSpan w:val="10"/>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9"/>
                <w:szCs w:val="19"/>
                <w:color w:val="auto"/>
              </w:rPr>
            </w:pPr>
          </w:p>
        </w:tc>
      </w:tr>
      <w:tr>
        <w:trPr>
          <w:trHeight w:val="797"/>
        </w:trPr>
        <w:tc>
          <w:tcPr>
            <w:tcW w:w="11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certain statements that may be deemed “forward-looking statements” within the meaning of U.S. securities laws. All statements, other than statements of historical fact, that address activities, events or developments that we intend, expect, project, believe or anticipate and similar expressions or future conditional verbs such as will, should, would, could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our strategic collaborations and license agreements, intellectual property, FDA and EMA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report, including our potential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manufacture to a contract drug manufacturing organization; and the potential enhancement of our cash position through development, marketing, and licensing arrangements. The forward-looking statements included in this report are also subject to a number of additional material risks and uncertainties, including but not limited to the risks described under the “Risk Factor Summary” below.</w:t>
      </w:r>
    </w:p>
    <w:p>
      <w:pPr>
        <w:spacing w:after="0" w:line="8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We encourage you to read the risks described under “Risk Factor Summary” and elsewhere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Below is a summary of the principal factors that may affect our business, financial condition, and results of operations.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121" w:lineRule="exact"/>
        <w:rPr>
          <w:sz w:val="20"/>
          <w:szCs w:val="20"/>
          <w:color w:val="auto"/>
        </w:rPr>
      </w:pPr>
    </w:p>
    <w:p>
      <w:pPr>
        <w:ind w:left="1020" w:right="1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inception and expect to incur significant net losses in the foreseeable future and therefore may never become profitable and our operating results have been and will likely continue to be volatile.</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delisted from Nasdaq, which would seriously harm the liquidity of our stock and our ability to raise capital.</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 Furthermore, the volatility in the global capital markets may negatively impact our ability to obtain additional debt financings and modify our existing debt facilities and may increase the risk of non-compliance with covenants under our existing loan agreement.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net operating loss carryforwards and certain other tax attributes may be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1" w:lineRule="exact"/>
        <w:rPr>
          <w:sz w:val="20"/>
          <w:szCs w:val="20"/>
          <w:color w:val="auto"/>
        </w:rPr>
      </w:pPr>
    </w:p>
    <w:p>
      <w:pPr>
        <w:ind w:left="1020" w:right="20" w:hanging="503"/>
        <w:spacing w:after="0" w:line="22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in large part dependent upon our ability to successfully develop our nanomedicine platform and commercialize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and any failure to do so could significantly harm our business and prospects.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partner with other companies to commercialize our product candidates, our business could materially suffer.</w:t>
      </w:r>
    </w:p>
    <w:p>
      <w:pPr>
        <w:spacing w:after="0" w:line="7"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substantial part on our ability to obtain regulatory approvals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candidates. However, we cannot be certain that we will receive regulatory approval for these product candidates or our other product candidates.</w:t>
      </w:r>
    </w:p>
    <w:p>
      <w:pPr>
        <w:spacing w:after="0" w:line="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government funding for our programs may impose requirements that limit our ability to take certain actions, and subject it to potential financial penalties, which could materially and adversely affect its business, financial condition and results of operations.</w:t>
      </w:r>
    </w:p>
    <w:p>
      <w:pPr>
        <w:ind w:left="1020" w:right="34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ind w:left="1020" w:right="360" w:hanging="503"/>
        <w:spacing w:after="0" w:line="265"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development involves a lengthy and expensive process, with an uncertain outcome. We may incur additional costs or experience delays in completing, or ultimately be unable to complete, the development and commercialization of our product candidates.</w:t>
      </w:r>
    </w:p>
    <w:p>
      <w:pPr>
        <w:ind w:left="1020" w:right="4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and preliminary and interim data from clinical trials of our product candidates are not necessarily predictive of the results or success of ongoing or future clinical trials of our product candidates.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fail to support approval of our product candidates.</w:t>
      </w:r>
    </w:p>
    <w:p>
      <w:pPr>
        <w:spacing w:after="0" w:line="9"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we engage are not able to successfully perform, we may not be able to successfully complete clinical development, obtain regulatory approval or commercialize our product candidates and our business could be substantially harmed.</w:t>
      </w:r>
    </w:p>
    <w:p>
      <w:pPr>
        <w:ind w:left="1020" w:right="56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enrolling, or fail to enroll patients in our clinical trials, which could delay or prevent clinical trials of our drug candidates.</w:t>
      </w:r>
    </w:p>
    <w:p>
      <w:pPr>
        <w:ind w:left="1020" w:right="78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particular product candidate causes significant adverse events, then we may be unable to receive regulatory approval or market acceptance for such product candidate.</w:t>
      </w: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and technologies receive regulatory approval but do not achieve broad market acceptance, especially by physicians, the revenue that we generate will be limited.</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potential applications of our product candidates are investigational, which subjects us to development and marketing risks.</w:t>
      </w:r>
    </w:p>
    <w:p>
      <w:pPr>
        <w:spacing w:after="0" w:line="9"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w:t>
      </w:r>
    </w:p>
    <w:p>
      <w:pPr>
        <w:spacing w:after="0" w:line="1" w:lineRule="exact"/>
        <w:rPr>
          <w:rFonts w:ascii="Times New Roman" w:cs="Times New Roman" w:eastAsia="Times New Roman" w:hAnsi="Times New Roman"/>
          <w:sz w:val="18"/>
          <w:szCs w:val="18"/>
          <w:color w:val="auto"/>
        </w:rPr>
      </w:pPr>
    </w:p>
    <w:p>
      <w:pPr>
        <w:ind w:left="1020" w:right="16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ongoing regulatory obligations and continued regulatory review, which may result in significant expense, and if we or our collaborators fail to comply with such requirements, regulatory agencies may take action against us or them, which could significantly harm our business.</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new and/or emerging government regulations, including healthcare legislative reform measures, may adversely affect us.</w:t>
      </w:r>
    </w:p>
    <w:p>
      <w:pPr>
        <w:spacing w:after="0" w:line="27"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1"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intellectual property that we have in-licensed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Orphan drug designation may not ensure that we will enjoy market exclusivity in a particular market, and if we fail to obtain or maintain orphan drug designation or other regulatory exclusivity for some of our product candidates, our competitive position could be harmed.</w:t>
      </w: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 interruption in supply from a material sole source supplier, our business may be harmed.</w:t>
      </w:r>
    </w:p>
    <w:p>
      <w:pPr>
        <w:spacing w:after="0" w:line="9" w:lineRule="exact"/>
        <w:rPr>
          <w:rFonts w:ascii="Times New Roman" w:cs="Times New Roman" w:eastAsia="Times New Roman" w:hAnsi="Times New Roman"/>
          <w:sz w:val="18"/>
          <w:szCs w:val="18"/>
          <w:color w:val="auto"/>
        </w:rPr>
      </w:pPr>
    </w:p>
    <w:p>
      <w:pPr>
        <w:ind w:left="1020" w:right="280" w:hanging="503"/>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3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We may not be able to protect our trade secrets.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our employees have wrongfully used or disclosed alleged trade secrets of their former employers.</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 and we may be unable to protect our rights to our product candidates and technology.</w:t>
      </w:r>
    </w:p>
    <w:p>
      <w:pPr>
        <w:ind w:left="1020" w:hanging="503"/>
        <w:spacing w:after="0" w:line="26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intellectual property rights of third parties, it will be costly and time consuming, and an unfavorable outcome in that litigation would have a material adverse effect on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Securities Markets and an Investment in Our Common Stock</w:t>
      </w:r>
    </w:p>
    <w:p>
      <w:pPr>
        <w:spacing w:after="0" w:line="121" w:lineRule="exact"/>
        <w:rPr>
          <w:sz w:val="20"/>
          <w:szCs w:val="20"/>
          <w:color w:val="auto"/>
        </w:rPr>
      </w:pPr>
    </w:p>
    <w:p>
      <w:pPr>
        <w:ind w:left="1020" w:right="6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substantial dilution in the value of their investment if we issue additional shares of our capital stock, including in connection with the sale or issuance of our common stock to Lincoln Park and the sale of the shares of common stock acquired by Lincoln Park and the sale of our common stock by Canaccord.</w:t>
      </w:r>
    </w:p>
    <w:p>
      <w:pPr>
        <w:spacing w:after="0" w:line="55"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fluctuate significantly, which could result in substantial losses for stockholders, and future sales of our common stock may depress our share price.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debt and equity securities or securities convertible into equity securities, any of which may be senior to our common stock as to distributions and in liquidation, which could negatively affect the value of our common stock.</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“Plus,” the “Company,” “we,” “us” and “our” refer to Plus Therapeutics, Inc. References to “Notes” refer to the Notes to Financial Statements included herein (refer to Item 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Plus Therapeutics, Inc. is a U.S. pharmaceutical company developing targeted radiotherapeutics with advanced platform technologies for central nervous system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0"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18"/>
          <w:szCs w:val="18"/>
          <w:color w:val="auto"/>
        </w:rPr>
        <w:t>Our lead radiotherapeutic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(formerly,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RNL”), is designed specifically to CNS cancers including recurrent glioblastoma ("GBM"), leptomeningeal metastases ("LM"), and pediatric brain cancers ("PBC") by direct localized delivery utilizing approved standard-of-care tissue access such as with convection-enhanced delivery (“CED”) and intraventricular brain(Ommaya reservoir) catheters. Our recently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to its headquarters in Austin, we have an established, GMP-validated research and development and manufacturing facility in San Antonio, Texas, tailored to produce cGMP rhenium (186Re) obisbemeda. We have built a robust supply chain through strategic partnerships that enable the development, manufacturing and future potential commercialization of our products. Our current supply chain and key partners are positioned to supply cGMP rhenium (186Re) obisbemeda for ongoing and planned Phase 2 and Phase 3 clinical trials in patients with GBM, LM and PBC..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8" w:lineRule="exact"/>
        <w:rPr>
          <w:sz w:val="20"/>
          <w:szCs w:val="20"/>
          <w:color w:val="auto"/>
        </w:rPr>
      </w:pPr>
    </w:p>
    <w:p>
      <w:pPr>
        <w:jc w:val="both"/>
        <w:ind w:firstLine="749"/>
        <w:spacing w:after="0" w:line="212" w:lineRule="auto"/>
        <w:rPr>
          <w:sz w:val="20"/>
          <w:szCs w:val="20"/>
          <w:color w:val="auto"/>
        </w:rPr>
      </w:pPr>
      <w:r>
        <w:rPr>
          <w:rFonts w:ascii="Times New Roman" w:cs="Times New Roman" w:eastAsia="Times New Roman" w:hAnsi="Times New Roman"/>
          <w:sz w:val="18"/>
          <w:szCs w:val="18"/>
          <w:color w:val="auto"/>
        </w:rPr>
        <w:t>Our most advanced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patented radiotherapy potentially useful for patients with CNS and other cancers. Preclinical study data describing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several cancer targets have been published in peer-reviewed journals and reported at a variety of medical society peer-reviewed meetings. Besides GBM, LM and PBC,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been reported to have potential applications for head and neck cancer, ovarian cancer, breast cancer and peritoneal metastases.</w:t>
      </w:r>
    </w:p>
    <w:p>
      <w:pPr>
        <w:spacing w:after="0" w:line="9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The Rhenium (186Re)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 through the completion of a Phase 2 clinical trial, including enrollment of up to 55 patients. As of February 23, 2023, 26 patients have been treated in the Phase 1 clinical trial and the Phase 2 clinical trial has been initiated with the first patient treated. In addition, we anticipate obtaining FDA IND approval for the ReSPECT-PBC clinical trial for PBC in early 2023.</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 w:name="page7"/>
    <w:bookmarkEnd w:id="6"/>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August 29, 2022, we announced feedback from a Type C meeting with the FDA regarding Chemistry, Manufacturing and Controls (“CMC”) practices. The meeting focused on our Current Good Manufacturing Practice (“cGMP”) clinical and commercial manufacturing process for our lead investigational targeted radiotherapeutic, BMEDA-chelated Rhenium (186Re) Obisbemeda, for recurrent GBM.</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The FDA indicated agreement with our proposed application of cGMP guidance for radiotherapeutics, small molecule drug products and liposome drug products for our novel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and LM adult development and pediatric brain tumors, we believe this FDA alignment and feedback will apply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used in other clinical development programs, including LM and PBC.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w:t>
      </w:r>
      <w:r>
        <w:rPr>
          <w:rFonts w:ascii="Times New Roman" w:cs="Times New Roman" w:eastAsia="Times New Roman" w:hAnsi="Times New Roman"/>
          <w:sz w:val="18"/>
          <w:szCs w:val="18"/>
          <w:i w:val="1"/>
          <w:iCs w:val="1"/>
          <w:color w:val="auto"/>
        </w:rPr>
        <w:t>versus External Beam Radiation Therapy for Recurrent GBM</w:t>
      </w:r>
    </w:p>
    <w:p>
      <w:pPr>
        <w:spacing w:after="0" w:line="62"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novel injectable radiotherapy designed to deliver targeted, high dose radiation directly into GBM tumors in a safe, effective, and convenient manner that may ultimately prolong patient survival.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compared to standard external beam radiotherapy or EBRT include:</w:t>
      </w:r>
    </w:p>
    <w:p>
      <w:pPr>
        <w:spacing w:after="0" w:line="25" w:lineRule="exact"/>
        <w:rPr>
          <w:sz w:val="20"/>
          <w:szCs w:val="20"/>
          <w:color w:val="auto"/>
        </w:rPr>
      </w:pPr>
    </w:p>
    <w:p>
      <w:pPr>
        <w:jc w:val="both"/>
        <w:ind w:left="1140" w:hanging="383"/>
        <w:spacing w:after="0" w:line="23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radiation dose delivered to patients may be up to 20 times greater than what is possible with commonly used external beam radiation therapy (“EBRT”), which, unlike EBRT and proton beam devices, spares normal tissue and the brain from radiation exposure.</w:t>
      </w:r>
    </w:p>
    <w:p>
      <w:pPr>
        <w:spacing w:after="0" w:line="2" w:lineRule="exact"/>
        <w:rPr>
          <w:rFonts w:ascii="Times New Roman" w:cs="Times New Roman" w:eastAsia="Times New Roman" w:hAnsi="Times New Roman"/>
          <w:sz w:val="18"/>
          <w:szCs w:val="18"/>
          <w:color w:val="auto"/>
        </w:rPr>
      </w:pPr>
    </w:p>
    <w:p>
      <w:pPr>
        <w:ind w:left="1140" w:hanging="383"/>
        <w:spacing w:after="0" w:line="22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can be visualized in real-time during administration, possibly giving clinicians better control of radiation dosing, distribution and retention.</w:t>
      </w:r>
    </w:p>
    <w:p>
      <w:pPr>
        <w:ind w:left="1140" w:right="20" w:hanging="383"/>
        <w:spacing w:after="0" w:line="22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potentially more effectively treats a bulk tumor and microscopic disease that has already invaded healthy tissue.</w:t>
      </w:r>
    </w:p>
    <w:p>
      <w:pPr>
        <w:jc w:val="both"/>
        <w:ind w:left="1140" w:hanging="383"/>
        <w:spacing w:after="0" w:line="23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1" w:lineRule="exact"/>
        <w:rPr>
          <w:rFonts w:ascii="Times New Roman" w:cs="Times New Roman" w:eastAsia="Times New Roman" w:hAnsi="Times New Roman"/>
          <w:sz w:val="18"/>
          <w:szCs w:val="18"/>
          <w:color w:val="auto"/>
        </w:rPr>
      </w:pPr>
    </w:p>
    <w:p>
      <w:pPr>
        <w:ind w:left="1140" w:hanging="383"/>
        <w:spacing w:after="0" w:line="22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22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Recurrent GBM is the most common, complex, and aggressive primary brain cancer in adults. In the U.S., there are more than 13,000 GBM cases diagnosed and approximately 10,000 patients succumb to the disease each year. The average length of overall survival ("OS") for GBM patients is eight months, with a one-year survival rate of 40.8% and a five-year survival rate of only 6.8% and these estimates varies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9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targeting and avoidance of normal tissue. The locally delivered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for and provides patient tolerability and safety. Though no head-to-head trial with chemo, immune,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EBRT or systemic radiopharmaceutical products have been conducted, patient tolerability and safety considerations have been reported as expected.</w:t>
      </w:r>
    </w:p>
    <w:p>
      <w:pPr>
        <w:spacing w:after="0" w:line="22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Interim results from our ongoing Phase 1/2a ReSPECT-GBM trial (ClinicalTrials.gov NCT01906385) show that the beta particle energy from our lead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GBM. In November 2021, the FDA granted Fast Track designation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w:t>
      </w:r>
    </w:p>
    <w:p>
      <w:pPr>
        <w:spacing w:after="0" w:line="35" w:lineRule="exact"/>
        <w:rPr>
          <w:sz w:val="20"/>
          <w:szCs w:val="20"/>
          <w:color w:val="auto"/>
        </w:rPr>
      </w:pPr>
    </w:p>
    <w:p>
      <w:pPr>
        <w:jc w:val="both"/>
        <w:ind w:firstLine="558"/>
        <w:spacing w:after="0" w:line="243"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under clinical investigation in a multicenter, sequential cohort, open-label, volume and dose escalation study of the safety, tolerability, and distribution of rhenium (186Re)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(186Re) obisbemeda dose and will expand exploring higher radiation doses in larger volumes to treat larger tumors. Additionally, two or more rhenium</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(186Re) obisbemeda administrations, if indicated, will be evaluated, and reviewed with the FDA, as well as expanded safety, imaging and efficacy data to support a planned future registrational trial. This in turn will provide a path to a registration trial.</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At the European Society for Medical Oncology Congress, held September 9 to 13, 2022, we presented updated data from the ReSPECT-GBM trial, which evaluated 23 adult patients with recurrent GBM across eight cohorts of increasing dose and treated over a seven-year period. Key findings include:</w:t>
      </w:r>
    </w:p>
    <w:p>
      <w:pPr>
        <w:spacing w:after="0" w:line="351"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DLTs have been observed and the procedure was very well tolerated with a strong safety profile. Minimal systemic radiation has been observed and the majority of adverse events have been mild or moderate and considered causally unrelated to rhenium (186Re) obisbemeda.</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70"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median overall survival (“OS”) rates correlated with the absorbed radiation tumor dose. When patients were stratified based on receipt of either a therapeutic or a subtherapeutic absorbed dose of radiation to the tumor, a statistically significant improvement in survival was observed. Specifically, patients receiving a therapeutic absorbed radiation dose (&gt;100 Gray) had a median OS of 22.9 months (95% CI of 8.8-42.3) compared to those receiving a subtherapeutic absorbed radiation dose (&lt;100 Gray) whose median OS was 5.6 months (95% CI of</w:t>
      </w:r>
    </w:p>
    <w:p>
      <w:pPr>
        <w:spacing w:after="0" w:line="2"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1.6-9.4). Currently, three patients remain alive, all in the therapeutic group.</w:t>
      </w:r>
    </w:p>
    <w:p>
      <w:pPr>
        <w:spacing w:after="0" w:line="98"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Feasibility to deliver up to at least 20 times more radiation to the tumor than the standard of care, EBRT. A maximum of 32.2 mCi in 12.3 mL of volume has been delivered in and near the tumors, and a maximum average absorbed dose of radiation of 740 Gray was successfully administered in a single procedure.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absorbed radiation dose to the tumor increased in latter dosing cohorts with greater administered doses of rhenium (186Re) obisbemeda β-particle radiation, larger drug CED infusate volumes, more catheters used (up to four versus one), and higher convection flow rates. In cohorts five and later, 82% of patients received a therapeutic radiation dose of &gt;100Gray.</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Single-photon emission computerized tomography and (SPECT)/CT scanning were used during treatment to compute tumor coverage and dosimetry. Post treatment imaging analyses, including MRI, relative cerebral blood volume (rCBV) analysis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left="1020"/>
        <w:spacing w:after="0" w:line="282" w:lineRule="auto"/>
        <w:rPr>
          <w:sz w:val="20"/>
          <w:szCs w:val="20"/>
          <w:color w:val="auto"/>
        </w:rPr>
      </w:pPr>
      <w:r>
        <w:rPr>
          <w:rFonts w:ascii="Times New Roman" w:cs="Times New Roman" w:eastAsia="Times New Roman" w:hAnsi="Times New Roman"/>
          <w:sz w:val="18"/>
          <w:szCs w:val="18"/>
          <w:color w:val="auto"/>
        </w:rPr>
        <w:t>and treatment response assessment maps (TRAMs) correlated with a positive tumor response and confirmed the presence of pseudoprogression in patients with positive tumor responses.</w:t>
      </w:r>
    </w:p>
    <w:p>
      <w:pPr>
        <w:spacing w:after="0" w:line="16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At the Society for Neuro-Oncology Annual Meeting in November 2022, we presented patient data, which at that time included the results for 24 patients treated in the ReSPECT-GBM trial. As of the date of this report, rhenium (186Re) obisbemeda given by CED in recurrent GBM patients was observed in the trial to be feasible and well tolerated. Across all subjects in the first eight cohorts (n=24), the median absorbed dose to the tumor volume increased as cohorts evaluated progressed, with patients receiving &gt;100Gy absorbed dose showing significant survival benefit versus patients receiving &lt;100Gy absorbed dose. Importantly, in a subset of patients where tumor coverage was greater than or equal to 75%, the median absorbed dose was 405 Gy (range 146-593). By contrast, given the protocol dose escalation design where early cohorts often had much lower doses, the absorbed doses were adequate for small tumors even with low doses. Small, absorbed doses to specific organs and whole body, are typically well-tolerated. Based on observed and reported patient protocol activity and all available adverse event (AE) data, rhenium (186Re) obisbemeda has been well-tolerated with AEs related to CED insertion that were limited and fully recovered. No AEs with an outcome of death, study discontinuation or study drug-related serious AEs have been reported. All AEs have been mild or moderate (Grade 1 or 2) in intensity, except for one case of Grade 3 vasogenic edema, which was considered by the investigator to be unrelated to the study drug. AEs considered by the investigator to be at least possibly related to rhenium (186Re) obisbemeda have included Grade 1 to 2 skin and soft tissue infection, intermittent cephalgia, neck and jaw pain, nausea with or without vomiting, constipation, increased lethargy, difficulty walking (gait disturbance), worsening double vision, and dysuria. Scalp discomfort and tenderness related to the surgical procedure has also been reported.</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the 24 subjects with recurrent GBM receiving a single administration of rhenium (186Re) obisbemeda, the median OS for all 24 patients as of November 2022 was 8.8 months, with four patients alive. In a subset of 13 patients receiving a presumed therapeutic absorbed radiation dose to the tumor (&gt;100 Gy), the mean OS was 22.9 months, respectively, with seven of 13 patients alive. In contrast, in nine patients receiving a presumed sub-therapeutic absorbed radiation dose to the tumor (&lt;100 Gy), the mean and median OS was 23.9 and 22.3 weeks, respectively. A Kaplan-Meier curve comparing patients with presumed therapeutic (&gt;100 Gy) versus sub-therapeutic (&lt;100 Gy) radiation dose to the tumor showed a statistically significant difference between the groups (p=.0003). It is hypothesized that targeted infusion of rhenium (186Re) obisbemeda into the tumor by CED, which exposure and potential toxicity and concentrates radiation to the tumor and surrounding region of interest. 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in approximately 24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 for Leptomeningeal Metastases (LM)</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have the potential to spread to the central nervous system and leptomeninges resulting in LM.</w:t>
      </w:r>
    </w:p>
    <w:p>
      <w:pPr>
        <w:spacing w:after="0" w:line="18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is predicated in part upon preclinical studies in which tolerance to doses of rhenium (186Re) obisbemeda as high as 1,075 Gy was shown in animal models with LM without significant observed toxicity. Furthermore, treatment led to a marked reduction in tumor burden in both C6 and MDA-231 LM models.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rhenium (186Re) obisbemeda for the treatment of LM, we initiated the trial and began screening patients for the ReSPECT-LM Phase 1 clinical trial in Q4 2021.</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ReSPECT-LM is a multi-center, sequential cohort, open-label, dose escalation study evaluating the safety, tolerability, and efficacy of a single-dose application of rhenium (186Re) obisbemeda administered through intrathecal infusion to the ventricle of patients with LM after standard surgical, radiation, and/or chemotherapy treatment. The primary endpoint of the study is the incidence and severity of adverse events and dose limiting toxicities.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March 31, 2022, we entered into a Sales Order (the “Sales Order”) with Medidata Solutions, Inc. (“Medidata”), pursuant to which Medidata built a Synthetic Control Arm® (SCA) platform that facilitates the use of historical clinical data to incorporate into our Phase 2 clinical trial of rhenium (186Re) obisbemeda in GBM. The Sales Order had a term of six (6) months. Work under this Sales Order has been completed.</w:t>
      </w:r>
    </w:p>
    <w:p>
      <w:pPr>
        <w:spacing w:after="0" w:line="6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CPRIT, pursuant to which CPRIT will provide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w:t>
      </w:r>
    </w:p>
    <w:p>
      <w:pPr>
        <w:spacing w:after="0" w:line="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jc w:val="both"/>
        <w:spacing w:after="0" w:line="227" w:lineRule="auto"/>
        <w:rPr>
          <w:sz w:val="20"/>
          <w:szCs w:val="20"/>
          <w:color w:val="auto"/>
        </w:rPr>
      </w:pPr>
      <w:r>
        <w:rPr>
          <w:rFonts w:ascii="Times New Roman" w:cs="Times New Roman" w:eastAsia="Times New Roman" w:hAnsi="Times New Roman"/>
          <w:sz w:val="18"/>
          <w:szCs w:val="18"/>
          <w:color w:val="auto"/>
        </w:rPr>
        <w:t>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w:t>
      </w:r>
    </w:p>
    <w:p>
      <w:pPr>
        <w:spacing w:after="0" w:line="205" w:lineRule="exact"/>
        <w:rPr>
          <w:sz w:val="20"/>
          <w:szCs w:val="20"/>
          <w:color w:val="auto"/>
        </w:rPr>
      </w:pPr>
    </w:p>
    <w:p>
      <w:pPr>
        <w:jc w:val="both"/>
        <w:ind w:firstLine="749"/>
        <w:spacing w:after="0" w:line="222" w:lineRule="auto"/>
        <w:rPr>
          <w:sz w:val="20"/>
          <w:szCs w:val="20"/>
          <w:color w:val="auto"/>
        </w:rPr>
      </w:pPr>
      <w:r>
        <w:rPr>
          <w:rFonts w:ascii="Times New Roman" w:cs="Times New Roman" w:eastAsia="Times New Roman" w:hAnsi="Times New Roman"/>
          <w:sz w:val="18"/>
          <w:szCs w:val="18"/>
          <w:color w:val="auto"/>
        </w:rPr>
        <w:t>Interim results showed that treatment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decreased CSF tumor cell count/ml and was well tolerated by all four LM patients.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was administered through a standard intraventricular catheter (Ommaya Reservoir), redistributed throughout the CSF, and was retained in the leptomeninges at least through day seven. All four patients have shown prompt and durable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distribution throughout the subarachnoid space. A single dose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at 6.6 millicurie ("mCi") in 5.0 mL, in Cohort 1, achieved absorbed doses of 18.7 to 29.0 Gy to the ventricles and cranial subarachnoid spaces, respectively. Cohort 2 is in progress with a 13.2 mCi administered dose in 5ml and was also well tolerated. All four patients experienced a decreased CSF cell count ranging from 46% to 92%. Three patients remain alive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the first patient in Cohort 1 has died, due to primary tumor progression. A single dose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was well-tolerated with limited AEs and no patients had definite treatment related AEs. Additionally, there were no AEs greater than Grade 1 that were even possibly related to treatment. Cohort 2 was completed on January 26, 2023 and Cohort 3 is expected to enroll in late February/early March 2023 after a protocol defined follow-up 28-day period. Besides continued dose escalation, repeated dosing will be explored.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22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(AANS)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It is estimated that in 2022 there were approximately 25,050 new brain and other central nervous system cases diagnosed (1.3% of all cancers) and 18,280 deaths (3.0% of all cancer related deaths). The average annual age adjusted mortality rate (“AAAMR”) for children aged 0-14 for malignant brain (and other CNS) tumors is 0.71/100,000, making it the most common cause of death and cancer death in this age group. The 2021 World Health Organization Classification of CNS Tumors (“WHO CNS5”)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94" w:lineRule="exact"/>
        <w:rPr>
          <w:sz w:val="20"/>
          <w:szCs w:val="20"/>
          <w:color w:val="auto"/>
        </w:rPr>
      </w:pPr>
    </w:p>
    <w:p>
      <w:pPr>
        <w:jc w:val="both"/>
        <w:ind w:firstLine="749"/>
        <w:spacing w:after="0" w:line="217" w:lineRule="auto"/>
        <w:rPr>
          <w:sz w:val="20"/>
          <w:szCs w:val="20"/>
          <w:color w:val="auto"/>
        </w:rPr>
      </w:pPr>
      <w:r>
        <w:rPr>
          <w:rFonts w:ascii="Times New Roman" w:cs="Times New Roman" w:eastAsia="Times New Roman" w:hAnsi="Times New Roman"/>
          <w:sz w:val="18"/>
          <w:szCs w:val="18"/>
          <w:color w:val="auto"/>
        </w:rPr>
        <w:t>Since the initial FDA feedback and receiving important adult GBM data and experience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and follow-up communications with the FDA, we plan to submit a pediatric brain tumor IND to investigate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two pediatric brain cancers in early 2023.</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 grade glioma confers a three-year progression free survival (“PFS”) of 11 ± 3% and three-year overall survival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22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 Health Science Center at San Antonio”)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Preclinical data from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embolization experiment in which Technetium99m-BAM was intra-arterially delivered to a bovine kidney perfusion model was presented at the recent 2021 Society of Interventional Radiology (“SIR”)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 xml:space="preserve">RNL-BAM is a preclinical investigational drug we intend to further develop and move into clinical trials. Specifically, in 2022 we transferred the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technology from UT Health Science Center at San Antonio, and began planning to develop the drug product and complete early preclinical studies to support a future FDA IND submission. Our intended initial clinical target is liver</w:t>
      </w:r>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cancer which is the sixth most common and third deadliest cancer worldwide. It is a rare disease with increasing U.S. annual incidence (42,000) and deaths (30,000).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June 22, 2022, we announced a multi-year laboratory services agreement with Biocept, Inc. (“Biocept”) to employ their cerebrospinal fluid (“CSF”) assay, CNSide, in Plus Therapeutics’ ReSPECT-LM Phase 1/2a dose-escalation trial of Rhenium-186 NanoLiposome for the treatment of patients with (“LM”).</w:t>
      </w:r>
    </w:p>
    <w:p>
      <w:pPr>
        <w:spacing w:after="0" w:line="2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December 31, 2021, we entered into a Patent and Technology License Agreement (the “UTHSA License Agreement”) with UT Health Science Center at San Antonio, pursuant to which UT Heath Science Center at San Antonio granted us an irrevocable, perpetual, exclusive, fully paid-up license, with the right to sublicense and to make, develop, commercialize and otherwise exploit certain patents, know-how and technology related to the development of BAM containing nanoliposomes loaded with imaging and/or therapeutic payloads. Therapeutic payloads may include radiotherapeutics, chemotherapeutics, or thermotherapeutics.</w:t>
      </w:r>
    </w:p>
    <w:p>
      <w:pPr>
        <w:spacing w:after="0" w:line="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BAM technology is delivered directly into the intra-arterial vascular system via commonly utilized and standard interventional vascular catheters and techniques that allow precise placement into the arterial blood vessels feeding tumors. Once injected, BAM technology provides a dual therapeutic delivery—blocking blood flow to the tumors by alginate microsphere tumor capillary embolization with simultaneous delivery of very high doses of cytotoxic compounds including radiation, such as nanoliposome encapsulated bi-functionally chelated Re-188, for an extended time. Weeks later, the delivered BAM are physiologically metabolized allowing excretion from the body. Rhenium-188 is an attraction and ideal therapeutic isotope for this application because of it’s 16.9 hour half-life, 2.12MEV β-decay and ~3.8mm tissue path-length, and simultaneous 155Kev γ-decay that allow simultaneous SPECT/CT imaging with commonly available imaging equipment to easily and non-invasively monitor product administration, delivery and dosimetry absorbed dose evaluation.</w:t>
      </w:r>
    </w:p>
    <w:p>
      <w:pPr>
        <w:spacing w:after="0" w:line="90"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18"/>
          <w:szCs w:val="18"/>
          <w:color w:val="auto"/>
        </w:rPr>
        <w:t xml:space="preserve">We currently anticipate that we will initially focus on developing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as a next-generation radioembolization therapy for liver cancer, in which BAM blocks the hepatic artery segments that supply blood to the malignant tumor while also providing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 radiotherapy directly to the tumor and surrounding tissue. According to the American Cancer Society, liver cancer is a rare disease with an increasing annual incidence and five-year overall survival of only 20%. We estimate that the global opportunity for localized embolization, chemoembolization, and radioembolization therapies for primary (hepatocellular carcinoma) and secondary (typically metastatic colorectal cancer, for example) liver cancer is $1.3 billion.</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financial terms of the exclusive license agreement are primarily success-based with milestone and royalty payments contingent on achieving key clinical, regulatory and sales milestones.</w:t>
      </w:r>
    </w:p>
    <w:p>
      <w:pPr>
        <w:spacing w:after="0" w:line="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18"/>
          <w:szCs w:val="18"/>
          <w:color w:val="auto"/>
        </w:rPr>
        <w:t xml:space="preserve">The initial inventions and work behind the licensed patents and technologies were developed and led by William Phillips MD, Professor of Nuclear Medicine, and team at UT Health Science Center at San Antonio.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technology incorporates Rhenium-188, 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Re, a unique isotope for radiotherapeutic embolization owing to its emission of a high energy [2.12Mev] electron (beta particle, 16.9 hour half-life with a 3.8mm decay path length.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Re also emits 155kev gamma energy that permits high quality, real-time imaging of the BAM construct delivery localization and confirmation. BAMs are not permanent and are anticipated to degrade over time, allowing restoration of blood flow, decreasing radiation resistance, and allowing for safer physiological clearance of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Re through the kidneys, which may minimize bone marrow toxicity.</w:t>
      </w:r>
    </w:p>
    <w:p>
      <w:pPr>
        <w:spacing w:after="0" w:line="2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transaction terms include an upfront payment in cash. We are also required to pay development and sales milestone payments, if achieved, and a tiered single-digit royalty on U.S. and European sales. In addition, we may be obligated to pay an annual maintenance fee beginning in 2024.</w:t>
      </w:r>
    </w:p>
    <w:p>
      <w:pPr>
        <w:spacing w:after="0" w:line="54"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On March 29, 2020, we entered into a Patent and Know-How License Agreement (the “NanoTx License Agreement”) with NanoTx, pursuant to which NanoTx granted us an irrevocable, perpetual, exclusive, fully paid-up license, with the right to sublicense and to make, develop, commercialize and otherwise exploit certain patents, know-how and technology related to the development of radiolabeled nanoliposomes.</w:t>
      </w:r>
    </w:p>
    <w:p>
      <w:pPr>
        <w:spacing w:after="0" w:line="5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our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the CPRIT.</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licensed NanoTx portfolio benefits from proprietary nanoliposome-encapsulated technology to encapsulate radionuclides allowing direct local delivery for several cancer targets.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The licensed radiolabeled nanoliposome platform was developed by a multi-institutional consortium based in Texas at the Mays Cancer Center / UT Health Science Center at San Antonio MD Anderson Cancer Center led by Dr. Andrew Brenner, MD, PhD, who is the Kolitz Chair in Neuro-Oncology Research and Co-Leader of the Experimental and Developmental Therapeutics Program. The technology was previously owned by NanoTx and funded by both the National Institutes of Health/National Cancer Institute ("NIH"/"NCI") and the Cancer Prevention and Research Institute of Texas ("CPRIT"). There is an active $3 million award from NIH/NCI which is expected to financially support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glioblastoma.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We have a dedicated nanoparticle research &amp; development facility located in San Antonio, Texas. The facility and processes are designed to comply with current good manufacturing practices (“cGMP”) per FDA and EMA regulations for the manufacture of drug candidates for clinical trials, research, and development. As described below, upon completion of the research and development phase of a drug candidate, certain parts of the manufacturing processes for such candidate may be transferred to contract manufactures to support clinical trials and commercial release. Upon approval of our drug candidates, we expect our manufacturing capabilities to include validated manufacturing processes for the drug product as well as a quality assurance product release process with the ability to ultimately scale-up the process to meet increasing market demands. We believe our strategic investments in our analytical, development and manufacturing capabilities, including personnel with expertise from drug discovery through drug development, will allow us to advance our product candidates more quickly. Expertise gained in manufacturing our drug products may be applied to other formulations in the future, further leveraging our capabilities. Our San Antonio facility is designed to enable us to develop drug substances, and drug products, in a cost-effective manner while retaining control over the intellectual property, process and timing of development activities. The use of a qualified Contract Drug Manufacturing Organization (“CDMO”) is entitled to be utilized to perform various manufacturing processes as we deem appropriate to meet our operational objectives. In addition, we have entered into master services agreements (“MSAs”) with third parties, including Piramal Pharma Solutions, Inc. (“Piramal”), ABX Advanced Biochemical Compounds GmbH, IsoTherapeutics Group, LLC, and Radiomedix, Inc. in connection with the development, manufacture, and supply of our rhenium (186Re) obisbemeda drug product.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will compete primarily on the basis of the safety and efficacy of our therapies across a broad range of clinical indications to address significant unmet medical and market needs, supported by our brand name, pricing, products, published clinical data, regulatory approvals, and reimbursement. We believe that our continued success depends on our ability to:</w:t>
      </w:r>
    </w:p>
    <w:p>
      <w:pPr>
        <w:spacing w:after="0" w:line="68"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innovate our product and technology platforms;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new and advance existing clinical development programs;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and maintain regulatory agency approvals;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expand our commercial footprint;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high quality products per our specifications and in line with customer expectations;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improved economies of scale;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and protect intellectual property;</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talent;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acquisition, licensing, and partnership activities.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Competition for rhenium (186Re) obisbemeda may come from a single or combination therapy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Recurrent Glioblastoma</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EnGeneIC, Berg, Istari, AstraZeneca, Novartis, PharmAbcine, Kairos, Midatech, Oncovir, Infuseon, Astellas, NanoPharmaceuticals, Erasca, OX2, Crimson BioPharm, TMUNITY, Pfizer, Arcus, Photolitec, Samus, DNAtrix, ImmVira, BerGenBio, Boston Scientific, BeiGene, GSK, Bristol Myers Squibb, Lilly, Sumitomo, QED, Chimerix, Accenda, Oblato, VBI, INIGHTEC, Sonalasense, VBL, Medicenna, Mimiva, Carthera, Gilead, CNS Pharmaceuticals, VAXIMM, Incyte, Celularity, Medicinova, Karyopharm, Nerviano Medical Sciences, Merck, Telix, Neonc, Nuvation Bio, Aadi, ERC, Kazia, Xoft, Basilea, Vigo, Biohaven, Bayer, Kintara, and others have reported drug development programs at various clinical stages for recurrent GBM.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Leptomeningeal Metastases</w:t>
      </w:r>
    </w:p>
    <w:p>
      <w:pPr>
        <w:spacing w:after="0" w:line="11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Angiochem, Y-mAbs, Roche, Bristol Myers Squibb, Merck, Kazia, AstraZeneca, Pfizer, Memorial Sloan Kettering, University of Virginia, Wake Forest University, University of Alabama Birmingham, and others have reported drug development programs at various clinical stages for LM.</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Pediatric Brain Cancer</w:t>
      </w:r>
    </w:p>
    <w:p>
      <w:pPr>
        <w:spacing w:after="0" w:line="11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AstraZeneca, Bristol Myers Squibb, Chimerix, Celgene, Eli Lilly, Nektar Therapeutics, Istari Oncology, Novartis, NovoCure, Takeda, Y-mAbs, Cellectar, and others have reported drug development programs at various clinical stages for PBC.</w:t>
      </w:r>
    </w:p>
    <w:p>
      <w:pPr>
        <w:spacing w:after="0" w:line="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Competition for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may come from a single or combination therapy in the future.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Liver Cancer</w:t>
      </w:r>
    </w:p>
    <w:p>
      <w:pPr>
        <w:spacing w:after="0" w:line="11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Boston Scientific, SIR-TEX, Terumo, ABK Biomedical, and others have reported radioembolization therapy product development programs for liver cancer.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technology, and to operate without infringing on the proprietary rights of third parties. We rely on a combination of patent, trade secret, copyright and trademark laws, as well as confidentiality agreements, licensing agreements and other agreements, to establish and protect our proprietary rights. Our success also depends, in part, on our ability to avoid infringing patents issued to others.</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18"/>
          <w:szCs w:val="18"/>
          <w:color w:val="auto"/>
        </w:rPr>
        <w:t xml:space="preserve">We license the proprietary formulation and proprietary methods of manufacture of the nanoliposome-encapsulated radionucleotides. rhenium (186Re)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 are covered by U.S. Patent No. 7,718,160, (the “‘160 Patent”) which will expire in December 2026. Patent term extension, codified in 35 U.S.C. §156, provides a means of recapturing time lost during the regulatory approval process. Based upon this regulation, we will apply for patent term extension for the ‘160 Patent for the time equal to the regulatory review period for rhenium (186Re) obisbemeda. This has the potential to extend patent coverage for this product for up to another five years. The ‘160 Patent covers rhenium (186Re)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 and their method of manufacture. The patent family also contains granted patents in Canada (Patent No. 2,490,959), Europe (Patent No. EP1536843), and Australia (Patent No. 2003241598), which are expected to expire in May 2023.</w:t>
      </w:r>
    </w:p>
    <w:p>
      <w:pPr>
        <w:spacing w:after="0" w:line="208"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 is also covered by U.S. Patent Appl. No. 17/611,929 titled Radiotherapeutic Microspheres, to which we have a license. This application is directed to a method of producing liposome containing alginate microspheres. This application was filed on November 17, 2021, and any patent granted from or claiming priority to it is expected to expire in May 2040, not including any patent term adjustment or patent term extension. The patent family also contains applications in Canada, Israel, India, Japan, Mexico, Saudi Arabia, Thailand, South Africa, Vietnam, Philippines, China, European Patent Office, Brazil, Singapore, Indonesia, Malaysia, Australia, and New Zealand.</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 is also covered by PCT/US2022/018992 titled Loading Alginate Microspheres, to which we have a license. This application is directed to a method for post-manufacture loading of a liposome-containing hydrogel microsphere. This application was filed March 4, 2022, and any patent granted from or claiming priority to it is expected to expire in March 2042.</w:t>
      </w:r>
    </w:p>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co-own and license PCT Application No. PCT/US2021/059969 and U.S. Patent Appl. No. 17/746,853, titled Radiolabeled Liposomes and Methods of Use Thereof, which are directed to methods of treating cancer comprising administering 186Re and 188Re nanoliposomes via CED. These applications were filed on November 18, 2021 and May 17, 2022, respectively, and any patents issued from or claiming priority to them are expected to expire in November 2041, not including any patent term adjustment or patent term extension.</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18"/>
          <w:szCs w:val="18"/>
          <w:color w:val="auto"/>
        </w:rPr>
        <w:t xml:space="preserve">We co-own and license PCT Application No. PCT/US2023/11564, titled Radiolabeled Liposomes and Methods of Use for Treating Leptomeningeal Metastases, which is directed to methods of treating Leptomeningeal Metastases comprising administering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and/or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Re nanoliposomes via an intraventricular reservoir. This application was filed on January 25, 2023, and any patent issued claiming priority to it is expected to expire in January 2043, not including any patent term adjustment or patent term extension.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compliance with applicable statutes and regulations and other regulatory authorities, require the expenditure of substantial time and financial resources. Our nanoparticle oncology drug candidates must receive regulatory approvals from the EMA and the FDA and from other government authorities prior to sale of the product candidates in their respective jurisdictions.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Manufactures of pharmaceutical products may also be subject to state and local regulation.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the imposition by the FDA or an institutional review board, or IRB, of a clinical hold, FDA refusal to approve pending new drug applications, or NDAs, or supplements, withdrawal of approval, warning or untitled letters, product recalls, product seizures, total or partial suspension of production or distribution, injunctions, fines, civil penalties, and criminal investigation, penalties, or prosecution.</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Product development for a new product or certain changes to an approved product in the United States typically involves:</w:t>
      </w:r>
    </w:p>
    <w:p>
      <w:pPr>
        <w:spacing w:after="0" w:line="225" w:lineRule="exact"/>
        <w:rPr>
          <w:sz w:val="20"/>
          <w:szCs w:val="20"/>
          <w:color w:val="auto"/>
        </w:rPr>
      </w:pPr>
    </w:p>
    <w:p>
      <w:pPr>
        <w:jc w:val="both"/>
        <w:ind w:left="1400" w:hanging="383"/>
        <w:spacing w:after="0" w:line="266"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studies, formulation studies, and animal studies, some in compliance with the FDA’s Good Laboratory Practices, or GLP, regulations, and the Animal Welfare Act administered and enforced by the United States Department of Agriculture;</w:t>
      </w:r>
    </w:p>
    <w:p>
      <w:pPr>
        <w:spacing w:after="0" w:line="175" w:lineRule="exact"/>
        <w:rPr>
          <w:rFonts w:ascii="Times New Roman" w:cs="Times New Roman" w:eastAsia="Times New Roman" w:hAnsi="Times New Roman"/>
          <w:sz w:val="18"/>
          <w:szCs w:val="18"/>
          <w:color w:val="auto"/>
        </w:rPr>
      </w:pPr>
    </w:p>
    <w:p>
      <w:pPr>
        <w:ind w:left="1400" w:hanging="383"/>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to support human clinical testing, which must become effective before clinical testing may commence;</w:t>
      </w:r>
    </w:p>
    <w:p>
      <w:pPr>
        <w:spacing w:after="0" w:line="161"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before each trial may be initiated at each clinical site;</w:t>
      </w:r>
    </w:p>
    <w:p>
      <w:pPr>
        <w:spacing w:after="0" w:line="225" w:lineRule="exact"/>
        <w:rPr>
          <w:rFonts w:ascii="Times New Roman" w:cs="Times New Roman" w:eastAsia="Times New Roman" w:hAnsi="Times New Roman"/>
          <w:sz w:val="18"/>
          <w:szCs w:val="18"/>
          <w:color w:val="auto"/>
        </w:rPr>
      </w:pPr>
    </w:p>
    <w:p>
      <w:pPr>
        <w:jc w:val="both"/>
        <w:ind w:left="1400" w:hanging="383"/>
        <w:spacing w:after="0" w:line="266"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under protocols submitted to the FDA and reviewed and approved by each IRB, conducted in accordance with federal regulations and current Good Clinical Practices, or GCP, to establish the safety and effectiveness of the drug for each indication for which FDA approval is sought;</w:t>
      </w:r>
    </w:p>
    <w:p>
      <w:pPr>
        <w:spacing w:after="0" w:line="175"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NDA to the FDA;</w:t>
      </w:r>
    </w:p>
    <w:p>
      <w:pPr>
        <w:spacing w:after="0" w:line="225"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jc w:val="both"/>
        <w:ind w:left="1400" w:hanging="383"/>
        <w:spacing w:after="0" w:line="266"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candidate is produced to assess compliance with current good manufacturing practices, or cGMP, and to assure that the facilities, methods and controls are adequate; and</w:t>
      </w:r>
    </w:p>
    <w:p>
      <w:pPr>
        <w:spacing w:after="0" w:line="175"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11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Satisfaction of FDA pre-market approval requirements typically takes many years and the actual time required may vary substantially based upon the type, complexity, and novelty of the product or disease.</w:t>
      </w:r>
    </w:p>
    <w:p>
      <w:pPr>
        <w:spacing w:after="0" w:line="5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candidate. The conduct of some preclinical tests must comply with federal regulations and requirements, including as applicable, GLP and the Animal Welfare Act. The results of preclinical testing are submitted to the FDA as part of an IND along with other information, including information about product chemistry, manufacturing and controls, and a proposed clinical trial protocol. Additional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w:t>
      </w:r>
    </w:p>
    <w:p>
      <w:pPr>
        <w:spacing w:after="0" w:line="8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product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w:t>
      </w:r>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Clinical trials to support drug products for marketing approval are typically conducted in three sequential phases, but the phases may overlap. Phase 1 involves the initial introduction of the drug product into healthy human subjects or patients. In Phase 1 trials, the product is tested to assess safety,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product. In most cases, the FDA requires two adequate and well-controlled Phase 3 clinical trials to demonstrate the efficacy of the drug product. A single Phase 3 trial with other confirmatory evidence may be sufficient in certain instances.</w:t>
      </w:r>
    </w:p>
    <w:p>
      <w:pPr>
        <w:spacing w:after="0" w:line="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most cases, in addition to sponsor oversight clinical trials are also overseen by an independent data safety monitoring board, or DSMB, which is a separate,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8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the manufacturer of an investigational drug in a Phase 2 or Phase 3 clinical trial for a serious or life-threatening disease is required to make available, such as by posting on its website, its policy on evaluating and responding to requests for expanded access to such investigational drug.</w:t>
      </w:r>
    </w:p>
    <w:p>
      <w:pPr>
        <w:spacing w:after="0" w:line="5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After completion of the required clinical testing, a drug product application is prepared and submitted to the FDA to request marketing approval for the product candidate in specific indications. FDA approval of the drug product is required before marketing of the product may begin in the United States. The drug product must include all relevant results of preclinical, clinical, and other testing and a compilation of data relating to the product candidate’s pharmacology, chemistry, manufacture, and controls, including negative or ambiguous results as well as positive findings. To support marketing approval, the data submitted must be sufficient in quality and quantity to establish the safety and effectiveness of the product candidate to the satisfaction of the FDA. The cost of preparing and submitting a drug product application is substantial. Under the Prescription Drug User Fee Act, or PDUFA, the submission of most drug product applications is subject to a substantial application user fee, and the applicant under an approved drug product is also subject to an annual program fee for each prescription product, subject to certain limited deferrals, waivers and reductions that may be available. These fees are typically increased annually. The FDA has 60 days from its receipt of an NDA to determine whether the application will be accepted for filing based on the agency’s threshold determination that it is sufficiently complete to permit substantive review. The FDA may refuse to accept for filing any NDA that it deems incomplete or not properly reviewable at the time of submission, in which case the NDA will have to be updated and resubmitted. Once the submission is accepted for filing, the FDA begins an in-depth review. The FDA has agreed to certain performance goals in the review of NDAs. The FDA’s PDUFA review goal is to review 90% of priority applications within six months of filing and 90% of standard applications within 10 months of filing. Priority review may be granted to an application for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FDA may also refer applications for drug candidates that present difficult questions of safety or efficacy, to an advisory committee— typically a panel that includes clinicians and other experts—for review, evaluation, and a recommendation as to whether the application should be approved. The FDA is not bound by the recommendation of an advisory committee, but it consider such recommendations carefully when making decisions. Before approving an NDA, the FDA will typically inspect one or more clinical sites to assure compliance with GCP. Additionally, the FDA will inspect the facility or the facilities at which the drug product is manufactured. The FDA will not approve the product unless compliance with cGMP is satisfactory and the NDA contains data that provide substantial evidence that the drug candidate is safe and effective in the intended indication.</w:t>
      </w:r>
    </w:p>
    <w:p>
      <w:pPr>
        <w:spacing w:after="0" w:line="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may issue an approval letter. The FDA has committed to reviewing such resubmissions in two or six months depending on the type of information included. Notwithstanding the submission of any requested additional information, the FDA ultimately may decide that the application does not satisfy the regulatory criteria for approval and deny approval of a resubmitted NDA.</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candidate with specific prescribing information for specific indications. As a condition of approval, the FDA may require a risk evaluation and mitigation strategy, or REMS, to help ensure that the benefits of the drug candidate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Once granted, product approvals may be withdrawn if compliance with regulatory standards is not maintained or problems are identified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an NDA.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Programs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a product may be granted Fast Track designation if it is intended for the treatment of a serious or life-threatening condition and demonstrates the potential to address unmet medical needs for such condition. With Fast Track designation, the sponsor may be eligible for more frequent opportunities to obtain the FDA’s feedback, and the FDA may initiate review of sections of an NDA before the application is complete. This rolling review is available if the applicant provides and the FDA approves a schedule for the remaining information. Even if a product receives Fast Track designation, the designation can be rescinded and provides no assurance that a product will be reviewed or approved more expeditiously than would otherwise have been the case, or that the product will be approved at all.</w:t>
      </w:r>
    </w:p>
    <w:p>
      <w:pPr>
        <w:spacing w:after="0" w:line="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FDA may designate a product candidate as a breakthrough therapy if it finds that the product candidate is intended, alone or in combination with one or more other product candidates or approved products, to treat a serious or life-threatening disease or condition, and preliminary clinical evidence indicates that the product candidate may demonstrate substantial improvement over existing therapies on one or more clinically significant endpoints. For product candidates designated as breakthrough therapies, more frequent interaction and communication between the FDA and the sponsor can help to identify the most efficient path for clinical development. Product candidates designated as breakthrough therapies by the FDA may also be eligible for six month priority review. The receipt of a breakthrough therapy designation for a product candidate may not result in a faster development process, review or approval compared to product candidates considered for approval under conventional FDA procedures and, in any event, does not assure ultimate approval by the FDA. In addition, even if one or more of our product candidates qualify as breakthrough therapies, the FDA may later decide that the product candidates no longer meet the conditions for designation.</w:t>
      </w:r>
    </w:p>
    <w:p>
      <w:pPr>
        <w:spacing w:after="0" w:line="80" w:lineRule="exact"/>
        <w:rPr>
          <w:sz w:val="20"/>
          <w:szCs w:val="20"/>
          <w:color w:val="auto"/>
        </w:rPr>
      </w:pPr>
    </w:p>
    <w:p>
      <w:pPr>
        <w:jc w:val="both"/>
        <w:ind w:firstLine="1109"/>
        <w:spacing w:after="0" w:line="258" w:lineRule="auto"/>
        <w:rPr>
          <w:sz w:val="20"/>
          <w:szCs w:val="20"/>
          <w:color w:val="auto"/>
        </w:rPr>
      </w:pPr>
      <w:r>
        <w:rPr>
          <w:rFonts w:ascii="Times New Roman" w:cs="Times New Roman" w:eastAsia="Times New Roman" w:hAnsi="Times New Roman"/>
          <w:sz w:val="18"/>
          <w:szCs w:val="18"/>
          <w:color w:val="auto"/>
        </w:rPr>
        <w:t>Accelerated approval under FDA regulations allows a product designed to treat a serious or life-threatening disease or condition that provides a meaningful therapeutic advantage over available therapies to be approved on the basis of either an intermediate clinical endpoint or a surrogate endpoint that is reasonably likely to predict clinical benefit. Approvals of this kind typically include requirements for confirmatory clinical trials to be conducted with due diligence to validate the surrogate endpoint or otherwise confirm clinical benefit and for all promotional materials to be submitted to the FDA for review prior to dissemination.</w:t>
      </w:r>
    </w:p>
    <w:p>
      <w:pPr>
        <w:spacing w:after="0" w:line="75" w:lineRule="exact"/>
        <w:rPr>
          <w:sz w:val="20"/>
          <w:szCs w:val="20"/>
          <w:color w:val="auto"/>
        </w:rPr>
      </w:pPr>
    </w:p>
    <w:p>
      <w:pPr>
        <w:jc w:val="both"/>
        <w:ind w:firstLine="1109"/>
        <w:spacing w:after="0" w:line="256" w:lineRule="auto"/>
        <w:rPr>
          <w:sz w:val="20"/>
          <w:szCs w:val="20"/>
          <w:color w:val="auto"/>
        </w:rPr>
      </w:pPr>
      <w:r>
        <w:rPr>
          <w:rFonts w:ascii="Times New Roman" w:cs="Times New Roman" w:eastAsia="Times New Roman" w:hAnsi="Times New Roman"/>
          <w:sz w:val="18"/>
          <w:szCs w:val="18"/>
          <w:color w:val="auto"/>
        </w:rPr>
        <w:t>The FDA may grant priority review to a product candidate, which sets the target date for FDA action on the application at six months from FDA filing, or eight months from the sponsor’s submission.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or 12 months from sponsor submission. Priority Review designation does not change the scientific/medical standard for approval or the quality of evidence necessary to support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-168910</wp:posOffset>
            </wp:positionV>
            <wp:extent cx="45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 candidate products intended to treat a rare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 in the United States.</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After the FDA grants orphan drug designation, the generic identity of the drug product and its potential orphan use are disclosed publicly by the FDA. Orphan drug designation does not convey any advantage in, or shorten the duration of, the regulatory review and approval process. However, orphan drug designation does entitle a party to financial incentives, such as opportunities for grant funding towards clinical trial costs, tax credits for certain research and user fee waivers under certain circumstances. In addition, if a product</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receives the first FDA approval for the indication for which it has orphan designation, the product is entitled to seven years of market exclusivity, which means the FDA may not approve any other application for a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for the same disease or condition, or the same biologic for a different disease or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the FDA may grant Rare Pediatric Disease designation for serious and life-threatening diseases that primarily affect children aged 18 years or younger and fewer than 200,000 individuals in the United States. The FDA may award a priority review voucher to the sponsor of an approved marketing application for a product that treats or prevents a Rare Pediatric Disease. The voucher entitles the sponsor to priority review of one subsequent marketing application.</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voucher may be awarded only for an application that:</w:t>
      </w:r>
    </w:p>
    <w:p>
      <w:pPr>
        <w:spacing w:after="0" w:line="27" w:lineRule="exact"/>
        <w:rPr>
          <w:sz w:val="20"/>
          <w:szCs w:val="20"/>
          <w:color w:val="auto"/>
        </w:rPr>
      </w:pPr>
    </w:p>
    <w:p>
      <w:pPr>
        <w:ind w:left="1380" w:hanging="369"/>
        <w:spacing w:after="0" w:line="260"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human drug application for the prevention or treatment of a Rare Pediatric Disease and does not contain an active ingredient (including any ester or salt of the active ingredient) that has been previously approved in any other application;</w:t>
      </w:r>
    </w:p>
    <w:p>
      <w:pPr>
        <w:spacing w:after="0" w:line="181"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deems eligible for priority review;</w:t>
      </w:r>
    </w:p>
    <w:p>
      <w:pPr>
        <w:spacing w:after="0" w:line="225"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original NDA or BLA;</w:t>
      </w:r>
    </w:p>
    <w:p>
      <w:pPr>
        <w:spacing w:after="0" w:line="225"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relies on clinical data derived from studies examining a pediatric population and dosages of the drug intended for that population;</w:t>
      </w:r>
    </w:p>
    <w:p>
      <w:pPr>
        <w:spacing w:after="0" w:line="225"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seek approval for an adult indication in the original rare pediatric disease product application; and</w:t>
      </w:r>
    </w:p>
    <w:p>
      <w:pPr>
        <w:spacing w:after="0" w:line="225" w:lineRule="exact"/>
        <w:rPr>
          <w:rFonts w:ascii="Times New Roman" w:cs="Times New Roman" w:eastAsia="Times New Roman" w:hAnsi="Times New Roman"/>
          <w:sz w:val="18"/>
          <w:szCs w:val="18"/>
          <w:color w:val="auto"/>
        </w:rPr>
      </w:pPr>
    </w:p>
    <w:p>
      <w:pPr>
        <w:ind w:left="1400" w:hanging="383"/>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after September 30, 2016.</w:t>
      </w:r>
    </w:p>
    <w:p>
      <w:pPr>
        <w:spacing w:after="0" w:line="11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Before NDA or IND approval, the FDA may designate a product in development as a product for a rare pediatric disease, but such designation is not required to receive a voucher.</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receive a rare pediatric disease priority review voucher, a sponsor must notify the FDA, upon submission of the NDA or IND, of its intent to request a voucher. If the FDA determines that the NDA or IND is a rare pediatric disease product application, and if the NDA or IND is approved, the FDA will award the sponsor of the NDA or IND a voucher upon approval of the NDA or IND. The FDA may revoke a rare pediatric disease priority review voucher if the product for which it was awarded is not marketed in the U.S. within 1 year of the product’s approval.</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voucher, which is transferable to another sponsor, may be submitted with a subsequent application and entitles the holder to priority review of the application. The sponsor submitting the priority review voucher must notify the FDA of its intent to submit the voucher with the application at least 90 days prior to submission of the application and must pay a priority review user fee in addition to any other required user fee. The FDA must take action on an application under priority review within six months of receipt of the application.</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Rare Pediatric Disease Priority Review Voucher program was renewed as part of the 2021 Coronavirus Response and Relief Supplemental Appropriations Act, allowing a product that is designated as a product for a rare pediatric disease prior to September 30, 2024 to be eligible to receive a rare pediatric disease priority review voucher upon approval of a qualifying NDA after September 30, 2024. After September 30, 2026, the FDA may not award any rare pediatric disease priority review vouchers.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Sponsors of clinical trials of the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or PREA, certain NDAs must include an assessment, generally based on clinical trial data, of the safety and effectiveness of the product candidate in relevant pediatric populations. The FDA may waive or defer the requirement for a pediatric assessment, either at a company’s request or by its own initiative, including waivers for certain products not likely to be used in a substantial number of pediatric patients. Products with orphan drug designation are exempt from these requirements for orphan-designated indications with no formal waiver process required. Any original NDA submitted on or after August 18, 2020 for a new active ingredient must contain reports on molecularly targeted pediatric cancer investigations, unless the requirement is waived or deferred, if the drug that is the subject of the application is intended for the treatment of an adult cancer and is directed at a molecular target that the FDA has determined is substantially relevant to the growth or progression of a pediatric cancer. This requirement applies even if the adult cancer indication does not occur in the pediatric population, and even if the drug is for an adult indication for which orphan designation has been granted.</w:t>
      </w:r>
    </w:p>
    <w:p>
      <w:pPr>
        <w:spacing w:after="0" w:line="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or PREA, certain NDAs must include an assessment, generally based on clinical trial data, of the safety and effectiveness of the product candidate in relevant pediatric populations. The FDA may waive or defer the requirement for a pediatric assessment, either at a company’s request or by its own initiative, including waivers for certain products not likely to be used in a substantial number of pediatric patients. Products with orphan drug designation are exempt from these requirements for orphan-designated indications with no formal waiver process required. Any original NDA submitted on or after August 18, 2020 for a new active ingredient must contain reports on molecularly targeted pediatric cancer investigations, unless the requirement is waived or deferred, if the drug that is the subject of the application is intended for the treatment of an adult cancer and is directed at a molecular target that the FDA has determined is substantially relevant to the growth or progression of a pediatric cancer. This requirement applies even if the adult cancer indication does not occur in the pediatric population, and even if the drug is for an adult indication for which orphan designation has been granted.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After approval, owners of relevant drug patents may apply for up to a five-year patent extension as compensation for patent term lost during product development and the FDA regulatory review process. The allowable patent term extension is calculated as one half of the drug’s testing phase—the time between the effective date of an IND and NDA submission—and all of the review phase—the time between NDA submission and approval, up to a maximum of five years. The time can be shortened if the FDA determines that the applicant did not pursue approval with due diligence. The total patent term after the extension may not exceed 14 years. Only one patent applicable to an approved product is eligible for the extension and the application for the extension must be submitted prior to the expiration of the patent. The United States Patent and Trademark Office, or USPTO, in consultation with the FDA, reviews and approves the application for any patent term extension or restoration.</w:t>
      </w:r>
    </w:p>
    <w:p>
      <w:pPr>
        <w:spacing w:after="0" w:line="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Exclusivity</w:t>
      </w:r>
    </w:p>
    <w:p>
      <w:pPr>
        <w:spacing w:after="0" w:line="1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the United States and elsewhere, certain regulatory exclusivities and patent rights can provide an approved drug product with protection from certain 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 ANDA under section 505(j) of the FD&amp;C Act or as a listed drug for an applicant filing an NDA under section 505(b)(2) 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Once approved, drug products are subject to continuing extensive regulation by the FDA. If ongoing regulatory requirements are not met, or if safety problems occur after a product reaches market, the FDA may take actions to change the conditions under which</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product is marketed, such as requiring labeling modifications, restricting distribution, or even withdrawing approval. In addition to FDA regulation, our business is also subject to extensive federal, state, local and foreign regulation.</w:t>
      </w:r>
    </w:p>
    <w:p>
      <w:pPr>
        <w:spacing w:after="0" w:line="26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 Manufacturing Practices. </w:t>
      </w:r>
      <w:r>
        <w:rPr>
          <w:rFonts w:ascii="Times New Roman" w:cs="Times New Roman" w:eastAsia="Times New Roman" w:hAnsi="Times New Roman"/>
          <w:sz w:val="18"/>
          <w:szCs w:val="18"/>
          <w:color w:val="auto"/>
        </w:rPr>
        <w:t>Companies engaged in manufacturing drug products or their components must comply with applicable cGMP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cGMP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30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Once a product is approved, the advertising, promotion and marketing of the product will be subject to close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 regard to promotion to healthcare 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85"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Other Requirements</w:t>
      </w:r>
      <w:r>
        <w:rPr>
          <w:rFonts w:ascii="Times New Roman" w:cs="Times New Roman" w:eastAsia="Times New Roman" w:hAnsi="Times New Roman"/>
          <w:sz w:val="18"/>
          <w:szCs w:val="18"/>
          <w:color w:val="auto"/>
        </w:rPr>
        <w:t>. Companies that manufacture or distribute drug products pursuant to approved NDAs must meet numerous other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including adverse event reporting, submission of periodic reports, and record-keeping obligations.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(e.g.,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privacy provisions of the Health Insurance Portability and Accountability Act, or HIPAA, and similar state laws, each as amended.</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9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 We may be subject to data privacy and security regulations by both the federal government and the states in which we conduct our business. HIPAA, and its implementing regulations, imposes requirements relating to the privacy, security and transmission of individually identifiable health information. In addition, state laws govern the privacy and security of health information in specified circumstances, many of which differ from each other in significant ways and may not have the same effect, thus complicating compliance efforts.</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The reported data are posted in searchable form on a public website on an annual basis. Failure to submit required information may result in civil monetary penalties. Effective January 1, 2022, we are required to report on transfers of value to physician assistants, nurse practitioners or clinical nurse specialists, certified registered nurse anesthetists, and certified nurse-midwives.</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9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ACA has substantially changed some aspects of healthcare financing and delivery by both governmental and private insurers. The ACA has affected existing government healthcare programs and resulted in the development of new programs.</w:t>
      </w:r>
    </w:p>
    <w:p>
      <w:pPr>
        <w:spacing w:after="0" w:line="16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Among the ACA provisions of importance to the pharmaceutical and biotechnology industries, in addition to those otherwise described above, are the following:</w:t>
      </w:r>
    </w:p>
    <w:p>
      <w:pPr>
        <w:spacing w:after="0" w:line="54" w:lineRule="exact"/>
        <w:rPr>
          <w:sz w:val="20"/>
          <w:szCs w:val="20"/>
          <w:color w:val="auto"/>
        </w:rPr>
      </w:pPr>
    </w:p>
    <w:p>
      <w:pPr>
        <w:ind w:left="960" w:hanging="367"/>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53" w:lineRule="exact"/>
        <w:rPr>
          <w:rFonts w:ascii="Times New Roman" w:cs="Times New Roman" w:eastAsia="Times New Roman" w:hAnsi="Times New Roman"/>
          <w:sz w:val="18"/>
          <w:szCs w:val="18"/>
          <w:color w:val="auto"/>
        </w:rPr>
      </w:pPr>
    </w:p>
    <w:p>
      <w:pPr>
        <w:jc w:val="both"/>
        <w:ind w:left="960" w:hanging="367"/>
        <w:spacing w:after="0" w:line="258"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 (which cap is now set to be removed effective January 1, 2024, which could increase our rebate liability particularly as we could be subject to an additional rebate in the amount that our AMP has exceeded the pace of inflation, if any);</w:t>
      </w:r>
    </w:p>
    <w:p>
      <w:pPr>
        <w:spacing w:after="0" w:line="75" w:lineRule="exact"/>
        <w:rPr>
          <w:rFonts w:ascii="Times New Roman" w:cs="Times New Roman" w:eastAsia="Times New Roman" w:hAnsi="Times New Roman"/>
          <w:sz w:val="18"/>
          <w:szCs w:val="18"/>
          <w:color w:val="auto"/>
        </w:rPr>
      </w:pPr>
    </w:p>
    <w:p>
      <w:pPr>
        <w:jc w:val="both"/>
        <w:ind w:left="960" w:hanging="367"/>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960" w:hanging="367"/>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jc w:val="both"/>
        <w:ind w:left="960" w:hanging="367"/>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340B drug discount program; and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left="960" w:hanging="367"/>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Tax Cuts and Jobs Act was signed into law in December 2017, which eliminated certain requirements of the ACA, including the individual mandate. We cannot predict whether these challenges will continue or whether other proposals will be made or adopted, or what impact these efforts may have on us. 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United States or outside of the United States, or whether regulatory changes, guidance or interpretations will be changed, or what the impact of such changes on the marketing approvals of our product candidates, if any, may be.</w:t>
      </w:r>
    </w:p>
    <w:p>
      <w:pPr>
        <w:spacing w:after="0" w:line="19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Other legislative changes relating to reimbursement have been adopted in the U.S. since the ACA was enacted.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(with the exception of a temporary suspension from May 1, 2020 through March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94"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Additional legislative changes, regulatory changes, or guidance could be adopted, which may impact the marketing approvals and reimbursement for our product candidates.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 CMS issued a final regulation, which became effective on April 1, 2016, to implement the changes to the Medicaid Drug Rebate Program under the ACA. On December 31, 2020, CMS issued a final regulation that modified prior Medicaid Drug Rebate program regulations to permit reporting multiple best price figures with regard to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purchasing arrangements (beginning in 2022); provide definitions for “line extension,” “new formulation,” and related terms, with the practical effect of expanding the scope of drugs considered to be line extensions that are subject to an alternative rebate formula (beginning in 2022); and revise best price and average manufacturer price exclusions of manufacturer-sponsored patient benefit programs, specifically regarding applicability of such exclusions in the context of pharmacy benefit manager “accumulator” programs (beginning in 2023).</w:t>
      </w:r>
    </w:p>
    <w:p>
      <w:pPr>
        <w:spacing w:after="0" w:line="19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Federal law also requires that a company that participates in the Medicaid Drug Rebate Program report average sales price information each quarter to CMS for certain categories of drugs that are paid under the Medicare Part B program. For calendar quarters beginning January 1, 2022, manufacturers are required to report the average sales price for certain drugs under the Medicare program regardless of whether they participate in the Medicaid Drug Rebate Program. Manufacturers calculate average sales price based on a statutorily defined formula as well as regulations and interpretations of the statute by CMS. CMS uses these submissions to determine payment rates for drugs under Medicare Part B. Starting in 2023,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Statutory or regulatory changes or CMS guidance could affect the pricing calculations for our approved products, and could negatively impact our results of operations. For example, Congress could enact a Medicare Part B inflation rebate, under which manufacturers would owe additional rebates if the average sales price of a drug were to increase faster than the pace of inflation. In addition, Congress could enact a drug price negotiation program under which the prices for certain high Medicare spend single source</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drugs would be capped by reference to the non-federal average manufacturer price. This or any other legislative change could impact the market conditions for our products. We further expect continued scrutiny on government price reporting and pricing more generally from Congress, agencies, and other bodies.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 candidates.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product under EU regulatory systems, we must submit a marketing authorization application. The application used to file the drug product in the United States is similar to that required in the EU, with the exception of, among other things, country-specific document requirements.</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2022, we had 17 full-time employees. Of these full-time employees, ten were engaged in research and development, and seven were engaged in management, finance and administration. From time to time, we also employ independent contractors to support our operations. Our employees are not represented by any collective bargaining agreements and we have never experienced an organized work stoppage.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believe that we must offer and maintain market competitive compensation and benefit programs for our employees in order to attract and retain qualified personnel. In addition to cash compensation, we provide equity compensation, a company-matched 401(k) Plan, healthcare and insurance benefits, health savings and flexible spending accounts, paid time off, family leave, and employee assistance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were initially formed as a California general partnership in July 1996 and incorporated in the State of Delaware in May 1997. We were formerly known as Cytori Therapeutics, Inc., before that as MacroPore Biosurgery, Inc. and before that as MacroPore, Inc. On July 20, 2019, we changed our name from Cytori Therapeutics, Inc. to Plus Therapeutics, Inc. Our corporate offices are located at 4200 Marathon Blvd., Suite 200, Austin, TX. Our telephone number is (737) 255-7194. We maintain a website at www.plustherapeutics.com.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 factors described below, as well as statements described elsewhere in this Annual Report on Form 10-K, including our audited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Capital Requirements</w:t>
      </w:r>
    </w:p>
    <w:p>
      <w:pPr>
        <w:spacing w:after="0" w:line="36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since inception, we expect to incur significant net losses in the foreseeable future and we may never become profitable and our operating results have been and will likely continue to be volatile.</w:t>
      </w:r>
    </w:p>
    <w:p>
      <w:pPr>
        <w:spacing w:after="0" w:line="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generated negative cash flows from operations and have incurred net operating losses each year since we started business. For the year ended December 31, 2022, we incurred net losses of $20.3 million and our net cash used in operating activities was $13.0 million. As of December 31, 2022, our accumulated deficit was $467.2 million. We expect to continue to incur net losses and negative cash flow from operating activities for at least the next twelve months. As our focus on development of nanomedicine and the development of therapeutic applications has increased, losses have resulted primarily from expenses associated with research and development and clinical trial-related activities, as well as general and administrative expenses. While we have implemented and continue to implement cost reduction measures where possible, we nonetheless expect to continue operating in a loss position and expect that recurring operating expenses will be at higher levels for the year ended December 31, 2022 as we perform clinical trial and other development activities for our nanomedicine product candidates.</w:t>
      </w:r>
    </w:p>
    <w:p>
      <w:pPr>
        <w:spacing w:after="0" w:line="8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Our ability to generate sufficient revenue from any of our products, product candidates or technologies to achieve profitability will depend on a number of factors including, but not limited to:</w:t>
      </w:r>
    </w:p>
    <w:p>
      <w:pPr>
        <w:spacing w:after="0" w:line="54" w:lineRule="exact"/>
        <w:rPr>
          <w:sz w:val="20"/>
          <w:szCs w:val="20"/>
          <w:color w:val="auto"/>
        </w:rPr>
      </w:pPr>
    </w:p>
    <w:p>
      <w:pPr>
        <w:ind w:left="1140" w:hanging="383"/>
        <w:spacing w:after="0" w:line="261"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test and validate our product candidates in compliance with applicable laws and as required for submission to applicable regulatory bodies, including manufacturing, testing and validation of our RNL candidates;</w:t>
      </w: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successfully complete clinical trials of our product candidates;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necessary regulatory approvals for our product candidates;</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negotiate and receive favorable reimbursement for our product candidates, including for our product candidates that have been granted or may be granted orphan drug status or otherwise command currently anticipated pricing levels;</w:t>
      </w:r>
    </w:p>
    <w:p>
      <w:pPr>
        <w:ind w:left="1140" w:right="20" w:hanging="383"/>
        <w:spacing w:after="0" w:line="25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arrangements with third parties to help finance the development of, and market and distribute, our products and product candidates; and</w:t>
      </w: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approved products are accepted in the marketplace.</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commercialization and product development efforts, we are unable to predict the extent of our future losses or when or if we will become profitable and it is possible we will never become profitable. If we do not generate significant sales from any of our product candidates that receive regulatory approval, there would be a material adverse effect on our business, results of operations, financial condition and prospects, which in turn could result in our inability to continue operations.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Our prospects must be evaluated in light of the risks and difficulties frequently encountered by emerging companies and particularly by such companies in rapidly evolving and technologically advanced biotech, pharmaceutical and medical device fields. In</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addition, our budgeted expense levels are based in part on our expectations concerning future research and development activities. We may be unable to reduce our expenditures in a timely manner to compensate for any unexpected events. Accordingly, unexpected events could have an immediate and material impact on our business and financial condition. From time to time, we have tried to update our investors’ expectations as to our operating results. If we revise any timelines we may give with respect to our clinical trials, it could materially harm our reputation and the market’s perception of us and could cause our stock price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delisted from Nasdaq, which would seriously harm the liquidity of our stock and our ability to raise capital.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6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May 24, 2022, we received written notice (the “Notification Letter”) from the Listings Qualifications Department of The Nasdaq Stock Market LLC (“Nasdaq”) that because the closing bid price for our common stock has fallen below $1.00 per share for 30 consecutive business days, we no longer complied with the minimum bid price requirement pursuant to Nasdaq Listing Rule 5550(a)(2) (the “Minimum Bid Requirement”). Nasdaq’s notice had no immediate effect on the listing or trading of our common stock. The Notification Letter stated that we had 180 days, or until November 21, 2022, to demonstrate our compliance with the Minimum Bid Requirement. On November 22, 2022, we received a second letter from Nasdaq advising that we had been granted an additional 180 calendar days, or to May 22, 2023, to regain compliance with the Minimum Bid Requirement, in accordance with Nasdaq Listing Rule 5810(c)(3)(A).</w:t>
      </w:r>
    </w:p>
    <w:p>
      <w:pPr>
        <w:spacing w:after="0" w:line="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intend to continue to actively monitor the closing bid price of our common stock and will evaluate available options to regain compliance with the Minimum Bid Requirement. Specifically, we have confirmed to Nasdaq that, if necessary, we will implement a reverse stock split of our outstanding common stock (if approved by our stockholders) to attempt to regain compliance. If we do not regain compliance within the additional compliance period, Nasdaq will provide notice that our common stock will be subject to delisting. We would then be entitled to appeal that determination to a Nasdaq hearings panel. There can be no assurance that we will regain compliance with the Minimum Bid Requirement during the 180-day additional compliance period or maintain compliance with the other Nasdaq listing requirements.</w:t>
      </w:r>
    </w:p>
    <w:p>
      <w:pPr>
        <w:spacing w:after="0" w:line="7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54" w:lineRule="exact"/>
        <w:rPr>
          <w:sz w:val="20"/>
          <w:szCs w:val="20"/>
          <w:color w:val="auto"/>
        </w:rPr>
      </w:pPr>
    </w:p>
    <w:p>
      <w:pPr>
        <w:ind w:left="700" w:hanging="38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marketability of our common stock;</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00" w:hanging="38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00" w:hanging="38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00" w:hanging="38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institutional and general investors that will consider investing in our common stock;</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00" w:hanging="38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00" w:hanging="38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00" w:hanging="382"/>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further decline.</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w:t>
      </w:r>
    </w:p>
    <w:p>
      <w:pPr>
        <w:spacing w:after="0" w:line="6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have had, and we will continue to have, an ongoing need to raise additional cash from outside sources to continue funding our operations, including our continuing substantial research and development expenses and potential commercialization activities. We do not currently believe that our cash balance will be sufficient to fund the development and marketing efforts required to reach profitability without raising additional capital from accessible sources of financing in the near future. Our future capital requirements will depend on many factors, including:</w:t>
      </w:r>
    </w:p>
    <w:p>
      <w:pPr>
        <w:spacing w:after="0" w:line="72"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to fund our operations on terms acceptable to us, or at all;</w:t>
      </w:r>
    </w:p>
    <w:p>
      <w:pPr>
        <w:spacing w:after="0" w:line="27" w:lineRule="exact"/>
        <w:rPr>
          <w:rFonts w:ascii="Times New Roman" w:cs="Times New Roman" w:eastAsia="Times New Roman" w:hAnsi="Times New Roman"/>
          <w:sz w:val="18"/>
          <w:szCs w:val="18"/>
          <w:color w:val="auto"/>
        </w:rPr>
      </w:pPr>
    </w:p>
    <w:p>
      <w:pPr>
        <w:ind w:left="1140" w:right="560" w:hanging="383"/>
        <w:spacing w:after="0" w:line="25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perceived capital needs with respect to our development programs, and any delays in, adverse events and excessive costs of such programs beyond what we currently anticipate;</w:t>
      </w:r>
    </w:p>
    <w:p>
      <w:pPr>
        <w:ind w:left="1140" w:right="200" w:hanging="383"/>
        <w:spacing w:after="0" w:line="25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collaborative and other arrangements with third parties to assist in bringing our product candidates to market and the cost of such arrangements at the time;</w:t>
      </w: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at our San Antonio, Texas facility;</w:t>
      </w:r>
    </w:p>
    <w:p>
      <w:pPr>
        <w:spacing w:after="0" w:line="9" w:lineRule="exact"/>
        <w:rPr>
          <w:rFonts w:ascii="Times New Roman" w:cs="Times New Roman" w:eastAsia="Times New Roman" w:hAnsi="Times New Roman"/>
          <w:sz w:val="18"/>
          <w:szCs w:val="18"/>
          <w:color w:val="auto"/>
        </w:rPr>
      </w:pPr>
    </w:p>
    <w:p>
      <w:pPr>
        <w:ind w:left="1140" w:right="540" w:hanging="383"/>
        <w:spacing w:after="0" w:line="25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including compliance with good manufacturing practices applicable to our product candidates;</w:t>
      </w:r>
    </w:p>
    <w:p>
      <w:pPr>
        <w:ind w:left="1140" w:right="360" w:hanging="383"/>
        <w:spacing w:after="0" w:line="25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establishment of sales and marketing capabilities for product candidates awaiting approval or products that have been approved;</w:t>
      </w: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w:t>
      </w:r>
    </w:p>
    <w:p>
      <w:pPr>
        <w:spacing w:after="0" w:line="207" w:lineRule="exact"/>
        <w:rPr>
          <w:sz w:val="20"/>
          <w:szCs w:val="20"/>
          <w:color w:val="auto"/>
        </w:rPr>
      </w:pPr>
    </w:p>
    <w:p>
      <w:pPr>
        <w:ind w:right="940" w:firstLine="749"/>
        <w:spacing w:after="0" w:line="282"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its clinical development efforts.</w:t>
      </w:r>
    </w:p>
    <w:p>
      <w:pPr>
        <w:spacing w:after="0" w:line="6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have secured capital historically from grant revenue, collaboration proceeds, and debt and equity offerings. To obtain additional capital, we may pursue debt and/or equity offering programs, strategic corporate partnerships, state and federal development programs, licensing arrangements, and sales of assets or debt or equity securities. We cannot be certain that additional capital will be available on terms acceptable to us, or at all. If we are unsuccessful in our efforts to raise any such additional capital, we may be required to take actions that could materially and adversely harm our business, including a possible significant reduction in our research, development and administrative operations (including reduction of our employee base), the surrender of our rights to some technologies or product opportunities, delay of our clinical trials or regulatory and reimbursement efforts, or curtailment or cessation of operations.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Depending on the type and the terms of any financing we pursue, stockholders’ rights and the value of their investment in our common stock could be reduced. A financing could involve one or more types of securities including common stock, convertible debt or warrants to acquire common stock. These securities could be issued at or below the then prevailing market price for our common stock. In addition, if we issue secured debt securities, the holders of the debt would have a claim to our assets that would be prior to the rights of stockholders until the debt is paid. Interest on these debt securities would increase costs and negatively impact operating results. If the issuance of new securities results in diminished rights to holders of our common stock, the market price of our common stock could be negatively impacted.</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September 9, 2022, we entered into an Equity Distribution Agreement (the “September 2022 Distribution Agreement”) with Canaccord Genuity LLC ("Canaccord”), pursuant to which we may issue and sell, from time to time, shares of our common stock having an aggregate offering price of up to $5,000,000, depending on market demand, with Canaccord acting as an agent for sales. Sales of our common stock may be made by any method permitted by law deemed to be an “at the market offering” as defined in Rule 415(a)(4) of the Securities Act of 1933, as amended (the “Securities Act”), including, without limitation, sales made directly on or through the NASDAQ Capital Market.</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August 2, 2022, we entered into a purchase agreement (the “2022 Purchase Agreement”) and registration rights agreement pursuant to which Lincoln Park Capital Fund ("Lincoln Park") committed to purchase up to $50.0 million shares of our common stock. Under the terms and subject to the conditions of the 2022 Purchase Agreement, we have the right, but not the obligation, to sell to Lincoln Park, and Lincoln Park is obligated to purchase up to $50.0 million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As consideration for Lincoln Park’s irrevocable commitment to purchase shares of our common stock upon the terms of and subject to satisfaction of the conditions set forth in the Purchase Agreement, we paid $0.1 million in cash as an Initial Commitment Fee and issued 492,698 Commitment Shares to Lincoln Park in consideration for its commitment to purchase shares of our common stock at our direction under the Purchase Agreement.</w:t>
      </w:r>
    </w:p>
    <w:p>
      <w:pPr>
        <w:spacing w:after="0" w:line="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August 17, 2022, a registration statement was declared effective covering the resale of up to 9,500,000 shares of our common stock comprised of (i) the 492,698 Commitment Shares, and (ii) up to 9,007,302 shares that we have reserved for issuance and</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sale to Lincoln Park under the Purchase Agreement. We cannot sell more shares under the 2022 Purchase Agreement without registering additional shares.</w:t>
      </w:r>
    </w:p>
    <w:p>
      <w:pPr>
        <w:spacing w:after="0" w:line="11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Even with the arrangements described above, we will need to complete additional financing transactions in order to continue operations. These arrangements may also not be sufficient in the near-term. Given, among other things, the current status of the capital markets and our recent stock price performance, the September 2022 Distribution Agreement and the 2022 Purchase Agreement and other financing strategies we may pursue may not be sufficient to fund our operations in the near term. There can be no assurances that we will be able to secure additional financing, or if available, that it will be sufficient to meet our needs or be on favorable terms. Additionally, our cost of capital will depend upon numerous factors including, but not limited to, the strength of the financial markets, global market conditions, including inflationary pressures, interest rate fluctuations, our recovery and financial performance, the recovery and performance of our industry in general and the size, scope and timing of our financial needs. If we are unable to access current financings or secure future financings, including for any of the foregoing reasons, it will have a negative impact on our cash flows and our ability to meet our financial obligations. Failure to raise capital as and when needed, on favorable terms or at all, would have a significant negative impact on our financial condition and our ability to develop our product candidates.</w:t>
      </w:r>
    </w:p>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volatility in the global capital markets may negatively impact our ability to obtain additional debt financings and modify our existing debt facilities and may increase the risk of non-compliance with covenants under our existing loan agreement.</w:t>
      </w:r>
    </w:p>
    <w:p>
      <w:pPr>
        <w:spacing w:after="0" w:line="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Loan and Security Agreement, dated May 29, 2015 (the “Loan and Security Agreement”), as amended, with Oxford Finance, LLC (“Oxford”), Oxford made a term loan to us in an aggregate principal amount of $17.7 million (the “Term Loan”) subject to the terms and conditions set forth therein. As of December 31, 2022, the outstanding principal balance of the Term Loan was $2.4 million. In addition, we are obligated to pay a final payment fee of $3.2 million at the earlier of the maturity date, acceleration, or payment of the Term Loan.</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Term Loan accrues interest at a floating rate equal to the three-month LIBOR rate (with a floor of 1.00%) plus 7.95% per annum. Beginning November 1, 2021, we began to make payments of principal and accrued interest in equal monthly installments as required, to amortize the Term Loan through June 1, 2024.</w:t>
      </w:r>
    </w:p>
    <w:p>
      <w:pPr>
        <w:spacing w:after="0" w:line="6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security for our obligations under the Loan and Security Agreement, we granted a security interest in substantially all of our existing and after-acquired assets, excluding our intellectual property assets, subject to certain exceptions set forth in the Loan and Security Agreement. If we are unable to discharge these obligations, Oxford could foreclose on these assets, which would, at a minimum, have a severe material adverse effect on our ability to operate our business.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indebtedness to Oxford could adversely affect our operations and liquidity, by, among other things:</w:t>
      </w:r>
    </w:p>
    <w:p>
      <w:pPr>
        <w:spacing w:after="0" w:line="117" w:lineRule="exact"/>
        <w:rPr>
          <w:sz w:val="20"/>
          <w:szCs w:val="20"/>
          <w:color w:val="auto"/>
        </w:rPr>
      </w:pPr>
    </w:p>
    <w:p>
      <w:pPr>
        <w:ind w:left="1500" w:hanging="369"/>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use a larger portion of our cash flow to fund interest and principal payments, reducing the availability of cash to fund working capital and capital expenditures and other business activities;</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take advantage of significant business opportunities, such as acquisition opportunities, and to react to changes in market or industry conditions; and</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monies in the future to fund working capital and capital expenditures and for other general corporate purposes.</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Loan and Security Agreement, as amended, includes certain reporting and other covenants, that, among other things, restrict our ability to (i) dispose of assets, (ii) change the business we conduct, (iii) make acquisitions, (iv) engage in mergers or consolidations, (v) incur additional indebtedness,</w:t>
      </w:r>
    </w:p>
    <w:p>
      <w:pPr>
        <w:jc w:val="both"/>
        <w:ind w:firstLine="8"/>
        <w:spacing w:after="0" w:line="253"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(vii) maintain any collateral account, (viii) pay dividends, (ix) make investments, loans or advances, (x) engage in certain transactions with affiliates, and (xi) prepay certain other indebtedness or amend other financing arrangements. If we fail to comply with any of these covenants or restrictions, such failure may result in an event of default, which if not cured or waived, could result in Oxford causing the outstanding loan amount to become immediately due and payable. If the maturity of our indebtedness is accelerated, we may not have, or be able to timely procure, sufficient cash resources to satisfy our debt obligations, and such acceleration would adversely affect our business and financial condition.</w:t>
      </w:r>
    </w:p>
    <w:p>
      <w:pPr>
        <w:spacing w:after="0" w:line="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global markets have experienced significant volatility and a continued downturn may affect our business, liquidity position, and financial results. This in turn may negatively impact our ability to remain in compliance with the financial and operating covenants under the Loan and Security Agreement and may restrict our ability to obtain covenant waivers, restructure or amend the terms of our existing debt, or obtain additional debt financing. If the maturity of our indebtedness is accelerated or if we are unable to amend the terms or obtain any necessary waivers under our debt facilities or obtain additional debt or other financing, it would materially and adversely affect our liquidity position and ability to fund our operations. This in turn would materially harm our business and financial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do not expect to make profits in the near future. Under Section 382 of the Internal Revenue Code of 1986, as amended, if a corporation undergoes an “ownership change” (generally defined as a greater than 50% change, by value, in its equity ownership over</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a three year period), the corporation’s ability to use its pre-change net operating loss carryforwards and other pre-change tax attributes to offset its post-change taxable income and taxes may be limited. We have undergone “ownership changes” as a result of shifts in stock ownership in the past, which significantly limited our ability to use net operating loss carryforwards and other pre-change tax attributes. Any additional ownership change within the definition of Section 382 would further limit our ability to use net operating loss carryforwards and other tax attributes. This change may require us to pay federal income taxes in future years despite generating a loss for federal income tax purposes in prior years.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future success is in large part dependent upon our ability to successfully develop our nanomedicine platform and commercialize rhenium (186Re) obisbemeda and </w:t>
      </w:r>
      <w:r>
        <w:rPr>
          <w:rFonts w:ascii="Times New Roman" w:cs="Times New Roman" w:eastAsia="Times New Roman" w:hAnsi="Times New Roman"/>
          <w:sz w:val="24"/>
          <w:szCs w:val="24"/>
          <w:b w:val="1"/>
          <w:bCs w:val="1"/>
          <w:i w:val="1"/>
          <w:iCs w:val="1"/>
          <w:color w:val="auto"/>
          <w:vertAlign w:val="superscript"/>
        </w:rPr>
        <w:t>188</w:t>
      </w:r>
      <w:r>
        <w:rPr>
          <w:rFonts w:ascii="Times New Roman" w:cs="Times New Roman" w:eastAsia="Times New Roman" w:hAnsi="Times New Roman"/>
          <w:sz w:val="18"/>
          <w:szCs w:val="18"/>
          <w:b w:val="1"/>
          <w:bCs w:val="1"/>
          <w:i w:val="1"/>
          <w:iCs w:val="1"/>
          <w:color w:val="auto"/>
        </w:rPr>
        <w:t>RNL-BAM and any failure to do so could significantly harm our business and prospects.</w:t>
      </w:r>
    </w:p>
    <w:p>
      <w:pPr>
        <w:spacing w:after="0" w:line="1"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18"/>
          <w:szCs w:val="18"/>
          <w:color w:val="auto"/>
        </w:rPr>
        <w:t xml:space="preserve">Our ability to successfully develop and commercialize rhenium (186Re)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subject to a number of risks, including the following:</w:t>
      </w:r>
    </w:p>
    <w:p>
      <w:pPr>
        <w:spacing w:after="0" w:line="90" w:lineRule="exact"/>
        <w:rPr>
          <w:sz w:val="20"/>
          <w:szCs w:val="20"/>
          <w:color w:val="auto"/>
        </w:rPr>
      </w:pPr>
    </w:p>
    <w:p>
      <w:pPr>
        <w:jc w:val="both"/>
        <w:ind w:left="1140" w:hanging="383"/>
        <w:spacing w:after="0" w:line="254"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substantive drug development, manufacturing, and commercialization experience, and thus we may be required to hire and rely on significant numbers of scientific, quality, regulatory and other technical personnel with the experience and expertise necessary to develop, manufacture, and commercialize our nanomedicine product candidates. We may be unable to identify, hire and retain personnel with the requisite experience to conduct the operations necessary to obtain regulatory approval and commercialize our RNL product candidates, in which case our business would be materially harmed;</w:t>
      </w:r>
    </w:p>
    <w:p>
      <w:pPr>
        <w:spacing w:after="0" w:line="3"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find a commercialization partner to share or assume responsibility for marketing, sales, and distribution activities and related costs and expenses for our RNL product candidates. There can be no assurance that we would obtain sufficient capital to fund the development, manufacturing, and commercialization of our nanomedicine program ourselves, or if we do obtain such capital, that our development, manufacturing, and commercialization efforts would be successful; and</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55"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incur unanticipated expenses in our business, are unable to timely obtain sufficient additional capital on terms acceptable to us (or at all) to fund this business, our ability to develop our RNL product candidates could be materially and adversely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partner with other companies to commercialize our product candidates, our business could materially suffer.</w:t>
      </w:r>
    </w:p>
    <w:p>
      <w:pPr>
        <w:spacing w:after="0" w:line="25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 key part of our business strategy is to leverage strategic partnerships and collaborations to commercialize our product candidates. We do not have the financial, human or other resources necessary to develop, commercialize, launch or sell our therapeutic offerings in all of the geographies that we are targeting, and thus it is important that we identify and partner with third parties who possess the necessary resources to bring our product candidates to market. We expect that any such partners will provide regulatory and reimbursement/pricing expertise, sales and marketing resources, and other expertise and resources vital to the success of our product offerings in their territories. We further expect, but cannot guarantee, that any such partnering arrangements will include upfront cash payments to us in return for the rights to develop, manufacture, and/or sell our product candidates in specified territories, as well as downstream revenue in the form of milestone payments and royalties. If we are unable to successfully partner with other companies to commercialize our product candidates, our business could materially suffer.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substantial part on our ability to obtain regulatory approvals for our RNL product candidates. However, we cannot be certain that we will receive regulatory approval for these product candidates or our other product candidates.</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have a limited number of product candidates in development, and our business depends substantially on their successful development and commercialization. Our product candidates will require development, regulatory review and approval in multiple jurisdictions, substantial investment, access to sufficient commercial manufacturing capacity and significant marketing efforts before we can generate any revenue from sales of our product candidates. The research, testing, manufacturing, labeling, approval, sale, marketing and distribution of products are subject to extensive regulation by the FDA and other regulatory authorities in the United States and other countries, whose regulations differ from country to country.</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United States until we receive approval from the FDA, or in any foreign countries until we receive the requisite approval from the regulatory authorities of such countries (including centralized marketing authorization from EMA), and we may never receive such regulatory approvals. Obtaining regulatory approval for a product candidate is a lengthy, expensive and uncertain process, and may not be obtained. Any failure to obtain regulatory approval of any of our product candidates would limit our ability to generate future revenue (and any failure to obtain such approval for all of the indications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and labeling claims we deem desirable could reduce our potential revenue), would potentially harm the development prospects of our product candidates and would have a material and adverse impact on our business.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Even if we successfully obtain regulatory approvals to market our product candidates, our revenue will be dependent, in part, on our ability to commercialize such products as well as the size of the markets in the territories for which we gain regulatory approval. If the markets for our product candidates are not as significant as we estimate, our business and prospects will be harmed.</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a product candidate is not approved in a timely fashion on commercially viable terms, or if development of any product candidate is terminated due to difficulties or delays encountered in the regulatory approval process, it could have a material adverse effect on our business, and we may become more dependent on the development of other proprietary products and/or our ability to successfully acquire other products and technologies. There can be no assurance that any product candidate will receive regulatory approval in a timely manner, or at all.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party to a key collaboration, licensing, development, acquisition or similar arrangement fails to perform material obligations, or commit a breach, under such arrangement, or any arrangement is terminated for any reason, there could be an adverse effect on our business.</w:t>
      </w:r>
    </w:p>
    <w:p>
      <w:pPr>
        <w:spacing w:after="0" w:line="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currently party to certain licensing, collaboration and acquisition agreements under which we may make or receive future payments in the form of milestone payments, maintenance fees, royalties and/or minimum product purchases. Our collaborators may not devote the attention and resources to such efforts to be successful. The termination of a key collaboration agreement by one of our collaborators could materially impact our ability to enter into additional collaboration agreements with new collaborators on favorable terms.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March 29, 2020, we entered into an exclusive license agreement with NanoTx for the global rights to develop and commercialize NanoTx’s glioblastoma treatment, rhenium (186Re) obisbemeda. Under the license agreement with NanoTx, we are required to use commercial reasonable efforts to develop the rhenium (186Re) obisbemeda product candidate acquired under the license agreement. Further, we are subject to future milestone, earn-out and other payments to NanoTx all of which are tied to our commercialization and sale activities for product candidates. If we are unsuccessful in our efforts to develop these assets, or if NanoTx and we were to enter into a dispute over the terms of our agreement, then our business could be seriously harmed.</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18"/>
          <w:szCs w:val="18"/>
          <w:color w:val="auto"/>
        </w:rPr>
        <w:t>On December 31, 2021, we entered into an exclusive license agreement with UT Health Science Center at San Antonio for the global rights to develop and commercialize Rhenium-188 NanoLiposome biodegradable alginate microspheres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Under the license agreement with UT Health Science at San Antonio, we are required to use commercial reasonable efforts to develop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candidate acquired under the license agreement. Further, we are subject to future milestone, earn-out and other payments to UT Heath Science Center San Antonio all of which are tied to our commercialization and sale activities for product candidates. If we are unsuccessful in our efforts to develop these assets, or if UT Heath Science Center San Antonio and we were to enter into a dispute over the terms of our agreement, then our business could be seriously harmed.</w:t>
      </w:r>
    </w:p>
    <w:p>
      <w:pPr>
        <w:spacing w:after="0" w:line="19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we breach any of the agreements under which we license the use, development and commercialization rights to our product candidates or technology from third parties, we could lose license rights that are important to our business.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0"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may be jeopardized. If we or our licensors fail to adequately protect this intellectual property, our ability to commercialize our products could suffer.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business strategy is high-risk and may not be successful.</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current business strategy is to aggressively develop our nanomedicine platforms, while simultaneously controlling expenses, which is a high-risk strategy for a number of reasons including the following:</w:t>
      </w:r>
    </w:p>
    <w:p>
      <w:pPr>
        <w:spacing w:after="0" w:line="54" w:lineRule="exact"/>
        <w:rPr>
          <w:sz w:val="20"/>
          <w:szCs w:val="20"/>
          <w:color w:val="auto"/>
        </w:rPr>
      </w:pPr>
    </w:p>
    <w:p>
      <w:pPr>
        <w:ind w:left="1140" w:right="500" w:hanging="383"/>
        <w:spacing w:after="0" w:line="238"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do not have prior experience with obtaining regulatory, reimbursement, or other approvals for product candidates such as rhenium (186Re)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w:t>
      </w:r>
    </w:p>
    <w:p>
      <w:pPr>
        <w:ind w:left="1140" w:right="100" w:hanging="383"/>
        <w:spacing w:after="0" w:line="249"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nanomedicine product candidates, if commercialized, will compete against established competitive drugs that are marketed and sold by large companies with significant human, technical and financial resources;</w:t>
      </w: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experienced in acquiring and integrating new assets;</w:t>
      </w:r>
    </w:p>
    <w:p>
      <w:pPr>
        <w:spacing w:after="0" w:line="9" w:lineRule="exact"/>
        <w:rPr>
          <w:rFonts w:ascii="Times New Roman" w:cs="Times New Roman" w:eastAsia="Times New Roman" w:hAnsi="Times New Roman"/>
          <w:sz w:val="18"/>
          <w:szCs w:val="18"/>
          <w:color w:val="auto"/>
        </w:rPr>
      </w:pPr>
    </w:p>
    <w:p>
      <w:pPr>
        <w:jc w:val="both"/>
        <w:ind w:left="1140" w:right="20" w:hanging="383"/>
        <w:spacing w:after="0" w:line="250"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intense and rapidly evolving competitive landscape for our nanomedicine product candidates, including chemotherapies, targeted therapies and immuno-oncology therapies, and as such key assumptions regarding market entry, pricing, and revenue/unit share may not be realized;</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never become commercially viable; and</w:t>
      </w:r>
    </w:p>
    <w:p>
      <w:pPr>
        <w:spacing w:after="0" w:line="9" w:lineRule="exact"/>
        <w:rPr>
          <w:rFonts w:ascii="Times New Roman" w:cs="Times New Roman" w:eastAsia="Times New Roman" w:hAnsi="Times New Roman"/>
          <w:sz w:val="18"/>
          <w:szCs w:val="18"/>
          <w:color w:val="auto"/>
        </w:rPr>
      </w:pPr>
    </w:p>
    <w:p>
      <w:pPr>
        <w:ind w:left="1140" w:right="460" w:hanging="383"/>
        <w:spacing w:after="0" w:line="260"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 companies from depriving us of market share and profit margins by selling products based on our intellectual property and developments.</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government funding for our programs may impose requirements that limit our ability to take certain actions, and subject it to potential financial penalties, which could materially and adversely affect its business, financial condition and results of operations.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 significant portion of our funding will come from grants received from CPRIT. The CPRIT Grant includes provisions that reflect the government’s substantial rights and remedies, many of which are not typically found in commercial contracts, including powers of the government to potentially require repayment of all or a portion of the grant award proceeds, in certain cases with interest, in the event we violate certain covenants pertaining to various matters that include any potential relocation outside of the State of Texas. After the CPRIT Grant ends, we are not permitted to retain any unused grant award proceeds without CPRIT’s approval, but our obligation to pay CPRIT sales-based royalty, if and when commercialization is achieved, and other obligations, including our obligation to repay the disbursed grant proceeds under certain circumstances, to maintain certain records and documentation, to notify CPRIT of certain unexpected adverse events and our obligation to use reasonable efforts to ensure that any new or expanded preclinical testing, clinical trials, commercialization or manufacturing related to any aspect to our CPRIT project take place in Texas, survive the termination of the agreement.</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award from CPRIT requires us to pay CPRIT a portion of our revenues from sales of certain products by us, or received from our licensees or sublicensees, at tiered percentages of revenue in the low- to mid-single digits until the aggregate amount of such payments equals 400% of the grant award proceeds, and thereafter at a rate of 0.5% for as long as we maintain government exclusivity, subject to our right, under certain circumstances, to make a one-time payment in a specified amount to CPRIT to terminate such payment obligations. In addition, the grant contract also contains a provision that provides for repayment to CPRIT of some amount not to exceed the full amount of the grant proceeds under certain specified circumstances involving relocation of our principal place of business outside Texas.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CPRIT Grant requires us, as a Texas-based company, to meet certain criteria, including among other things, that we maintain our headquarters in Texas and use certain vendors, consultants and employees that are located in Texas. If we fail to maintain compliance with any such requirements that may apply to us now or in the future, we may be subject to potential liability and to termination of our contracts, and potentially full repayment of the CPRIT Grant.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spacing w:after="0" w:line="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life science industry is characterized by rapidly advancing technologies, intense competition, and a strong emphasis on proprietary therapeutics. We face competition from a number of sources, some of which may target the same indications as our products or product candidates, including small and large, domestic and multinational, medical device, biotechnology and pharmaceutical companies, academic institutions, government agencies, and private and public research institutions.</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Competitors may have greater experience in developing drugs, conducting clinical trials, obtaining regulatory clearances or approvals, manufacturing and commercialization. It is possible that competitors may obtain patent protection, approval, or clearance from the FDA or achieve commercialization earlier than we can, any of which could have a substantial negative effect on our business. Many of our potential competitors have substantially greater:</w:t>
      </w:r>
    </w:p>
    <w:p>
      <w:pPr>
        <w:spacing w:after="0" w:line="72"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and experience, including personnel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clinical trial and regulatory resources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resources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brand and product recognition;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experience and expertise in prosecution and enforcement of intellectual property rights.</w:t>
      </w:r>
    </w:p>
    <w:p>
      <w:pPr>
        <w:spacing w:after="0" w:line="20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expect that product candidates in our pipeline, if approved, to compete on the basis of, among other things, product efficacy and safety, time to market, price, coverage, and reimbursement by third-party payers, extent of adverse side effects, and convenience of treatment procedures. One or more of our competitors may develop other products that compete with ours, obtain necessary approvals for such products from the FDA, EMA, Ministry of Health, Labour and Welfare or other agencies, if required, more rapidly than we do or develop alternative products or therapies that are safer, more effective and/or more cost effective than any products developed by us. The competition that we encounter with respect to any of our product candidates that receive the requisite regulatory approval and classification and are marketed may have an effect on our product prices, market share, and results of operations. We may not be able to differentiate any products that we are able to market from those of our competitors, successfully develop or introduce new products that are less costly or offer better results than those of our competitors, or offer purchasers of our products payment and other commercial terms as favorable as those offered by our competitors.</w:t>
      </w:r>
    </w:p>
    <w:p>
      <w:pPr>
        <w:spacing w:after="0" w:line="9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approval of their products more quickly than we are able to or may obtain patent protection or other intellectual property rights that limit or block us from developing or commercializing our product candidates. Our competitors may also develop products that are more effective, more useful, better tolerated, subject to fewer or less severe side effects, more widely prescribed or accepted, or less costly than ours and may also be more successful than we are in manufacturing and marketing their products. If we are unable to compete effectively with the marketed therapeutics of our competitors or if such competitors are successful in developing products that compete with any of our product candidates that are approved, our business, results of operations, financial condition, and prospects may be materially adversely affected.</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8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Clinical testing of our product candidates is a long, expensive and uncertain process, and the failure or delay of a clinical trial can occur at any stage. Many factors, currently known and unknown, can adversely affect clinical trials and the ability to evaluate a product candidate’s efficacy. During the course of treatment, patients can die or suffer other adverse events for reasons that may or may not be related to the proposed product being tested. Even if initial results of preclinical and nonclinical studies or clinical trial results are promising, we may obtain different results in subsequent trials or studies that fail to show the desired levels of safety and efficacy, or we may not obtain applicable regulatory approval for a variety of other reasons.</w:t>
      </w:r>
    </w:p>
    <w:p>
      <w:pPr>
        <w:spacing w:after="0" w:line="21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Further, with respect to the conduct and results of clinical trials generally, in the United States, Europe, Japan, and other jurisdictions, the conduct and results of clinical trials can be delayed, limited, suspended, or otherwise adversely affected for many reasons, including, among others:</w:t>
      </w:r>
    </w:p>
    <w:p>
      <w:pPr>
        <w:spacing w:after="0" w:line="270" w:lineRule="exact"/>
        <w:rPr>
          <w:sz w:val="20"/>
          <w:szCs w:val="20"/>
          <w:color w:val="auto"/>
        </w:rPr>
      </w:pPr>
    </w:p>
    <w:p>
      <w:pPr>
        <w:ind w:left="1140" w:right="20" w:hanging="383"/>
        <w:spacing w:after="0" w:line="261"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other regulatory authorities outside of the United States on acceptable clinical trial design, or in obtaining authorization to commence a trial;</w:t>
      </w: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on acceptable terms with prospective clinical research organizations (“CRO”), and clinical trial sites;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1" w:name="page32"/>
    <w:bookmarkEnd w:id="31"/>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approval of an IRB or ethics committees before a clinical trial can be initiated at a prospective trial site;</w:t>
      </w:r>
    </w:p>
    <w:p>
      <w:pPr>
        <w:spacing w:after="0" w:line="27"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including as a result of changing standards of care or the ineligibility of a site to participate;</w:t>
      </w: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results may not meet prescribed endpoints for the studies, produce negative or inconclusive results, or otherwise not provide sufficient data to support the efficacy of our product candidates;</w:t>
      </w: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test results may reveal side effects, adverse events or unexpected safety issues associated with the use of our product candidates;</w:t>
      </w: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of dosing issues;</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design appropriate clinical trial protocols;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subject recruitment and enrollment rates in clinical trials;</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or investigators may deviate from trial protocol or fail to conduct the trial in accordance with applicable regulatory requirements, or drop out of a trial;</w:t>
      </w: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review may not find a product safe or effective enough to merit either continued testing or final approval;</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change our studies or conduct additional studies which may significantly delay or make continued pursuit of approval commercially unattractive;</w:t>
      </w: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reject our trial data or disagree with our interpretations of either clinical trial data or applicable regulations;</w:t>
      </w:r>
    </w:p>
    <w:p>
      <w:pPr>
        <w:spacing w:after="0" w:line="9"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required for product approval may be greater than what we originally anticipate, and we may decide to not pursue regulatory approval for such a product;</w:t>
      </w: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of the indication being studied;</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identify problems or other deficiencies in our existing manufacturing processes or facilities or the existing processes or facilities of our collaborators, our contract manufacturers, or our raw material suppliers;</w:t>
      </w: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change its formal or informal approval requirements and policies, act contrary to previous guidance, adopt new regulations, or raise new issues or concerns late in the approval process; and</w:t>
      </w:r>
    </w:p>
    <w:p>
      <w:pPr>
        <w:jc w:val="both"/>
        <w:ind w:left="1140" w:hanging="383"/>
        <w:spacing w:after="0" w:line="255"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ask us to put a clinical study on hold pending additional safety data (and there can be no assurance that we will be able to satisfy the regulator agencies’ requests in a timely manner, which can lead to significant uncertainty in the completion of a clinical study).</w:t>
      </w:r>
    </w:p>
    <w:p>
      <w:pPr>
        <w:spacing w:after="0" w:line="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also face clinical trial-related risks with regard to our reliance on other third parties in the performance of many of the clinical trial functions, including CROs that help execute our clinical trials, the hospitals and clinics at which our trials are conducted, the clinical investigators at the trial sites, and other third-party service providers. Failure of any third-party service provider to adhere to applicable trial protocols, laws and regulations in the conduct of one of our clinical trials could adversely affect the conduct and results of such trial (including possible data integrity issues), which could seriously harm our business.</w:t>
      </w:r>
    </w:p>
    <w:p>
      <w:pPr>
        <w:spacing w:after="0" w:line="7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inhibited.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cash flows and prospects significantly. In addition, many of the factors that cause, or lead to, a delay in the commencement or completion of clinical trials may also ultimately lead to the denial of regulatory approval of our product candidates. Further,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preliminary and interim data from clinical trials of our product candidates are not necessarily predictive of the results or success of ongoing or future clinical trials of our product candidates.</w:t>
      </w:r>
    </w:p>
    <w:p>
      <w:pPr>
        <w:spacing w:after="0" w:line="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could be materially adversely affected. If we fail to produce positive results in our planned clinical trials of any of our product candidates, the development timeline and regulatory approval and commercialization prospects for such product candidates, and, correspondingly, our business and financial prospects, could be materially adversely affected.</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may fail to support approval of our product candidates.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and/or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This, in turn, would significantly adversely affect our business prospects.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we engage are not able to successfully perform, we may not be able to successfully complete clinical development, obtain regulatory approval or commercialize our product candidates and our business could be substantially harmed.</w:t>
      </w:r>
    </w:p>
    <w:p>
      <w:pPr>
        <w:spacing w:after="0" w:line="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rely on third parties in the performance of many of the clinical trial functions, including CROs, which help execute our clinical trials, the hospitals and clinics at which our trials are conducted, the clinical investigators at the trial sites, and other third-party service providers. Failure of any third-party service provider to adhere to applicable trial protocols, laws and regulations in the conduct of one of our clinical trials could adversely affect the conduct and results of such trial (including possible data integrity issues), which could seriously harm our business. As a result, results from our clinical trials may be delayed, which in turn would have a material adverse impact on our clinical trial plans and timelines and impair our ability to successfully complete clinical development, obtain regulatory approval, or commercialize our product candidates. This in turn would substantially harm our business and operations.</w:t>
      </w:r>
    </w:p>
    <w:p>
      <w:pPr>
        <w:spacing w:after="0" w:line="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also rely on third-party expertise to support us in this area. We have entered into contracts with third-party manufacturers to manufacture, supply, store and distribute supplies of our product candidates for our clinical trials. If any of our product candidates receives FDA approval, we expect to rely on third-party contractors to manufacture our drugs. We have no current plans to build internal manufacturing capacity for any product candidate, and we have no long-term supply arrangements.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reliance on third-party manufacturers exposes us to potential risks, such as the following:</w:t>
      </w:r>
    </w:p>
    <w:p>
      <w:pPr>
        <w:spacing w:after="0" w:line="117" w:lineRule="exact"/>
        <w:rPr>
          <w:sz w:val="20"/>
          <w:szCs w:val="20"/>
          <w:color w:val="auto"/>
        </w:rPr>
      </w:pPr>
    </w:p>
    <w:p>
      <w:pPr>
        <w:jc w:val="both"/>
        <w:ind w:left="760" w:right="2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formulate and manufacture our drugs in the volume and of the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third-party manufacturer makes improvements in the manufacturing process for our products, we may not own, or may have to share, the intellectual property rights to such improvements;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manufacturer may gain knowledge from working with us that could be used to supply one of our competitors with a product that competes with ours.</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Each of these risks could delay or have other adverse impacts on our clinical trials and the approval and commercialization of our product candidates, potentially resulting in higher costs, reduced revenues or both.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enrolling, or fail to enroll patients, in our clinical trials, which could delay or prevent clinical trials of our drug candidates.</w:t>
      </w:r>
    </w:p>
    <w:p>
      <w:pPr>
        <w:spacing w:after="0" w:line="135" w:lineRule="exact"/>
        <w:rPr>
          <w:sz w:val="20"/>
          <w:szCs w:val="20"/>
          <w:color w:val="auto"/>
        </w:rPr>
      </w:pPr>
    </w:p>
    <w:p>
      <w:pPr>
        <w:jc w:val="both"/>
        <w:ind w:firstLine="726"/>
        <w:spacing w:after="0" w:line="254" w:lineRule="auto"/>
        <w:rPr>
          <w:sz w:val="20"/>
          <w:szCs w:val="20"/>
          <w:color w:val="auto"/>
        </w:rPr>
      </w:pPr>
      <w:r>
        <w:rPr>
          <w:rFonts w:ascii="Times New Roman" w:cs="Times New Roman" w:eastAsia="Times New Roman" w:hAnsi="Times New Roman"/>
          <w:sz w:val="18"/>
          <w:szCs w:val="18"/>
          <w:color w:val="auto"/>
        </w:rPr>
        <w:t>Identifying and enrolling patients to participate in clinical trials of our product candidates is essential to our success. The timing of our clinical trials depends in part on the rate at which we can recruit patients to participate in clinical trials of our product candidates, and we may experience delays in our clinical trials if we encounter difficulties in enrollment. The eligibility criteria of our planned clinical trials may further limit the available eligible trial participants as we require that patients have specific characteristics that we can measure or meet the criteria to assure their conditions are appropriate for inclusion in our clinical trials. We may not be able to identify, recruit and enroll a sufficient number of patients to complete our clinical trials in a timely manner because of the perceived risks and benefits of the drug candidate under study, the availability and efficacy of competing therapies and clinical trials, and the willingness of physicians to participate in our planned clinical trials. If patients are unwilling to participate in our clinical trials for any reason, the timeline for conducting trials and obtaining regulatory approval of our drug candidates may be delayed.</w:t>
      </w:r>
    </w:p>
    <w:p>
      <w:pPr>
        <w:spacing w:after="0" w:line="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trials of our drug candidates, the commercial prospects of our product candidates could be harmed, and our ability to generate product revenue from any of these product candidates could be delayed or prevented. In addition, any delays in completing our clinical trials would likely increase our overall costs, impair product candidate development and jeopardize our ability to obtain regulatory approval relative to our current plans. Any of these occurrences may materially and adversely harm our business, financial condition, and prospects.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particular product candidate causes significant adverse events, then we may be unable to receive regulatory approval or market acceptance for such product candidate.</w:t>
      </w:r>
    </w:p>
    <w:p>
      <w:pPr>
        <w:spacing w:after="0" w:line="5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the testing process that could delay or prevent commercialization of any of our product candidates, including the occurrence of significant adverse events in clinical trials. Such significant adverse events could lead to clinical trial challenges, such as difficulties in patient recruitment, retention, and adherence, potential product liability claims, and possible trial termination by us, regulatory authorities, and/or an IRB or ethics committees. These types of clinical trial challenges could delay or prevent regulatory approval of our product candidate. Significant adverse events may also lead regulatory authorities to require additional warnings on the label for such product, require us to conduct additional costly post-marketing studies, require us to develop a REMS, among other possible requirements. If the product candidate has already been approved, such approval may be withdrawn. Any delay in, denial, or withdrawal of marketing approval for one of our product candidates will adversely affect our financial position. Even if our product candidates receive marketing approval, undesirable side effects may limit the product’s commercial viability. Patients may not wish to use our product, physicians may not prescribe our product, and our reputation may suffer. Any of these events may significantly harm our business and financial prospects.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and technologies receive regulatory approval but do not achieve broad market acceptance, especially by physicians, the revenue that we generate will be limited.</w:t>
      </w:r>
    </w:p>
    <w:p>
      <w:pPr>
        <w:spacing w:after="0" w:line="5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commercial success of any of our approved products or technologies will depend upon the acceptance of these products and technologies by physicians, patients and the medical community. The degree of market acceptance of these products and technologies will depend on a number of factors, including, among others:</w:t>
      </w:r>
    </w:p>
    <w:p>
      <w:pPr>
        <w:spacing w:after="0" w:line="68"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publicity or political action related to our or our competitors’ products or technologies;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to authorities of the pharmacoeconomic benefits;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to authorities of the improvement in burden of illness;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 product’s approved labeling;</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payers’ level of restrictions and/or barriers to coverage;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is approved;</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perceived advantages of alternative treatments;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future collaborators’ sales, marketing and distribution strategies;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9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expect physicians’ inertia and skepticism to also be a significant barrier as we attempt to gain market penetration with our future products. We believe we will continue to need to finance lengthy time-consuming clinical studies to provide evidence of the medical benefit of our products and resulting therapies in order to overcome this inertia and skepticism.</w:t>
      </w:r>
    </w:p>
    <w:p>
      <w:pPr>
        <w:spacing w:after="0" w:line="6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Overall, our efforts to educate the medical community on the benefits of any of our products or technologies for which we obtain marketing approval from the FDA or other regulatory authorities and gain broad market acceptance may require significant resources and may never be successful. If our products and technologies do not achieve an adequate level of acceptance by physicians, pharmacists and patients, we may not generate sufficient revenue from these products to become or remain profitable.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potential applications of our product candidates are investigational, which subjects us to development and marketing risks.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candidates are at various stages of development. Successful development and market acceptance of our products is subject to developmental risks, including risk of negative clinical data from current and anticipated trials, failure of inventive imagination, ineffectiveness, lack of safety, unreliability, manufacturing hurdles, failure to receive necessary regulatory clearances or approvals, high commercial cost, preclusion or obsolescence resulting from third parties’ proprietary rights or superior or equivalent products, competition from copycat products and general economic conditions affecting purchasing patterns. There can be no assurance that we or our partners will successfully develop and commercialize our product candidates, or that our competitors will not develop competing technologies that are superior or less expensive. Failure to successfully develop and market our product candidates would have a substantial negative effect on our results of operations and financial condition. 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worldwide regulatory process for our nanomedicine drug candidates can be lengthy and expensive, with no guarantee of approval.</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Before any new drugs may be introduced to the U.S. market, the manufacturer generally must obtain FDA approval through either an ANDA process for generic drugs off patent that allow for bioequivalence to an existing RLD or the lengthier NDA process, which typically requires multiple successful and successive clinical trials to generate clinical data supportive of safety and efficacy along with extensive pharmacodynamic and pharmacokinetic preclinical testing to demonstrate safety. Our RNL product candidates are subject to the FDA’s 505(b)(1) NDA process. NDA drugs can take significant time due to the preclinical and clinical trial requirements.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numerous risks arising out of the regulation of our nanomedicine product candidates include the following:</w:t>
      </w:r>
    </w:p>
    <w:p>
      <w:pPr>
        <w:spacing w:after="0" w:line="117" w:lineRule="exact"/>
        <w:rPr>
          <w:sz w:val="20"/>
          <w:szCs w:val="20"/>
          <w:color w:val="auto"/>
        </w:rPr>
      </w:pPr>
    </w:p>
    <w:p>
      <w:pPr>
        <w:jc w:val="both"/>
        <w:ind w:left="1140" w:hanging="383"/>
        <w:spacing w:after="0" w:line="25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assurances that our current and future oncology drugs will meet all of the stringent government regulation in the United States under the Federal Food, Drug and Cosmetic Act, and/or in international markets such as Europe, by the EMA under its Medicinal Products Directive;</w:t>
      </w:r>
    </w:p>
    <w:p>
      <w:pPr>
        <w:spacing w:after="0" w:line="1"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nanomedicine product candidates, if approved, will still be subject to post-market reporting requirements for instances where the drug may have caused or contributed to the death or serious injury, or serious adverse events;</w:t>
      </w:r>
    </w:p>
    <w:p>
      <w:pPr>
        <w:ind w:left="1140" w:right="20" w:hanging="383"/>
        <w:spacing w:after="0" w:line="250"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assurances that our product candidates will not have safety or effectiveness problems occurring after the drugs reach the market;</w:t>
      </w:r>
    </w:p>
    <w:p>
      <w:pPr>
        <w:ind w:left="1140" w:hanging="383"/>
        <w:spacing w:after="0" w:line="250"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assurances that regulatory authorities will not take steps to prevent or limit further marketing of the drug due to safety concerns; and</w:t>
      </w:r>
    </w:p>
    <w:p>
      <w:pPr>
        <w:ind w:left="1140" w:hanging="383"/>
        <w:spacing w:after="0" w:line="260"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new legislation in our priority markets will yield additional regulatory requirements for therapeutic drugs for our nanomedicine product candidates.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ongoing regulatory obligations and continued regulatory review, which may result in significant expense, and if we or collaborators fail to comply with such requirements, regulatory agencies may take action against us or them, which could significantly harm our business.</w:t>
      </w:r>
    </w:p>
    <w:p>
      <w:pPr>
        <w:spacing w:after="0" w:line="6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Approved drug products are subject to ongoing regulatory requirements and oversight, including requirements related to manufacturing, quality control, conduct of post-marketing studies, labeling, packaging, storage, distribution, safety surveillance, import, export, advertising, promotion, recordkeeping and reporting. Regulatory authorities subject a marketed product, its manufacturer, and the manufacturing facilities to continual review and periodic inspections. We, our collaborators, and our and their respective contractors, suppliers and vendors, will be subject to ongoing regulatory requirements, including complying with regulations and laws regarding advertising, promotion and sales of products (including applicable anti-kickback, fraud and abuse and other health care laws and regulations), required submissions of safety and other post-market information and reports, registration requirements, Clinical Good</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Manufacturing Practices ("cGMP") regulations (including requirements relating to quality control and quality assurance, as well as the corresponding maintenance of records and documentation), and the requirements regarding the distribution of samples to physicians and recordkeeping requirements. Regulatory agencies may change existing requirements or adopt new requirements or policies. We, our collaborators, and our and their respective contractors, suppliers, and vendors, may be slow to adapt or may not be able to adapt to these changes or new requirements.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Failure to comply with regulatory requirements may result in any of the following:</w:t>
      </w:r>
    </w:p>
    <w:p>
      <w:pPr>
        <w:spacing w:after="0" w:line="117"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our product candidates or manufacturing processes;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any of our ongoing clinical trials;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new and/or emerging government regulations, including healthcare legislative reform measures, may adversely affect us.</w:t>
      </w:r>
    </w:p>
    <w:p>
      <w:pPr>
        <w:spacing w:after="0" w:line="1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Our nanoparticle and microparticle technologies and pipeline oncology products are being developed under existing government criteria, which are subject to change in the future. Clinical and/or pre-clinical criteria and cGMP manufacturing requirements may change and additional regulatory burdens may be imposed. Any regulatory review committees and advisory groups and any contemplated new guidelines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may be required to consult with these regulatory and advisory groups and comply with applicable guidelines. If we fail to do so, we may be required to delay or discontinue development of our product candidates. Delay or failure to obtain, or unexpected costs in obtaining, the regulatory approval necessary to bring a product candidate to market could decrease our ability to generate sufficient revenue to maintain our business. Divergence in regulatory criteria for different regulatory agencies in international jurisdictions could result in the repeat of clinical studies and/or preclinical studies to satisfy local territory requirements, resulting in the repeating of studies and/or delays in the regulatory process. Some territories may require clinical data in their indigenous population, resulting in the repeat of clinical studies in whole or in part. Some territories may object to the formulation ingredients in the final finished product and may require reformulation to modify or remove objectionable components; resulting in delays in regulatory approvals. Such objectionable reformulations include, but are not limited to, human or animal components, Bovine Spongiform Encephalopathy and/or Transmissible Spongiform Encephalopathy risks, banned packaging components, prohibited chemicals, and banned substances. There can be no assurances that the FDA or foreign regulatory authorities will accept our pre-clinical and/or clinical data.</w:t>
      </w:r>
    </w:p>
    <w:p>
      <w:pPr>
        <w:spacing w:after="0" w:line="88" w:lineRule="exact"/>
        <w:rPr>
          <w:sz w:val="20"/>
          <w:szCs w:val="20"/>
          <w:color w:val="auto"/>
        </w:rPr>
      </w:pPr>
    </w:p>
    <w:p>
      <w:pPr>
        <w:jc w:val="both"/>
        <w:ind w:firstLine="749"/>
        <w:spacing w:after="0" w:line="289" w:lineRule="auto"/>
        <w:rPr>
          <w:sz w:val="20"/>
          <w:szCs w:val="20"/>
          <w:color w:val="auto"/>
        </w:rPr>
      </w:pPr>
      <w:r>
        <w:rPr>
          <w:rFonts w:ascii="Times New Roman" w:cs="Times New Roman" w:eastAsia="Times New Roman" w:hAnsi="Times New Roman"/>
          <w:sz w:val="17"/>
          <w:szCs w:val="17"/>
          <w:color w:val="auto"/>
        </w:rPr>
        <w:t>Anticipated or unanticipated changes in the way or manner in which the FDA or other regulators regulate products or classes and groups of products can delay, further burden, or alleviate regulatory pathways that were once available to other products. There are no guarantees that such changes in the FDA’s or other regulators’ approach to the regulatory process will not deleteriously affect some or all of our product candidates or product applications.</w:t>
      </w:r>
    </w:p>
    <w:p>
      <w:pPr>
        <w:spacing w:after="0" w:line="5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Further, any increased scrutiny of the FDA’s approval process for drugs and biological products may significantly delay or prevent marketing approval, as well as subject us to more stringent product labeling and post-marketing testing and other requirements. There also are a number of state and local legislative and regulatory efforts related to drug pricing, including drug price transparency laws that apply to pharmaceutical manufacturers, which may have an impact on our business.</w:t>
      </w:r>
    </w:p>
    <w:p>
      <w:pPr>
        <w:spacing w:after="0" w:line="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addition, the Drug Supply Chain Security Act enacted in 2013 imposes new obligations on manufacturers of pharmaceutical products related to product tracking and tracing, and that law is expected to be fully implemented over a ten-year period. In December 2019, the Further Consolidated Appropriations Act for 2020 was signed into law (P.L. 116-94) that includes a piece of bipartisan legislation called the Creating and Restoring Equal Access to Equivalent Samples Act of 2019 or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The CREATES Act establishes a private cause of action that permits a generic or biosimilar product developer to sue the brand manufacturer to compel it to furnish the necessary samples on “commercially</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 Other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81"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 candidates.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6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expect that other legislative or healthcare reform measures that may be adopted in the future, may result in more rigorous coverage criteria, lower reimbursement, and additional downward pressure on the price that we will receive for any approved product. Any reduction in payments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state Medicaid programs, Medicare program, other healthcare programs in the U.S. or elsewhere, or third party commercial payors in the U.S. or elsewhere deny reimbursement for our products, limit the indications for which our products will be reimbursed, or provide reimbursement only on unfavorable terms.</w:t>
      </w:r>
    </w:p>
    <w:p>
      <w:pPr>
        <w:spacing w:after="0" w:line="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Some of the intellectual property rights we have licensed are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has the</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These time limits have recently been changed by regulation and may change in the future.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Orphan drug designation may not ensure that we will enjoy market exclusivity in a particular market, and if we fail to obtain or maintain orphan drug designation or other regulatory exclusivity for some of our product candidates, our competitive position would be harmed.</w:t>
      </w:r>
    </w:p>
    <w:p>
      <w:pPr>
        <w:spacing w:after="0" w:line="5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 product candidate that receives orphan drug designation can benefit from potential commercial benefits following approval. Under the U.S. Orphan Drug Act, the FDA may designate a product candidate as an orphan drug if it is intended to treat a rare disease or condition, defined as affecting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10,000 persons in the European Union. Currently, this designation provides market exclusivity in the U.S. and the European Union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 In the European Union,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In September 2020, the FDA granted both Orphan Drug designation and Fast Track designation to rhenium (186Re) obisbemeda for the treatment of patients with GBM. In November 2021, the FDA granted Fast Track designation to rhenium (186Re) obisbemeda for the treatment of patients with LM.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an interruption in supply from a material sole source supplier, our business may be harmed</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acquire some of our components and other raw materials from sole source suppliers. If there is an interruption in supply of our raw materials from a sole source supplier,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ability to manufacture products and product candidates, which in turn could adversely affect the development and commercialization of our nanomedicine product candidates and cause us to potentially breach our supply or other obligations under our agreements with certain other counterparties.</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dependent on sole source suppliers to manufacture the active pharmaceutical ingredients ("API") and certain other components of our nanomedicine product candidates. There is no assurance that these sole source suppliers will enter into supply agreements with us to provide contractual assurance to us around supply and pricing. Regardless of whether a sole source supplier enters into a written supply arrangement with us, such supplier could still delay, suspend, or terminate supply of raw materials to us for a number of reasons, including manufacturing or quality issues, payment disputes with us, bankruptcy or insolvency, or other occurrences.</w:t>
      </w:r>
    </w:p>
    <w:p>
      <w:pPr>
        <w:spacing w:after="0" w:line="7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 sole source supplier ceases supply of raw materials necessary, there is no guarantee that we will find an alternative supplier for the necessary raw materials on terms acceptable to us, or at all. Further the qualification process for a new vendor could take months or years, and any such day in qualification could significantly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engage in strategic transactions that could impact our liquidity, increase our expenses, and present significant distractions to our management.</w:t>
      </w:r>
    </w:p>
    <w:p>
      <w:pPr>
        <w:spacing w:after="0" w:line="24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products, product candidates or technologies. Growth of the nanomedicine business will require significant</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management time and attention. Further,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6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5"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7" w:lineRule="exact"/>
        <w:rPr>
          <w:rFonts w:ascii="Times New Roman" w:cs="Times New Roman" w:eastAsia="Times New Roman" w:hAnsi="Times New Roman"/>
          <w:sz w:val="18"/>
          <w:szCs w:val="18"/>
          <w:color w:val="auto"/>
        </w:rPr>
      </w:pPr>
    </w:p>
    <w:p>
      <w:pPr>
        <w:ind w:left="1140" w:right="140" w:hanging="383"/>
        <w:spacing w:after="0" w:line="250"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1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undertake or to successfully complete any additional transactions of the nature described above, our business, financial condition and prospects could suffer. In addition, even if we are able to successfully complete any additional transactions of the nature described above, any additional transactions that we do complete could have a material adverse effect on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maintain quality controls and compliance with manufacturing standards.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manufacture of our product candidates is, and the manufacture of any future drug and/or cell-related therapeutic products would be, subject to periodic inspection by regulatory authorities and distribution partners. The manufacture of drug and device products for human use is subject to regulation and inspection from time to time by the FDA for compliance with the FDA’s cGMP, Quality System Regulations (“QSRs”), as well as equivalent requirements and inspections by state and non-U.S. regulatory authorities. There can be no assurance that the FDA or other authorities will not, during the course of an inspection of existing or new facilities, identify what they consider to be deficiencies in our compliance with QSRs or other requirements and request, or seek remedial action.</w:t>
      </w:r>
    </w:p>
    <w:p>
      <w:pPr>
        <w:spacing w:after="0" w:line="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Failure to comply with such regulations or a potential delay in attaining compliance may adversely affect our manufacturing activities and could result in, among other things, injunctions, civil penalties, FDA refusal to grant pre- market approvals or clearances of future or pending product submissions, fines, recalls or seizures of products, total or partial suspensions of production and criminal prosecution. There can be no assurance that after such occurrences that we will be able to obtain additional necessary regulatory approvals or clearances on a timely basis, if at all. Delays in receipt of or failure to receive such approvals or clearances, or the loss of previously received approvals or clearances could have a substantial negative effect on our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identify, hire and/or retain key personnel, we may not be able to sustain or grow our business.</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maintain a very small executive team. Our ability to operate successfully and manage our potential future growth depends significantly upon our ability to attract, retain, and motivate highly skilled and qualified research, technical, clinical, regulatory, sales, marketing, managerial and financial personnel. We compete for talent with numerous companies, as well as universities and non-profit research organizations. In the future, we may hire a significant number of scientists, quality and regulatory personnel, and other technical staff with the requisite expertise to support and expand our nanomedicine business. The manufacturing of our oncology drug assets is a highly complex process that requires significant experience and know-how. If we are unable to attract personnel with the necessary skills and experience to reestablish and expand our nanomedicine business, which is currently conducted out of our San Antonio, Texas facility, our business could suffer.</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future success also depends on the personal efforts and abilities of the principal members of our senior management and scientific staff to provide strategic direction, manage our operations, and maintain a cohesive and stable environment. In particular, we are highly dependent on our executive officers, especially Marc Hedrick, M.D., our Chief Executive Officer. Given his leadership, extensive technical, scientific, and financial expertise and management and operational experience, if we were unable to retain the services of Dr. Hedrick for any reason, it would materially and adversely impact our business and operations. Further, the loss of services of Dr. Hedrick or any other executive officer could result in product development delays or the failure of our collaborations with current and future collaborators, which, in turn, may hurt our ability to develop and commercialize products and generate revenue. We do not maintain key man life insurance on the lives of any of the members of our senior management. The loss of key personnel for any reason or our inability to hire, retain, and motivate additional qualified personnel in the future could prevent us from sustaining or growing our business. The loss of services of any of our personnel, including Dr. Hedrick, particularly for an extended period, would likely result in product development delays or the failure of our collaborations with current and future collaborators, which, in turn, may impede or delay our ability to develop and commercialize products and generate revenue. In addition, it could also result in difficulty to obtain additional funding for our development of products and our future operations.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if our insurance coverage for those claims is inadequate.</w:t>
      </w:r>
    </w:p>
    <w:p>
      <w:pPr>
        <w:spacing w:after="0" w:line="5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The clinical use of our product candidates exposes us to the risk of product liability claims. This risk exists even if a product or product candidate is approved for commercial sale by applicable regulatory authorities and manufactured in facilities regulated by such authorities. Our product candidates are designed to affect important bodily functions and processes. Any side effects, manufacturing defects, misuse, or abuse associated with our product candidates could result in injury to a patient or even death. For example, rhenium (186Re)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are cytotoxic, or toxic to living cells, and, if incorrectly or defectively manufactured or labeled, or incorrectly dosed or otherwise used in a manner not contemplated by its label, could result in patient harm and even death. In addition, a liability claim may be brought against us even if our product candidates merely appear to have caused an injury.</w:t>
      </w:r>
    </w:p>
    <w:p>
      <w:pPr>
        <w:spacing w:after="0" w:line="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Product liability claims may be brought against us by consumers, health care providers, pharmaceutical companies or others selling or otherwise coming into contact with our products or product candidates, if approved, among others. If we cannot successfully defend ourselves against product liability claims, we will incur substantial liabilities. In addition, regardless of merit or eventual outcome, product liability claims may result in:</w:t>
      </w:r>
    </w:p>
    <w:p>
      <w:pPr>
        <w:spacing w:after="0" w:line="68" w:lineRule="exact"/>
        <w:rPr>
          <w:sz w:val="20"/>
          <w:szCs w:val="20"/>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or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have obtained product liability insurance coverage for clinical trials with a $10 million per occurrence and annual aggregate coverage limit. Our insurance coverage may not be sufficient to cover all of our product liability related expenses or losses and may not cover us for any expenses or losses we may suffer. Moreover, insurance coverage is becoming increasingly expensive, and, in the future, we may not be able to maintain insurance coverage at a reasonable cost, in sufficient amounts or upon adequate terms to protect us against losses due to product liability. If we determine that it is prudent to increase our product liability coverage, we may be unable to obtain this increased product liability insurance on commercially reasonable terms or at all. Large judgments have been awarded in class action or individual lawsuits based on drugs that had unanticipated side effects. A successful product liability claim or series of claims brought against us could cause our stock price to decline and, if judgments exceed our insurance coverage, could decrease our cash and have a material adverse effect on our business, results of operations, financial condition and prospects.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adequately protect private health information could result in severe harm to our reputation and subject us to significant liabilities, each of which could have a material adverse effect on our business.</w:t>
      </w:r>
    </w:p>
    <w:p>
      <w:pPr>
        <w:spacing w:after="0" w:line="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Throughout the clinical trial process, we may obtain the private health information of our trial subjects. There are a number of state, federal and international laws protecting the privacy and security of health information and personal data. The Healthcare Information Portability and Accountability Act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use or disclose individually identifiable health information maintained by a</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jc w:val="both"/>
        <w:spacing w:after="0" w:line="252" w:lineRule="auto"/>
        <w:rPr>
          <w:sz w:val="20"/>
          <w:szCs w:val="20"/>
          <w:color w:val="auto"/>
        </w:rPr>
      </w:pPr>
      <w:r>
        <w:rPr>
          <w:rFonts w:ascii="Times New Roman" w:cs="Times New Roman" w:eastAsia="Times New Roman" w:hAnsi="Times New Roman"/>
          <w:sz w:val="18"/>
          <w:szCs w:val="18"/>
          <w:color w:val="auto"/>
        </w:rPr>
        <w:t>HIPAA-covered entity in a manner that is not authorized or permitted by HIPAA. Most states have laws requiring notification of affected individuals and state regulators (breach notification laws)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Additionally, in California, the California Consumer Privacy Act (“CCPA”) establishes certain requirements for data use and sharing transparency and creates new data privacy rights for California residents.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went into effect on January 1, 2023.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Activities outside of the U.S. implicate local and national data protection standards, impose additional compliance requirements and generate additional risks of enforcement for non-compliance. The European Union’s General Data Protection Regulation (“GDPR”), which imposes fines of up to EUR 20 million or 4% of the annual global revenue of a noncompliant company, whichever is greater, Canada’s Personal Information Protection and Electronic Documents Act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must comply with environmental laws and regulations, including those pertaining to use of hazardous and biological materials in our business, and failure to comply with these laws and regulations could expose us to significant liabilities.</w:t>
      </w:r>
    </w:p>
    <w:p>
      <w:pPr>
        <w:spacing w:after="0" w:line="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and our collaborators are subject to various federal, state, and local environmental laws, rules and regulations, including those relating to discharge of materials into the air, water and ground, those relating to manufacturing, storage, use, transportation and disposal of hazardous and biological materials, and those relating to the health and safety of employees with respect to laboratory activities required for the development of our products and activities. In particular, our nanomedicine products and processes involve the controlled storage, use and disposal of certain cytotoxic, or toxic to living cells, materials. Even if we and these suppliers and collaborators comply with the standards prescribed by law and regulation, the risk of accidental contamination or injury from hazardous materials, or other violations of applicable environmental laws, rules or regulations cannot be completely eliminated. In the event of any violation of such laws, rules or regulations, we could be held liable for any damages that result, and any liability could exceed the limits or fall outside the coverage of any insurance we may obtain and could exceed our financial resources. We may not be able to maintain insurance on acceptable terms, or at all. We may incur significant costs in complying with environmental laws, rules and regulations.</w:t>
      </w:r>
    </w:p>
    <w:p>
      <w:pPr>
        <w:spacing w:after="0" w:line="29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w:t>
      </w:r>
    </w:p>
    <w:p>
      <w:pPr>
        <w:spacing w:after="0" w:line="12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 trademark, and trade secret protection of our platform technology and current product candidates, including but not limited to our nanomedicine product candidates, including rhenium (186Re)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as well as successfully defending our intellectual property against third-party challenges. Our ability to stop unauthorized third parties from making, using, selling, offering to sell, or importing our platform technology and/or our product candidates is dependent upon the extent to which we have rights under valid and enforceable patents or trade secrets that cover these activities.</w:t>
      </w:r>
    </w:p>
    <w:p>
      <w:pPr>
        <w:spacing w:after="0" w:line="1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1140" w:hanging="383"/>
        <w:spacing w:after="0" w:line="26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NanoTx, or UT Health Science Center at San Antonio, as the case may be, might not have been the first to file patent applications for the covered inventions;</w:t>
      </w: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dominating patents to our product candidates of which we are not aware;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patents, of which we are not aware;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patents;</w:t>
      </w:r>
    </w:p>
    <w:p>
      <w:pPr>
        <w:spacing w:after="0" w:line="9"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ind w:left="1140" w:right="20" w:hanging="383"/>
        <w:spacing w:after="0" w:line="25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patents or patent applications, if and when issued, may not cover our system or products, or our system or product candidates;</w:t>
      </w:r>
    </w:p>
    <w:p>
      <w:pPr>
        <w:ind w:left="1140" w:hanging="383"/>
        <w:spacing w:after="0" w:line="26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or may be narrowed in scope, be held invalid or unenforceable as a result of legal administrative challenges by third parties;</w:t>
      </w:r>
    </w:p>
    <w:p>
      <w:pPr>
        <w:spacing w:after="0" w:line="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left="1140" w:hanging="383"/>
        <w:spacing w:after="0" w:line="233"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others may be able to make or use compounds that are the same or similar to the rhenium (186Re) obisbemeda 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candidates but that are not covered by the claims of our patents;</w:t>
      </w:r>
    </w:p>
    <w:p>
      <w:pPr>
        <w:spacing w:after="0" w:line="1" w:lineRule="exact"/>
        <w:rPr>
          <w:rFonts w:ascii="Times New Roman" w:cs="Times New Roman" w:eastAsia="Times New Roman" w:hAnsi="Times New Roman"/>
          <w:sz w:val="18"/>
          <w:szCs w:val="18"/>
          <w:color w:val="auto"/>
        </w:rPr>
      </w:pPr>
    </w:p>
    <w:p>
      <w:pPr>
        <w:ind w:left="1140" w:right="20" w:hanging="383"/>
        <w:spacing w:after="0" w:line="22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 able to detect infringement against our patents, which may be especially difficult for manufacturing processes or formulation patents, such as the patents/applications related to rhenium (186Re) obisbemeda 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 RNL-BAM;</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49"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pharmaceutical ingredient ("API") used in rhenium (186Re) obisbemeda, 186-Re, is routinely produced in nuclear reactors or at a particle accelerator and is commercially available as 186-Re Sulfide for isotropic radiation synovectomy of medium sized joints and in developing countries as 186-Re-HEDP for bone pain palliation;</w:t>
      </w:r>
    </w:p>
    <w:p>
      <w:pPr>
        <w:spacing w:after="0" w:line="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 or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biopharmaceutical and medical device companies can be highly uncertain and involve complex legal and factual questions for which important legal principles remain unresolved. No consistent policy regarding the breadth of claims allowed in patents in these fields has emerged to date in the United States. There have been recent changes regarding how patent laws are interpreted, and both the USPTO and Congress have recently made significant changes to the patent system. There have been three U.S. Supreme Court decisions that now show a trend of the Supreme Court which is distinctly negative on patents. The trend of these decisions along with resulting changes in patentability requirements being implemented by the USPTO could make it increasingly difficult for us to obtain and maintain patents on our product candidates. We cannot accurately predict future changes in the interpretation of patent laws or changes to patent laws which might be enacted into law. Those changes may materially affect our patents, our ability to obtain patents and/or the patents and applications of our collaborators and licensors. The patent situation in these fields outside the United States is even more uncertain. Changes in either the patent laws or in interpretations of patent laws in the United States and other countries may diminish the value of our intellectual property or narrow the scope of our patent protection. Accordingly, we cannot predict the breadth of claims that may be allowed or enforced in the patents we own or to which we have a license or third-party patents.</w:t>
      </w:r>
    </w:p>
    <w:p>
      <w:pPr>
        <w:spacing w:after="0" w:line="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Intellectual property law outside the United States is uncertain and in many countries is currently undergoing review and revisions. The laws of some countries do not protect our patent and other intellectual property rights to the same extent as United States laws. Third parties may attempt to oppose the issuance of patents to us in foreign countries by initiating opposition proceedings. Opposition proceedings against any of our patent filings in a foreign country could have an adverse effect on our corresponding patents that are issued or pending in the United States. It may be necessary or useful for us to participate in proceedings to determine the validity of our patents or our competitors’ patents that have been issued in countries other than the United States. This could result in substantial costs, divert our efforts and attention from other aspects of our business, and could have a material adverse effect on our results of operations and financial condition.</w:t>
      </w:r>
    </w:p>
    <w:p>
      <w:pPr>
        <w:spacing w:after="0" w:line="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Failure to obtain or maintain patent protection or protect trade secrets, for any reason (or third-party claims against our patents, trade secrets, or proprietary rights, or our involvement in disputes over our patents, trade secrets, or proprietary rights, including involvement in litigation), could have a substantial negative effect on our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trade secrets.</w:t>
      </w:r>
    </w:p>
    <w:p>
      <w:pPr>
        <w:spacing w:after="0" w:line="1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may rely on trade secrets to protect our technology, especially with respect to the nanomedicine products, as well as in areas where we do not believe patent protection is appropriate or obtainable.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state laws in the Unites States vary, and their courts as well as courts outside the United States are sometimes less willing to protect trade secrets. Moreover, our competitors may independently develop equivalent knowledge, methods, and know-how. If our confidential or proprietary information is divulged to or acquired by third parties, including our competitors, our competitive position in the marketplace will be harmed and our ability to successfully penetrate our target markets could be severely compromised.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device, biotechnology and pharmaceutical industries, we employ individuals who were previously employed at other device,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which would adversely affect our financial condition.</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our product candidates and technology.</w:t>
      </w:r>
    </w:p>
    <w:p>
      <w:pPr>
        <w:spacing w:after="0" w:line="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or confirm the ownership of any patents issued or licensed to us, or to determine the scope and validity of third-party proprietary rights, which would result in substantial costs to us and diversion of effort on our part. If our competitors claim technology also claimed by us and prepare and file patent applications in the United States, we may have to participate in interference proceedings declared by the USPTO or a foreign patent office to determine priority of invention, which could result in substantial costs to and diversion of effort, even if the eventual outcome is favorable to us. Any such litigation or interference proceeding, regardless of outcome, could be expensive and time-consuming.</w:t>
      </w:r>
    </w:p>
    <w:p>
      <w:pPr>
        <w:spacing w:after="0" w:line="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Successful challenges to our patents through oppositions, reexamination proceedings or interference proceedings could result in a loss of patent rights in the relevant jurisdiction. If we are unsuccessful in actions we bring against the patents of other parties, and it is determined that we infringe the patents of third-parties, we may be subject to litigation, prevented from commercializing potential products in the relevant jurisdiction and/or may be required to obtain licenses to those patents or develop or obtain alternative technologies, any of which could harm our business. Furthermore, if such challenges to our patent rights are not resolved in our favor, we could be delayed or prevented from entering into new collaborations or from commercializing certain products, which could adversely affect our business and results of operations.</w:t>
      </w:r>
    </w:p>
    <w:p>
      <w:pPr>
        <w:spacing w:after="0" w:line="7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Competitors or third parties may infringe on or upon our patents. We may be required to file patent infringement claims, which can be expensive and time-consuming. In addition, in an infringement proceeding, a court may decide that a patent of ours is not valid or is unenforceable or that the third party’s technology does not in fact infringe upon our patents. An adverse determination of any litigation or defense proceedings could put one or more of our patents at risk of being invalidated or interpreted narrowly and could put our related pending patent applications at risk of not issuing.</w:t>
      </w:r>
    </w:p>
    <w:p>
      <w:pPr>
        <w:spacing w:after="0" w:line="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Litigation may fail and, even if successful, may result in substantial costs and be a distraction to our management. We may not be able to prevent misappropriation of our proprietary rights, particularly in countries outside the United States where patent rights may be more difficult to enforce.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otherwise have a material adverse effect on our business, results of operations, financial condition,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it will be costly and time consuming, and an unfavorable outcome in that litigation would have a material adverse effect on our business.</w:t>
      </w:r>
    </w:p>
    <w:p>
      <w:pPr>
        <w:spacing w:after="0" w:line="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commercial success will also depend, in part, on our ability to avoid infringing on patents issued by others. There may be issued patents of third parties of which we are currently unaware, that are infringed or are alleged to be infringed by our product candidate or proprietary technologies. 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 candidates or technology similar to ours. Any such patent application may have priority over our patent applications or patents, which could further require us to obtain rights to issued patents covering such technologies.</w:t>
      </w:r>
    </w:p>
    <w:p>
      <w:pPr>
        <w:spacing w:after="0" w:line="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having patent or other intellectual property rights alleging that our product candidates and/or proprietary technologies infringe their intellectual property rights. These lawsuits are costly and could adversely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a third-party’s patent were found to cover our product candidates, proprietary technologies or their uses, we could be enjoined by a court and required to pay damages and could be unable to commercialize our product candidates or use our proprietary technologies unless we or they obtained a license to the patent. A license may not be available to us on acceptable terms, if at all. In addition, during litigation, the patent holder could obtain a preliminary injunction or other equitable relief which could prohibit us from making, using or selling our product candidates, technologies or methods pending a trial on the merits, which could be years away.</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ind w:left="28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Securities Markets and an Investment in our Common Stock</w:t>
      </w:r>
    </w:p>
    <w:p>
      <w:pPr>
        <w:spacing w:after="0" w:line="3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experience substantial dilution in the value of their investment if we issue additional shares of our capital stock, including in connection with the sale or issuance of our common stock to Lincoln Park and the sale of the shares of common stock acquired by Lincoln Park and the sale of our common stock by Canaccord.</w:t>
      </w:r>
    </w:p>
    <w:p>
      <w:pPr>
        <w:spacing w:after="0" w:line="5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charter allows us to issue up to 100,000,000 shares of our common stock and to issue and designate the rights of, without stockholder approval, up to 5,000,000 shares of preferred stock. To raise additional capital, we may in the future sell additional shares of our common stock or other securities convertible into or exchangeable for our common stock at prices that are lower than the prices paid by existing stockholders, and investors purchasing shares or other securities in the future could have rights superior to existing stockholders, which could result in substantial dilution to the interests of existing stockholders.</w:t>
      </w:r>
    </w:p>
    <w:p>
      <w:pPr>
        <w:spacing w:after="0" w:line="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August 2, 2022, we entered into the 2022 Purchase Agreement with Lincoln Park, pursuant to which Lincoln Park committed to purchase up to $50.0 million (the “Commitment Amount”) of our common stock, subject to certain limitations. As consideration for Lincoln Park’s irrevocable commitment to purchase shares of our common stock upon the terms of and subject to satisfaction of the conditions set forth in the 2022 Purchase Agreement, upon execution of the 2022 Purchase Agreement, we agreed to pay Lincoln Park an initial commitment fee equal to 1.5% of the Commitment Amount. The initial commitment fee was paid upon execution of the 2022 Purchase Agreement through the issuance of 492,698 shares of common stock and $0.1 million in cash. An additional commitment fee equal to 2.5% of the remainder of the Commitment Amount will be paid if and when we sell over $25.0 million of our common stock under the 2022 Purchase Agreement. The additional commitment fee may be paid in cash, common stock, or a combination of cash and common stock.</w:t>
      </w:r>
    </w:p>
    <w:p>
      <w:pPr>
        <w:spacing w:after="0" w:line="8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remaining shares of our common stock that may be issued under the 2022 Purchase Agreement may be sold by us to Lincoln Park at our discretion from time to time over a 36-month period commencing August 17, 2022, subject to satisfaction of certain conditions. The purchase price for the shares that we may sell to Lincoln Park under the 2022 Purchase Agreement will fluctuate based on the price of our common stock. Depending on market liquidity at the time, sales of such shares may cause the trading price of our common stock to fall.</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and when we do sell shares to Lincoln Park, after Lincoln Park has acquired the shares, Lincoln Park may resell all or some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w:t>
      </w:r>
    </w:p>
    <w:p>
      <w:pPr>
        <w:spacing w:after="0" w:line="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September 9, 2022, we entered into the September 2022 Distribution Agreement with Canaccord, pursuant to which we may issue and sell, from time to time, shares of our common stock having an aggregate offering price of up to $5,000,000, depending on market demand, with Canaccord acting as an agent for sales. Sales of the Shares may be made by any method permitted by law deemed to be an “at the market offering” as defined in Rule 415(a)(4) of the Securities Act, including, without limitation, sales made directly on or through the Nasdaq. Sales pursuant to the September 2022 Distribution Agreement, if any, could result in substantial dilution to the interest of other holders of our common stock. Depending on market liquidity at the time, sales of such shares may cause the trading price of our common stock to fall.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share price.</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2022, we had 33,601,373 shares of our common stock outstanding. Sales of a number of shares of common stock in the public market could cause the market price of our common stock to decline. We may also sell additional common stock or securities convertible into or exercisable or exchangeable for common stock in subsequent public or private offerings or other transactions, which may adversely affect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significantly, which could result in substantial losses for stockholders.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subject to significant fluctuations. Among the factors that may cause the market price of our common stock to fluctuate are the risks described in this “Risk Factors” section and other factors, including:</w:t>
      </w:r>
    </w:p>
    <w:p>
      <w:pPr>
        <w:spacing w:after="0" w:line="54"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the operating results of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involving the use of our product candidates, including our sponsored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financial results or recommendations by securities analysts;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securities analysts;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the future size and growth rate of our markets;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changes in interpretations of existing principles, which could affect our financial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markets we currently serve or which we intend to target with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and services;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new products, contracts, acquisitions or strategic alliances by us or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ability to list our securities on an established market or exchange;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reviews and approvals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outcome of litigation involving our company, our general industry or both;</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sales of our common stock by the holders of our common stock;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3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the financial markets may experience a loss of investor confidence or otherwise experience continued volatility and deterioration. A loss of investor confidence may result in extreme price and volume fluctuations in our common stock that are unrelated or disproportionate to the operating performance of our business, our financial condition or results of operations, which may materially harm the market price of our common stock and result in substantial losses for stockholders. Further, although our common stock is traded on the Nasdaq, there is currently a limited market for our common stock and an active market may never develop. An active trading market in our common stock may not develop.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or become the target of securities litigation, which is costly and time-consuming to defend.</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market volatility in the price of a company’s securities, the reporting of unfavorable news or continued decline in a company’s stock price, security holders have often instituted class action litigation. The market value of our securities has steadily declined over the past several years for a variety of reasons discussed elsewhere in this “Risk Factors” section, which heightens our litigation risk. If we face such litigation, we could incur substantial legal costs and our management’s attention could be diverted from the operation of our business, causing our business to suffer. Any adverse determination in any such litigation or any amounts paid to settle any such actual or threatened litigation could require that we make significant payments.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debt and equity securities or securities convertible into equity securities, any of which may be senior to our common stock as to distributions and in liquidation, which could negatively affect the value of our common stock.</w:t>
      </w:r>
    </w:p>
    <w:p>
      <w:pPr>
        <w:spacing w:after="0" w:line="26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entering into debt or debt-like financing that is unsecured or secured by up to all of our assets, or by issuing additional debt or equity securities, which could include issuances of secured or unsecured commercial paper, medium-term notes, senior notes, subordinated notes, guarantees, preferred stock, hybrid securities, or securities convertible into or exchangeable for equity securities. In the event of our liquidation, our lenders and holders of our debt and preferred securities would receive distributions of our available assets before distributions to the holders of our common stock. Because our decision to incur debt and issue securities in future offerings may be influenced by market conditions and other factors beyond our control, we cannot predict or estimate the amount, timing or nature of our future offerings or debt financings. Further, market conditions could require us to accept less favorable terms for the issuance of our securities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contain anti-takeover provisions.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could discourage, delay or prevent a merger, acquisition or other change of control that stockholders may consider favorable. These provisions could also prevent or frustrate attempts by our stockholders to replace or remove members of our Board of Directors. Stockholders who wish to participate in these transactions may not have the opportunity to do so. These provisions:</w:t>
      </w:r>
    </w:p>
    <w:p>
      <w:pPr>
        <w:spacing w:after="0" w:line="72" w:lineRule="exact"/>
        <w:rPr>
          <w:sz w:val="20"/>
          <w:szCs w:val="20"/>
          <w:color w:val="auto"/>
        </w:rPr>
      </w:pPr>
    </w:p>
    <w:p>
      <w:pPr>
        <w:ind w:left="1140" w:right="40" w:hanging="383"/>
        <w:spacing w:after="0" w:line="261"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up to 5,000,000 shares of preferred stock, the rights of which will be determined at the discretion of the Board of Directors;</w:t>
      </w: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cannot be taken by written consent;</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left="1140" w:right="120" w:hanging="383"/>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nominations to our Board of Directors or for stockholder proposals that can be acted on at stockholder meetings; and</w:t>
      </w: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which may, unless certain criteria are met, prohibit large stockholders, in particular those owning 15% or more of the voting rights on our common stock, from merging or combining with us for a prescribed period of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presently do not intend to pay cash dividends on our common stock.</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in the past, and we currently anticipate that no cash dividends will be paid on the common stock in the foreseeable future. Furthermore, our Loan and Security Agreement with Oxford currently prohibits our issuance of cash dividends. This could make an investment in our common stock inappropriate for some investors, and may serve to narrow our potential sources of additional capital. While our dividend policy will be based on the operating results and capital needs of the business, it is anticipated that all earnings, if any, will be retained to finance the future expansion of our business.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33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information technology security threats and more sophisticated and targeted computer crime could pose a risk to our systems, networks, and products.</w:t>
      </w:r>
    </w:p>
    <w:p>
      <w:pPr>
        <w:spacing w:after="0" w:line="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Increased global information technology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refreshers,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have one lease agreement for our San Antonio, Texas locations. The lease for this property will expire in February 2025. We also lease certain office space in Austin, Texas under a month-to-month operating lease agreement. We also have a lease agreement for office space in Charlottesville, Virginia. We pay an aggregate of approximately $16,000 in rent per month for these properties.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June 22, 2021, we were named as a defendant in an action brought by Lorem Vascular, Pte. Ltd. (“Lorem”) in the District Court for the District of Delaware. The complaint alleged false representations were made to Lorem regarding the manufacturing facility in the United Kingdom (the “UK Facility”) that Lorem purchased from us under the Asset and Equity Purchase Agreement, dated March 29, 2019, between us and Lorem (the “Lorem Agreement”). Lorem also claimed that false representations were made regarding the UK Facility’s certification to sell and distribute devices in the European Union and export such devices to China. In connection with these allegations, Lorem claimed entitlement to at least $6,000,000 in compensatory damages and operational costs and expenses (collectively,</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the “Lorem Claim”). On December 9, 2022, we entered into a settlement agreement (the “Settlement Agreement”) with Lorem to settle the Lorem Claim. Under the terms of the Settlement Agreement, we made a payment to Lorem, and Lorem moved to dismiss the lawsuit with prejudice. The Settlement Agreement released us from all claims made by Lorem. The parties to the Settlement Agreement recognized that it did not constitute an admission of liability, wrongdoing, or any matter of fact or law. As of December 31, 2022, we accrued the settlement amount, as well as the accounts that we have confirmed to be recoverable under our insurance claims on the matter. The net amount of $1.4 million that was not recoverable under our insurance has been reflected as an expense in the year ended December 31, 2022. The full settlement amount was paid in January 2023. All legal costs incurred related to the Lorem Claim were expensed. The Settlement was conditioned on the customary terms contained in the Settlement Agreement and was approved by the Court and the case was dismissed on January 17, 2023.</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Refer to Note 7 of the Financial Statements included in this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“PSTV”. As of February 17, 2023, we had approximately 16 record holders of our common stock. Because many of our shares are held by brokers and other institutions on behalf of stockholders, we are unable to estimate the total number of individual stockholders represented by these record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gives information as of December 31, 2022 about shares of our common stock that may be issued upon the exercise of outstanding options, and shares remaining available for issuance under all of our equity compensation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 reflected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outstanding options and rights</w:t>
            </w:r>
          </w:p>
        </w:tc>
        <w:tc>
          <w:tcPr>
            <w:tcW w:w="2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approved by security</w:t>
            </w: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holders (1)</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160,095</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approved by security</w:t>
            </w:r>
          </w:p>
        </w:tc>
        <w:tc>
          <w:tcPr>
            <w:tcW w:w="2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1,014,921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holders (2)</w:t>
            </w:r>
          </w:p>
        </w:tc>
        <w:tc>
          <w:tcPr>
            <w:tcW w:w="2500" w:type="dxa"/>
            <w:vAlign w:val="bottom"/>
            <w:gridSpan w:val="2"/>
            <w:vMerge w:val="continue"/>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1,175,016</w:t>
            </w:r>
          </w:p>
        </w:tc>
        <w:tc>
          <w:tcPr>
            <w:tcW w:w="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2,726,106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49" w:lineRule="exact"/>
        <w:rPr>
          <w:sz w:val="20"/>
          <w:szCs w:val="20"/>
          <w:color w:val="auto"/>
        </w:rPr>
      </w:pPr>
    </w:p>
    <w:p>
      <w:pPr>
        <w:ind w:left="760" w:right="80" w:hanging="752"/>
        <w:spacing w:after="0" w:line="262" w:lineRule="auto"/>
        <w:tabs>
          <w:tab w:leader="none" w:pos="7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(i) options outstanding that were issued under the 2004 Stock Option and Stock Purchase Plan which expired in August 2004 and (ii) the 2015 New Employee Incentive Plan.</w:t>
      </w:r>
    </w:p>
    <w:p>
      <w:pPr>
        <w:ind w:left="760" w:hanging="752"/>
        <w:spacing w:after="0"/>
        <w:tabs>
          <w:tab w:leader="none" w:pos="7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Notes to the Financial Statements included elsewhere herein for a description of our 2020 Stock Incentive Plan.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Features of the Amended and Restated 2015 New Employment Incentive Plan and the 2020 Stock Incentive Plan</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adopted the 2015 Plan on December 29, 2015 pursuant to Rule 5653(c)(4) of the Nasdaq. The 2015 Plan was subsequently amended by the Board in May 2016 and January 2020.</w:t>
      </w:r>
    </w:p>
    <w:p>
      <w:pPr>
        <w:spacing w:after="0" w:line="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Awards granted under the 2015 Plan were intended to constitute “employment inducement awards” under Nasdaq Listing Rule 5635(c)(4) and, therefore, the 2015 Plan was intended to be exempt from the Nasdaq Listing Rules regarding stockholder approval of stock option and stock purchase plans. The 2015 Plan provides for the grant of restricted stock unit awards, restricted stock awards, performance awards, unrestricted securities, stock-equivalent units, stock appreciation units, securities or debentures convertible into common stock or other forms. These awards may be granted to individuals who were then new employees, or were commencing employment with us or one of our subsidiaries following a bona fide period of non-employment with us, and for whom such awards were granted as a material inducement to commencing employment with us or one of our subsidiaries.</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2015 Plan is administered by the Compensation Committee. The plan administrator has discretion to take action under the 2015 Plan, such as determining the purchase price, performance measures, any repurchase rights, as well as make adjustment to the terms of any Award to reflect, or related to, such changes in our capital structure or distributions as we deem appropriate, including modification of performance goals, performance award formulas, and performance periods. As of December 31, 2022, there were 90,389 shares of common stock remaining and available for issuance under the 2015 Plan.</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June 16, 2020, our stockholders approved our 2020 Stock Incentive Plan (the “2020 Plan”), which replaced the Company’s 2014 Equity Incentive Plan. The 2020 Plan, as amended, provides for the issuance of up to 3,550,000 shares of common stock, plus the number of shares available for issuance is increased to the extent that awards granted under the 2020 Plan and the 2014 Equity Incentive Plan are forfeited or expire (except as otherwise provided in the 2020 Plan).</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2020 Plan provides for the direct award or sale of shares of common stock (including restricted stock), the award of stock units and stock appreciation rights, and the grant of both incentive stock options to purchase common stock intended to qualify for preferential tax treatment under Section 422 of the Code and nonstatutory stock options to purchase common stock that do not qualify for such treatment under the Code. All employees (including officers) and directors of the Company or any subsidiary and any consultant who performs services for us or a subsidiary are eligible to purchase shares of common stock and to receive awards of shares or grants of nonstatutory stock options, stock units and stock appreciation rights. Only employees are eligible to receive grants of incentive stock options.</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2020 Plan is administered by the Compensation Committee. Subject to the limitations set forth in the 2020 Plan, the Compensation Committee has the authority to determine, among other things, to whom awards will be granted, the number of shares subject to awards, the term during which an option, stock unit or stock appreciation right may be exercised and the rate at which the awards may vest or be earned, including any performance criteria to which they may be subject. The Compensation Committee also has the authority to determine the consideration and methodology of payment for awards.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3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August 15, 2022, we announced that our Board of Directors had approved a share repurchase program pursuant to which we were authorized to repurchase up to $2.0 million of our outstanding common stock. The timing and amount of any shares repurchased will be determined based on our evaluation of market conditions and other factors. Repurchases may be made from time to time on the open market over the course of 12 months. We are not obligated to acquire any shares and the program may be discontinued or suspended at any time. Through the date of filing of this Form 10-K, we have not repurchased any of its common stock under this share repurchase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includes the following sections:</w:t>
      </w:r>
    </w:p>
    <w:p>
      <w:pPr>
        <w:spacing w:after="0" w:line="117"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that discusses our business and some of the relevant trends.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includes a detailed discussion of our revenue and expenses.</w:t>
      </w:r>
    </w:p>
    <w:p>
      <w:pPr>
        <w:spacing w:after="0" w:line="117"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which discusses key aspects of our statements of cash flows, changes in our financial position and our financial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Plus Therapeutics, Inc. is a U.S. pharmaceutical company developing targeted radiotherapeutics with advanced platform technologies for central nervous system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0"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18"/>
          <w:szCs w:val="18"/>
          <w:color w:val="auto"/>
        </w:rPr>
        <w:t>Our lead radiotherapeutic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(formerly,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RNL”), is designed specifically to CNS cancers including recurrent glioblastoma ("GBM"), leptomeningeal metastases ("LM"), and pediatric brain cancers ("PBC") by direct localized delivery utilizing approved standard-of-care tissue access such as with convection-enhanced delivery (“CED”) and intraventricular brain(Ommaya reservoir) catheters. Our recently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to its headquarters in Austin, we have an established, GMP-validated research and development and manufacturing facility in San Antonio, Texas, tailored to produce cGMP rhenium (186Re) obisbemeda. We have built a robust supply chain through strategic partnerships that enable the development, manufacturing and future potential commercialization of our products. Our current supply chain and key partners are positioned to supply cGMP rhenium (186Re) obisbemeda for ongoing and planned Phase 2 and Phase 3 clinical trials in patients with GBM, LM and PBC..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8" w:lineRule="exact"/>
        <w:rPr>
          <w:sz w:val="20"/>
          <w:szCs w:val="20"/>
          <w:color w:val="auto"/>
        </w:rPr>
      </w:pPr>
    </w:p>
    <w:p>
      <w:pPr>
        <w:jc w:val="both"/>
        <w:ind w:firstLine="749"/>
        <w:spacing w:after="0" w:line="212" w:lineRule="auto"/>
        <w:rPr>
          <w:sz w:val="20"/>
          <w:szCs w:val="20"/>
          <w:color w:val="auto"/>
        </w:rPr>
      </w:pPr>
      <w:r>
        <w:rPr>
          <w:rFonts w:ascii="Times New Roman" w:cs="Times New Roman" w:eastAsia="Times New Roman" w:hAnsi="Times New Roman"/>
          <w:sz w:val="18"/>
          <w:szCs w:val="18"/>
          <w:color w:val="auto"/>
        </w:rPr>
        <w:t>Our most advanced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patented radiotherapy potentially useful for patients with CNS and other cancers. Preclinical study data describing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several cancer targets have been published in peer-reviewed journals and reported at a variety of medical society peer-reviewed meetings. Besides GBM, LM and PBC,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been reported to have potential applications for head and neck cancer, ovarian cancer, breast cancer and peritoneal metastases.</w:t>
      </w:r>
    </w:p>
    <w:p>
      <w:pPr>
        <w:spacing w:after="0" w:line="91"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8"/>
          <w:szCs w:val="18"/>
          <w:color w:val="auto"/>
        </w:rPr>
        <w:t>The Rhenium (186Re)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 through the completion of</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a Phase 2 clinical trial, including enrollment of up to 55 patients. As of February 23, 2023, 26 patients have been treated in the Phase 1 clinical trial and the Phase 2 clinical trial has been initiated with the first patient treated. In addition, we anticipate obtaining FDA IND approval for the ReSPECT-PBC clinical trial for PBC in early 2023.</w:t>
      </w:r>
    </w:p>
    <w:p>
      <w:pPr>
        <w:spacing w:after="0" w:line="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August 29, 2022, we announced feedback from a Type C meeting with the FDA regarding Chemistry, Manufacturing and Controls (“CMC”) practices. The meeting focused on our Current Good Manufacturing Practice (“cGMP”) clinical and commercial manufacturing process for our lead investigational targeted radiotherapeutic, BMEDA-chelated Rhenium (186Re) Obisbemeda, for recurrent GBM.</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The FDA indicated agreement with our proposed application of cGMP guidance for radiotherapeutics, small molecule drug products and liposome drug products for our novel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and LM adult development and pediatric brain tumors, we believe this FDA alignment and feedback will apply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used in other clinical development programs, including LM and PBC.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w:t>
      </w:r>
      <w:r>
        <w:rPr>
          <w:rFonts w:ascii="Times New Roman" w:cs="Times New Roman" w:eastAsia="Times New Roman" w:hAnsi="Times New Roman"/>
          <w:sz w:val="18"/>
          <w:szCs w:val="18"/>
          <w:i w:val="1"/>
          <w:iCs w:val="1"/>
          <w:color w:val="auto"/>
        </w:rPr>
        <w:t>versus External Beam Radiation Therapy for Recurrent GBM</w:t>
      </w:r>
    </w:p>
    <w:p>
      <w:pPr>
        <w:spacing w:after="0" w:line="62"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novel injectable radiotherapy designed to deliver targeted, high dose radiation directly into GBM tumors in a safe, effective, and convenient manner that may ultimately prolong patient survival.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compared to standard external beam radiotherapy or EBRT include:</w:t>
      </w:r>
    </w:p>
    <w:p>
      <w:pPr>
        <w:spacing w:after="0" w:line="25" w:lineRule="exact"/>
        <w:rPr>
          <w:sz w:val="20"/>
          <w:szCs w:val="20"/>
          <w:color w:val="auto"/>
        </w:rPr>
      </w:pPr>
    </w:p>
    <w:p>
      <w:pPr>
        <w:jc w:val="both"/>
        <w:ind w:left="1140" w:hanging="383"/>
        <w:spacing w:after="0" w:line="238"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radiation dose delivered to patients may be up to 20 times greater than what is possible with commonly used external beam radiation therapy (“EBRT”), which, unlike EBRT and proton beam devices, spares normal tissue and the brain from radiation exposure.</w:t>
      </w:r>
    </w:p>
    <w:p>
      <w:pPr>
        <w:spacing w:after="0" w:line="2" w:lineRule="exact"/>
        <w:rPr>
          <w:rFonts w:ascii="Times New Roman" w:cs="Times New Roman" w:eastAsia="Times New Roman" w:hAnsi="Times New Roman"/>
          <w:sz w:val="18"/>
          <w:szCs w:val="18"/>
          <w:color w:val="auto"/>
        </w:rPr>
      </w:pPr>
    </w:p>
    <w:p>
      <w:pPr>
        <w:ind w:left="1140" w:hanging="383"/>
        <w:spacing w:after="0" w:line="228"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can be visualized in real-time during administration, possibly giving clinicians better control of radiation dosing, distribution and retention.</w:t>
      </w:r>
    </w:p>
    <w:p>
      <w:pPr>
        <w:ind w:left="1140" w:right="20" w:hanging="383"/>
        <w:spacing w:after="0" w:line="228"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potentially more effectively treats a bulk tumor and microscopic disease that has already invaded healthy tissue.</w:t>
      </w:r>
    </w:p>
    <w:p>
      <w:pPr>
        <w:jc w:val="both"/>
        <w:ind w:left="1140" w:hanging="383"/>
        <w:spacing w:after="0" w:line="238"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1" w:lineRule="exact"/>
        <w:rPr>
          <w:rFonts w:ascii="Times New Roman" w:cs="Times New Roman" w:eastAsia="Times New Roman" w:hAnsi="Times New Roman"/>
          <w:sz w:val="18"/>
          <w:szCs w:val="18"/>
          <w:color w:val="auto"/>
        </w:rPr>
      </w:pPr>
    </w:p>
    <w:p>
      <w:pPr>
        <w:ind w:left="1140" w:hanging="383"/>
        <w:spacing w:after="0" w:line="228"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22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Recurrent GBM is the most common, complex, and aggressive primary brain cancer in adults. In the U.S., there are more than 13,000 GBM cases diagnosed and approximately 10,000 patients succumb to the disease each year. The average length of overall survival ("OS") for GBM patients is eight months, with a one-year survival rate of 40.8% and a five-year survival rate of only 6.8% and these estimates varies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9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jc w:val="both"/>
        <w:spacing w:after="0" w:line="242" w:lineRule="auto"/>
        <w:rPr>
          <w:sz w:val="20"/>
          <w:szCs w:val="20"/>
          <w:color w:val="auto"/>
        </w:rPr>
      </w:pPr>
      <w:r>
        <w:rPr>
          <w:rFonts w:ascii="Times New Roman" w:cs="Times New Roman" w:eastAsia="Times New Roman" w:hAnsi="Times New Roman"/>
          <w:sz w:val="18"/>
          <w:szCs w:val="18"/>
          <w:color w:val="auto"/>
        </w:rPr>
        <w:t>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targeting and avoidance of normal tissue. The locally delivered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for and provides patient tolerability and safety. Though no head-to-head trial with chemo, immune, EBRT or systemic radiopharmaceutical products have been conducted, patient tolerability and safety considerations have been reported as expected.</w:t>
      </w:r>
    </w:p>
    <w:p>
      <w:pPr>
        <w:spacing w:after="0" w:line="19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Interim results from our ongoing Phase 1/2a ReSPECT-GBM trial (ClinicalTrials.gov NCT01906385) show that the beta particle energy from our lead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GBM. In November 2021, the FDA granted Fast Track designation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w:t>
      </w:r>
    </w:p>
    <w:p>
      <w:pPr>
        <w:spacing w:after="0" w:line="35" w:lineRule="exact"/>
        <w:rPr>
          <w:sz w:val="20"/>
          <w:szCs w:val="20"/>
          <w:color w:val="auto"/>
        </w:rPr>
      </w:pPr>
    </w:p>
    <w:p>
      <w:pPr>
        <w:jc w:val="both"/>
        <w:ind w:firstLine="558"/>
        <w:spacing w:after="0" w:line="243"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under clinical investigation in a multicenter, sequential cohort, open-label, volume and dose escalation study of the safety, tolerability, and distribution of rhenium (186Re)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(186Re) obisbemeda dose and will expand exploring higher radiation doses in larger volumes to treat larger tumors. Additionally, two or more rhenium</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(186Re) obisbemeda administrations, if indicated, will be evaluated, and reviewed with the FDA, as well as expanded safety, imaging and efficacy data to support a planned future registrational trial. This in turn will provide a path to a registration trial.</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At the European Society for Medical Oncology Congress, held September 9 to 13, 2022, we presented updated data from the ReSPECT-GBM trial, which evaluated 23 adult patients with recurrent GBM across eight cohorts of increasing dose and treated over a seven-year period. Key findings include:</w:t>
      </w:r>
    </w:p>
    <w:p>
      <w:pPr>
        <w:spacing w:after="0" w:line="351"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DLTs have been observed and the procedure was very well tolerated with a strong safety profile. Minimal systemic radiation has been observed and the majority of adverse events have been mild or moderate and considered causally unrelated to rhenium (186Re) obisbemeda.</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70"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median overall survival (“OS”) rates correlated with the absorbed radiation tumor dose. When patients were stratified based on receipt of either a therapeutic or a subtherapeutic absorbed dose of radiation to the tumor, a statistically significant improvement in survival was observed. Specifically, patients receiving a therapeutic absorbed radiation dose (&gt;100 Gray) had a median OS of 22.9 months (95% CI of 8.8-42.3) compared to those receiving a subtherapeutic absorbed radiation dose (&lt;100 Gray) whose median OS was 5.6 months (95% CI of</w:t>
      </w:r>
    </w:p>
    <w:p>
      <w:pPr>
        <w:spacing w:after="0" w:line="2"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1.6-9.4). Currently, three patients remain alive, all in the therapeutic group.</w:t>
      </w:r>
    </w:p>
    <w:p>
      <w:pPr>
        <w:spacing w:after="0" w:line="98"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Feasibility to deliver up to at least 20 times more radiation to the tumor than the standard of care, EBRT. A maximum of 32.2 mCi in 12.3 mL of volume has been delivered in and near the tumors, and a maximum average absorbed dose of radiation of 740 Gray was successfully administered in a single procedure.</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absorbed radiation dose to the tumor increased in latter dosing cohorts with greater administered doses of rhenium (186Re) obisbemeda β-particle radiation, larger drug CED infusate volumes, more catheters used (up to four versus one),</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left="1020"/>
        <w:spacing w:after="0"/>
        <w:rPr>
          <w:sz w:val="20"/>
          <w:szCs w:val="20"/>
          <w:color w:val="auto"/>
        </w:rPr>
      </w:pPr>
      <w:r>
        <w:rPr>
          <w:rFonts w:ascii="Times New Roman" w:cs="Times New Roman" w:eastAsia="Times New Roman" w:hAnsi="Times New Roman"/>
          <w:sz w:val="18"/>
          <w:szCs w:val="18"/>
          <w:color w:val="auto"/>
        </w:rPr>
        <w:t>and higher convection flow rates. In cohorts five and later, 82% of patients received a therapeutic radiation dose of &gt;100Gray.</w:t>
      </w:r>
    </w:p>
    <w:p>
      <w:pPr>
        <w:spacing w:after="0" w:line="117" w:lineRule="exact"/>
        <w:rPr>
          <w:sz w:val="20"/>
          <w:szCs w:val="20"/>
          <w:color w:val="auto"/>
        </w:rPr>
      </w:pPr>
    </w:p>
    <w:p>
      <w:pPr>
        <w:jc w:val="both"/>
        <w:ind w:left="1020" w:hanging="503"/>
        <w:spacing w:after="0" w:line="26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Single-photon emission computerized tomography and (SPECT)/CT scanning were used during treatment to compute tumor coverage and dosimetry. Post treatment imaging analyses, including MRI, relative cerebral blood volume (rCBV) analysis and treatment response assessment maps (TRAMs) correlated with a positive tumor response and confirmed the presence of pseudoprogression in patients with positive tumor responses.</w:t>
      </w:r>
    </w:p>
    <w:p>
      <w:pPr>
        <w:spacing w:after="0" w:line="18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At the Society for Neuro-Oncology Annual Meeting in November 2022, we presented patient data, which at that time included the results for 24 patients treated in the ReSPECT-GBM trial. As of the date of this report, rhenium (186Re) obisbemeda given by CED in recurrent GBM patients was observed in the trial to be feasible and well tolerated. Across all subjects in the first eight cohorts (n=24), the median absorbed dose to the tumor volume increased as cohorts evaluated progressed, with patients receiving &gt;100Gy absorbed dose showing significant survival benefit versus patients receiving &lt;100Gy absorbed dose. Importantly, in a subset of patients where tumor coverage was greater than or equal to 75%, the median absorbed dose was 405 Gy (range 146-593). By contrast, given the protocol dose escalation design where early cohorts often had much lower doses, the absorbed doses were adequate for small tumors even with low doses. Small, absorbed doses to specific organs and whole body, are typically well-tolerated. Based on observed and reported patient protocol activity and all available adverse event (AE) data, rhenium (186Re) obisbemeda has been well-tolerated with AEs related to CED insertion that were limited and fully recovered. No AEs with an outcome of death, study discontinuation or study drug-related serious AEs have been reported. All AEs have been mild or moderate (Grade 1 or 2) in intensity, except for one case of Grade 3 vasogenic edema, which was considered by the investigator to be unrelated to the study drug. AEs considered by the investigator to be at least possibly related to rhenium (186Re) obisbemeda have included Grade 1 to 2 skin and soft tissue infection, intermittent cephalgia, neck and jaw pain, nausea with or without vomiting, constipation, increased lethargy, difficulty walking (gait disturbance), worsening double vision, and dysuria. Scalp discomfort and tenderness related to the surgical procedure has also been reported.</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the 24 subjects with recurrent GBM receiving a single administration of rhenium (186Re) obisbemeda, the median OS for all 24 patients as of November 2022 was 8.8 months, with four patients alive. In a subset of 13 patients receiving a presumed therapeutic absorbed radiation dose to the tumor (&gt;100 Gy), the mean OS was 22.9 months, respectively, with seven of 13 patients alive. In contrast, in nine patients receiving a presumed sub-therapeutic absorbed radiation dose to the tumor (&lt;100 Gy), the mean and median OS was 23.9 and 22.3 weeks, respectively. A Kaplan-Meier curve comparing patients with presumed therapeutic (&gt;100 Gy) versus sub-therapeutic (&lt;100 Gy) radiation dose to the tumor showed a statistically significant difference between the groups (p=.0003). It is hypothesized that targeted infusion of rhenium (186Re) obisbemeda into the tumor by CED, which exposure and potential toxicity and concentrates radiation to the tumor and surrounding region of interest. 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in approximately 24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 for Leptomeningeal Metastases (LM)</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have the potential to spread to the central nervous system and leptomeninges resulting in LM.</w:t>
      </w:r>
    </w:p>
    <w:p>
      <w:pPr>
        <w:spacing w:after="0" w:line="18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is predicated in part upon preclinical studies in which tolerance to doses of rhenium (186Re) obisbemeda as high as 1,075 Gy was shown in animal models with LM without significant observed toxicity. Furthermore, treatment led to a marked reduction in tumor burden in both C6 and MDA-231 LM models.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rhenium (186Re) obisbemeda for the treatment of LM, we initiated the trial and began screening patients for the ReSPECT-LM Phase 1 clinical trial in Q4 2021.</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ReSPECT-LM is a multi-center, sequential cohort, open-label, dose escalation study evaluating the safety, tolerability, and efficacy of a single-dose application of rhenium (186Re) obisbemeda administered through intrathecal infusion to the ventricle of patients with LM after standard surgical, radiation, and/or chemotherapy treatment. The primary endpoint of the study is the incidence and severity of adverse events and dose limiting toxicities.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March 31, 2022, we entered into a Sales Order (the “Sales Order”) with Medidata Solutions, Inc. (“Medidata”), pursuant to which Medidata built a Synthetic Control Arm® (SCA) platform that facilitates the use of historical clinical data to incorporate into our Phase 2 clinical trial of rhenium (186Re) obisbemeda in GBM. The Sales Order had a term of six (6) months. Work under this Sales Order has been completed.</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jc w:val="both"/>
        <w:ind w:firstLine="749"/>
        <w:spacing w:after="0" w:line="233"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CPRIT, pursuant to which CPRIT will provide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w:t>
      </w:r>
    </w:p>
    <w:p>
      <w:pPr>
        <w:spacing w:after="0" w:line="206" w:lineRule="exact"/>
        <w:rPr>
          <w:sz w:val="20"/>
          <w:szCs w:val="20"/>
          <w:color w:val="auto"/>
        </w:rPr>
      </w:pPr>
    </w:p>
    <w:p>
      <w:pPr>
        <w:jc w:val="both"/>
        <w:ind w:firstLine="749"/>
        <w:spacing w:after="0" w:line="222" w:lineRule="auto"/>
        <w:rPr>
          <w:sz w:val="20"/>
          <w:szCs w:val="20"/>
          <w:color w:val="auto"/>
        </w:rPr>
      </w:pPr>
      <w:r>
        <w:rPr>
          <w:rFonts w:ascii="Times New Roman" w:cs="Times New Roman" w:eastAsia="Times New Roman" w:hAnsi="Times New Roman"/>
          <w:sz w:val="18"/>
          <w:szCs w:val="18"/>
          <w:color w:val="auto"/>
        </w:rPr>
        <w:t>Interim results showed that treatment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decreased CSF tumor cell count/ml and was well tolerated by all four LM patients.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was administered through a standard intraventricular catheter (Ommaya Reservoir), redistributed throughout the CSF, and was retained in the leptomeninges at least through day seven. All four patients have shown prompt and durable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distribution throughout the subarachnoid space. A single dose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at 6.6 millicurie ("mCi") in 5.0 mL, in Cohort 1, achieved absorbed doses of 18.7 to 29.0 Gy to the ventricles and cranial subarachnoid spaces, respectively. Cohort 2 is in progress with a 13.2 mCi administered dose in 5ml and was also well tolerated. All four patients experienced a decreased CSF cell count ranging from 46% to 92%. Three patients remain alive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the first patient in Cohort 1 has died, due to primary tumor progression. A single dose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was well-tolerated with limited AEs and no patients had definite treatment related AEs. Additionally, there were no AEs greater than Grade 1 that were even possibly related to treatment. Cohort 2 was completed on January 26, 2023 and Cohort 3 is expected to enroll in late February/early March 2023 after a protocol defined follow-up 28-day period. Besides continued dose escalation, repeated dosing will be explored.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22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(AANS)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It is estimated that in 2022 there were approximately 25,050 new brain and other central nervous system cases diagnosed (1.3% of all cancers) and 18,280 deaths (3.0% of all cancer related deaths). The average annual age adjusted mortality rate (“AAAMR”) for children aged 0-14 for malignant brain (and other CNS) tumors is 0.71/100,000, making it the most common cause of death and cancer death in this age group. The 2021 World Health Organization Classification of CNS Tumors (“WHO CNS5”)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94" w:lineRule="exact"/>
        <w:rPr>
          <w:sz w:val="20"/>
          <w:szCs w:val="20"/>
          <w:color w:val="auto"/>
        </w:rPr>
      </w:pPr>
    </w:p>
    <w:p>
      <w:pPr>
        <w:jc w:val="both"/>
        <w:ind w:firstLine="749"/>
        <w:spacing w:after="0" w:line="217" w:lineRule="auto"/>
        <w:rPr>
          <w:sz w:val="20"/>
          <w:szCs w:val="20"/>
          <w:color w:val="auto"/>
        </w:rPr>
      </w:pPr>
      <w:r>
        <w:rPr>
          <w:rFonts w:ascii="Times New Roman" w:cs="Times New Roman" w:eastAsia="Times New Roman" w:hAnsi="Times New Roman"/>
          <w:sz w:val="18"/>
          <w:szCs w:val="18"/>
          <w:color w:val="auto"/>
        </w:rPr>
        <w:t>Since the initial FDA feedback and receiving important adult GBM data and experience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and follow-up communications with the FDA, we plan to submit a pediatric brain tumor IND to investigate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two pediatric brain cancers in early 2023.</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 grade glioma confers a three-year progression free survival (“PFS”) of 11 ± 3% and three-year overall survival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22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 Health Science Center at San Antonio”)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Preclinical data from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embolization experiment in which Technetium99m-BAM was intra-arterially delivered to a bovine kidney perfusion model was presented at the recent 2021 Society of Interventional Radiology (“SIR”)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 xml:space="preserve">RNL-BAM is a preclinical investigational drug we intend to further develop and move into clinical trials. Specifically, in 2022 we transferred the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technology from UT Health Science Center at San Antonio, and began planning to develop the drug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Agreement with CPRIT</w:t>
      </w:r>
    </w:p>
    <w:p>
      <w:pPr>
        <w:spacing w:after="0" w:line="11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CPRIT, pursuant to which CPRIT will provide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The CPRIT Grant is subject to customary CPRIT funding conditions, including, but not limited to, a matching fund requirement (one dollar from Plus Therapeutics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 and Statement of Work with Biocept</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June 22, 2022, we announced a multi-year laboratory services agreement with Biocept, Inc. (“Biocept”) to employ their cerebrospinal fluid (“CSF”) assay, CNSide, in Plus Therapeutics’ ReSPECT-LM Phase 1/2a dose-escalation trial of Rhenium-186 NanoLiposome for the treatment of patients with (“LM”).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 and Sales Order with Medidata</w:t>
      </w:r>
    </w:p>
    <w:p>
      <w:pPr>
        <w:spacing w:after="0" w:line="11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18"/>
          <w:szCs w:val="18"/>
          <w:color w:val="auto"/>
        </w:rPr>
        <w:t>On March 31, 2022, we entered into a Sales Order (the “Sales Order”) with Medidata Solutions, Inc. (“Medidata”), pursuant to which Medidata will build a Synthetic Control Arm® (SCA) platform that facilitates the use of historical clinical data to incorporate into our Phase 2 clinical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GBM. The Sales Order had a term of six (6) months. Work under this Sales Order has been completed.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 Health Science Center San Antonio (UTHSCSA) License Agreement</w:t>
      </w:r>
    </w:p>
    <w:p>
      <w:pPr>
        <w:spacing w:after="0" w:line="119"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18"/>
          <w:szCs w:val="18"/>
          <w:color w:val="auto"/>
        </w:rPr>
        <w:t xml:space="preserve">On December 31, 2021, we entered into an exclusive license agreement with UT Health Science Center at San Antonio for the global rights to develop and commercialize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Under the license agreement with UT Health Science Center at San Antonio, we are required to use commercial reasonable efforts to develop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candidate acquired under the license agreement. Further, we are subject to future milestone, earn-out and other payments to UT Health Science Center at San Antonio all of which are tied to our commercialization and sale activities for product candidates.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Refer to the “Liquidly and Capital Resources” section below for information on our recent financings.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jc w:val="both"/>
        <w:ind w:firstLine="749"/>
        <w:spacing w:after="0" w:line="289" w:lineRule="auto"/>
        <w:rPr>
          <w:sz w:val="20"/>
          <w:szCs w:val="20"/>
          <w:color w:val="auto"/>
        </w:rPr>
      </w:pPr>
      <w:r>
        <w:rPr>
          <w:rFonts w:ascii="Times New Roman" w:cs="Times New Roman" w:eastAsia="Times New Roman" w:hAnsi="Times New Roman"/>
          <w:sz w:val="18"/>
          <w:szCs w:val="18"/>
          <w:color w:val="auto"/>
        </w:rPr>
        <w:t>We recognized $0.2 million of grant revenue during the year ended December 31, 2022, which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years ended December 31, 2022 and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9,611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9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9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9,698</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5"/>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-454025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-436880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-436880</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5" w:name="page56"/>
    <w:bookmarkEnd w:id="55"/>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The increase in research and development expenses of $4.4 million for the year ended December 31, 2022 as compared to the same period in 2021 was due primarily to </w:t>
      </w:r>
      <w:r>
        <w:rPr>
          <w:rFonts w:ascii="Times New Roman" w:cs="Times New Roman" w:eastAsia="Times New Roman" w:hAnsi="Times New Roman"/>
          <w:sz w:val="18"/>
          <w:szCs w:val="18"/>
          <w:color w:val="222222"/>
        </w:rPr>
        <w:t>an</w:t>
      </w:r>
      <w:r>
        <w:rPr>
          <w:rFonts w:ascii="Times New Roman" w:cs="Times New Roman" w:eastAsia="Times New Roman" w:hAnsi="Times New Roman"/>
          <w:sz w:val="18"/>
          <w:szCs w:val="18"/>
          <w:color w:val="auto"/>
        </w:rPr>
        <w:t xml:space="preserve"> increase of $1.6 million in development costs relating to the development of cGMP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drug, an increase of $1.6 million in other expenses which includes the development of the SCA, an increase of $0.8 million related to personnel related expenses, an increase of $0.3 million in licensing payments under the NanoTx agreement for grant revenue received (Note 7), and an increase of $0.1 million in depreciation expenses.</w:t>
      </w:r>
    </w:p>
    <w:p>
      <w:pPr>
        <w:spacing w:after="0" w:line="88"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expect aggregate research and development expenditures to remain consistent during 2023 as compared to the year ended December 31, 2022, due to an increase in licensing payments offset by reduced research and development spend.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years ended December 31, 2022 and 2021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0"/>
                <w:szCs w:val="20"/>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$3.4 million during the year ended December 31, 2022, as compared to the same period in 2021, primarily due to $1.4 million settlement cost for Lorem claim (Note 6 of the financial statements), an increase of $1.5 million in legal fees and other professional expenses due to increased costs related to Lorem litigation, an increase of $0.2 million of personnel expenses and an increase of $0.3 million in travel and other expenses.</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remain generally consistent in 2023 as compared with the year ended December 31, 2022, exclusive of the impact of the one-time legal settlement costs and settlement related legal expenses in 2022.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expenses</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Share-based compensation expenses include charges related to options and restricted stock awards issued to employees, directors and non-employees. We measure share-based compensation expenses based on the grant-date fair value of any awards granted to our employees. Such expense is recognized over the requisite service period.</w:t>
      </w:r>
    </w:p>
    <w:p>
      <w:pPr>
        <w:spacing w:after="0" w:line="6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share-based compensation expenses for the years ended December 31, 2022 and 2021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0"/>
                <w:szCs w:val="20"/>
                <w:color w:val="auto"/>
              </w:rPr>
            </w:pPr>
          </w:p>
        </w:tc>
      </w:tr>
      <w:tr>
        <w:trPr>
          <w:trHeight w:val="301"/>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expenses, which are impacted by grants of share-based options, vesting schedule of such grants, as well as grant-date fair value of share-based awards, remained consistent from 2021 to 2022.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interest income, interest expense, and other income and expense for the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(711 )</w:t>
            </w:r>
          </w:p>
        </w:tc>
        <w:tc>
          <w:tcPr>
            <w:tcW w:w="7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17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79"/>
        </w:trPr>
        <w:tc>
          <w:tcPr>
            <w:tcW w:w="1700" w:type="dxa"/>
            <w:vAlign w:val="bottom"/>
          </w:tcPr>
          <w:p>
            <w:pPr>
              <w:spacing w:after="0"/>
              <w:rPr>
                <w:sz w:val="24"/>
                <w:szCs w:val="24"/>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24"/>
                <w:szCs w:val="24"/>
                <w:color w:val="auto"/>
              </w:rPr>
            </w:pPr>
          </w:p>
        </w:tc>
      </w:tr>
      <w:tr>
        <w:trPr>
          <w:trHeight w:val="525"/>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-454025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-436880</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-616585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-436880</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-616585</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year ended December 31, 2022 as compared to the same period in 2021 was primarily due to the repayments of debt principal of $1.6 million in 2022 and $0.3 million in 2021, respectively.</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expect interest expense in 2023 to decrease as compared with 2022 due to scheduled debt principal repayments which began on November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and long-term liquidity</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December 31, 2022 and 2021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2"/>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41"/>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80" w:type="dxa"/>
            <w:vAlign w:val="bottom"/>
            <w:shd w:val="clear" w:color="auto" w:fill="CFF0FC"/>
          </w:tcPr>
          <w:p>
            <w:pPr>
              <w:spacing w:after="0"/>
              <w:rPr>
                <w:sz w:val="21"/>
                <w:szCs w:val="2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20"/>
                <w:szCs w:val="20"/>
                <w:color w:val="auto"/>
              </w:rPr>
            </w:pPr>
          </w:p>
        </w:tc>
      </w:tr>
      <w:tr>
        <w:trPr>
          <w:trHeight w:val="277"/>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-659765</wp:posOffset>
            </wp:positionV>
            <wp:extent cx="5143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-659765</wp:posOffset>
            </wp:positionV>
            <wp:extent cx="4318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periods presented, operating losses have been funded primarily from outside sources of invested capital in our common stock. We believe that our cash and cash equivalents of $18.1 million at December 31, 2022 will enable us to fund our current and planned operations for at least the next twelve months and beyond from the date our financial statements were issued.</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have had, and we will continue to have, an ongoing need to raise additional cash from outside sources to fund our future clinical development programs and other operations. Our inability to raise additional cash would have a material and adverse impact on operations and would cause us to default on our loan.</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w:t>
      </w:r>
    </w:p>
    <w:p>
      <w:pPr>
        <w:spacing w:after="0" w:line="19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On September 9, 2022, we entered into an Equity Distribution Agreement (the “September 2022 Distribution Agreement”) with Canaccord Genuity LLC ("Canaccord”), pursuant to which we may issue and sell, from time to time, shares of our common stock having an aggregate offering price of up to $5,000,000, depending on market demand, with Canaccord acting as an agent for sales. Sales of our common stock may be made by any method permitted by law deemed to be an “at the market offering” as defined in Rule 415(a)(4) of the Securities Act of 1933, as amended (the “Securities Act”), including, without limitation, sales made directly on or through the NASDAQ Capital Market. Canaccord will use its commercially reasonable efforts to sell common stock that we requested to be sold on our behalf, consistent with Canaccord's normal trading and sales practices, under the terms and subject to the conditions set forth in the September 2022 Distribution Agreement. We will pay Canaccord a commission of up to 3.0% of the gross sale of shares of common stock. We have no obligation to sell any of our common stock. We may instruct Canaccord not to sell any common stock if the sales cannot be effected at or above the price designated by us from time to time and we may at any time suspend sales pursuant to the September 2022 Distribution Agreement. During the period from September 9, 2022 to December 31, 2022, we issued 1,031,371 shares under the September 2022 Distribution Agreement for net proceeds of approximately $0.6 million. From January 1, 2023 to the date of filing of this Form 10-K, we issued 1,812,785 shares under the September 2022 Distribution Agreement for net proceeds of approximately $0.7 million.</w:t>
      </w:r>
    </w:p>
    <w:p>
      <w:pPr>
        <w:spacing w:after="0" w:line="19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On August 2, 2022, we entered into a purchase agreement (the “2022 Purchase Agreement”) and registration rights agreement pursuant to which Lincoln Park committed to purchase up to $50.0 million shares of our common stock. Under the terms and subject to the conditions of the 2022 Purchase Agreement, we have the right, but not the obligation, to sell to Lincoln Park, and Lincoln Park is obligated to purchase up to $50.0 million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us from time to time, including, among others, market conditions, the trading price of the common stock and determinations by us as to the appropriate sources of funding for us and our operations. As consideration for Lincoln Park’s irrevocable commitment to purchase shares of our common stock upon the terms of and subject to satisfaction of the conditions set forth in the Purchase Agreement, we paid $0.1 million in cash as an Initial Commitment Fee and issued 492,698 Commitment Shares to Lincoln Park in consideration for its commitment to purchase shares of our common stock at our direction under the Purchase Agreement.</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August 17, 2022, a registration statement was declared effective covering the resale of up to 9,500,000 shares of our common stock comprised of (i) the 492,698 Commitment Shares, and (ii) up to 9,007,302 shares that we have reserved for issuance and sale to Lincoln Park under the Purchase Agreement. An additional commitment fee equal to 2.5% of the remainder of the $50 million will be paid if and when we sell over $25.0 million of our common stock under the 2022 Purchase Agreement. The additional commitment fee may be paid in cash, common stock, or a combination thereof. We cannot sell more shares under the 2022 Purchase Agreement without registering additional shares.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period from August 17, 2022 to December 31, 2022, we issued 4,000,000 shares under the 2022 Purchase Agreement for net proceeds of approximately $3.2 million. From January 1, 2023 to the date of filing of this Form 10-K, we did not issue any shares under the 2022 Purchase Agreement.</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January 14, 2022, we entered into an Equity Distribution Agreement (the “January 2022 Distribution Agreement”) with Canaccord, pursuant to which we could issue and sell, from time to time, shares of our common stock in “at the market” offerings, having an aggregate offering price of up to $5,000,000, depending on market demand, with Canaccord acting as an agent for sales. During the year ended December 31, 2022, we issued 6,902,279 shares under the January 2022 Distribution Agreement for net proceeds of approximately $4.8 million. The January 2022 Distribution Agreement was terminated after all available registered shares were fully utilized.</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October 23, 2020, we entered into an Equity Distribution Agreement (the “2020 Distribution Agreement”) with Canaccord, pursuant to which we could issue and sell, from time to time, shares of our common stock in “at the market” offerings, having an aggregate offering price of up to $10,000,000, depending on market demand, with Canaccord acting as an agent for sales. During 2021, we issued 2,179,193 shares under the 2020 Distribution Agreement for net proceeds of $6.3 million. The 2020 Distribution Agreement has been terminated.</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September 30, 2020, we entered into the 2020 Purchase Agreement and a registration rights agreement with Lincoln Park, pursuant to which Lincoln Park committed to purchase up to $25.0 million of our common stock. During 2021, we issued 5,685,186 shares of our common stock under the 2020 Purchase Agreement for total proceeds of $12.5 million. During the year ended December 31, 2022, we issued 5,665,000 shares of common stock for net proceeds of approximately $7.0 million under the 2020 Purchase Agreement. The 2020 Purchase Agreement has been terminated.</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continue to seek additional capital through strategic transactions and other financing alternatives. Without additional capital, current working capital and cash generated from grants will not provide adequate funding for research and product development activities at their current levels. If sufficient capital is not raised in the future, we eventually may need to significantly reduce or curtail our research and development and other operations, and this would negatively affect our ability to achieve corporate growth goals. There may be continued market volatility due to the pandemic, downturn in the global economy, or other events, which could cause our stock price to decline. This in turn would likely negatively impact our ability to raise funds through equity-related financings.</w:t>
      </w:r>
    </w:p>
    <w:p>
      <w:pPr>
        <w:spacing w:after="0" w:line="18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Should we be unable in the future to raise additional cash from outside sources or if we are unable to do so in a timely manner or on commercially reasonable terms, it would have a material adverse impact on our operations.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years ended December 31, 2022 and 2021 is summarized as follows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3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1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(759 )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Cash Obligations</w:t>
      </w:r>
    </w:p>
    <w:p>
      <w:pPr>
        <w:spacing w:after="0" w:line="11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On September 19, 2022, we entered into the CPRIT Contract, effective as of August 31, 2022, pursuant to which we will continue the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with CPRIT providing matching funds for approximately two-thirds of the total development costs, subject to various funding conditions. The CPRIT contract is effective for three years, unless otherwise terminated per terms of the contract. CPRIT may require us to repay some or all of the disbursed CPRIT grant proceeds (with interest not to exceed 5% annually) in the event of the early termination of the CPRIT Contract.</w:t>
      </w:r>
    </w:p>
    <w:p>
      <w:pPr>
        <w:spacing w:after="0" w:line="19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are also obligated to make ongoing payments against the remaining principal and interest payments of approximately $6.0 million in total under the Term Loan with Oxford through the maturity date of June 1, 2024 (See Note 5 of the accompanying financial</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statements for more information). In addition, as described in more detail in Note 7 of the accompanying financial statements, we are obligated to make operating lease payments for our office and laboratory space and we may be required to make payments under certain of our other contractual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$13.0 million compared to $10.3 million in the same period of 2021. Overall, our operational cash use increased during the year ended December 31, 2022 as compared to the same period in 2021, due primarily to increased expenditures for our research and development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ind w:firstLine="821"/>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year ended December 31, 2022 was primarily related to cash payments of $0.5 million made for purchases of fixed assets and intangible assets, and $0.3 million paid for in-process research and development. Net cash used in investing activities for the year ended December 31, 2021 was related to purchases of fixed assets of $0.1 million, offset by proceeds of $0.1 million from sale of property and equipment.</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August 15, 2022, we announced that our Board of Directors had approved a share repurchase program pursuant to which we were authorized to repurchase up to $2.0 million of our outstanding common stock. The timing and amount of any shares repurchased will be determined based on our evaluation of market conditions and other factors. Repurchases may be made from time to time on the open market over the course of 12 months. We are not obligated to acquire any shares and the program may be discontinued or suspended at any time. Through the date of filing of this Form 10-K, we have not repurchased any of its common stock under this share repurchase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year ended December 31, 2022 was primarily related to sales of common stock of $15.1 million, net of offering cost through the Purchase Agreements with Lincoln Park and the Distribution Agreements with Canaccord, offset by principal repayment of the Oxford term loan of $1.6 million.</w:t>
      </w:r>
    </w:p>
    <w:p>
      <w:pPr>
        <w:spacing w:after="0" w:line="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year ended December 31, 2021 was primarily related to sales of common stock of $18.7 million, net of offering cost through the 2020 Purchase Agreement with Lincoln Park and the Distribution Agreement with Canaccord, as well as $2.0 million from exercise of warrants, offset by principal repayment of the Oxford term loan of $0.3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 and expenses, and that affect our recognition and disclosure of contingent assets and liabilities. On an on-going basis, we evaluate our estimates and judgments, including those related to impairment assessment of our grants and awards, indefinite lived intangible assets, and share-based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and Awards</w:t>
      </w:r>
    </w:p>
    <w:p>
      <w:pPr>
        <w:spacing w:after="0" w:line="11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We determined that grants and awards are out of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because the funding entities do not meet the definition of a “customer”, as defined by ASC 606, as there is no transfer of control of goods or services. With respect to each grant or award, we determine if it has a collaboration in accordance with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the extent the grant or award is within the scope of ASC 808, we recognize the award upon achievement of certain milestones as credits to research and development expenses. For grant and awards outside the scope of ASC 808, we apply ASC 606 or International Accounting Standards No. 20,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Grants and Disclosure of Government Assistance</w:t>
      </w:r>
      <w:r>
        <w:rPr>
          <w:rFonts w:ascii="Times New Roman" w:cs="Times New Roman" w:eastAsia="Times New Roman" w:hAnsi="Times New Roman"/>
          <w:sz w:val="18"/>
          <w:szCs w:val="18"/>
          <w:color w:val="auto"/>
        </w:rPr>
        <w:t>, by analogy, and revenue is recognized when we incur expenses related to the grants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we are entitled to under the provisions of the contract.</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We also consider the guidance in ASC Topic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(“ASC 730”), which requires an assessment, at the inception of the grant or award, of whether the agreement is a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we are obligated to repay funds received regardless of the outcome of the related research and development activities, then we are required to estimate and recognize that liability. Alternatively, if we are not required to repay the funds, then payments received are recorded as revenue or contra-expense as the expenses are incurred.</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Deferred grant or award liability represents award funds received or receivable for which the allowable expenses have not yet been incurred as of the balance sheet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3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perform our goodwill impairment analysis at the reporting unit level. For the years ended December 31, 2022 and 2021, our company has one reporting unit. We perform our annual impairment analysis by either doing a qualitative assessment of a reporting unit’s fair value from the last quantitative assessment to determine if there is potential impairment, or comparing a reporting unit’s estimated fair value to its carrying amount. If a quantitative assessment is performed the evaluation includes management estimates of cash flow projections based on internal future projections and/or use of a market approach by looking at market values of comparable companies. Our market capitalization is also considered as a part of this analysis.</w:t>
      </w:r>
    </w:p>
    <w:p>
      <w:pPr>
        <w:spacing w:after="0" w:line="7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accordance with our accounting policy, we completed the annual evaluation for impairment of goodwill as of December 31, 2022 using the qualitative method and determined that no impairment existed.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Compensation expense related to stock options granted is measured at the grant date based on the estimated fair value of the award and is recognized on an accelerated attribution method over the requisite service period. We determine the estimated fair value of each stock option on the date of grant using the Black-Scholes valuation model which uses assumptions regarding a number of complex and subjective variables. The risk-free interest rate is based on the U.S. Treasury yield for a period consistent with the expected term of the option in effect at the time of the grant. Expected volatility is based on an analysis of the historical volatility of our common stock. The expected term represents the period that we expect our stock options to be outstanding. The expected term assumption is estimated using the simplified method set forth in the U.S. Securities and Exchange Commission’s (the “SEC”) Staff Accounting Bulletin 110, which is the mid-point between the option vesting date and the expiration date. We have never declared or paid dividends on our common stock and have no plans to do so in the foreseeable future. Changes in these assumptions may lead to variability with respect to the amount of stock compensation expense we recognize related to stock options.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2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20" w:type="dxa"/>
            <w:vAlign w:val="bottom"/>
          </w:tcPr>
          <w:p>
            <w:pPr>
              <w:spacing w:after="0"/>
              <w:rPr>
                <w:sz w:val="24"/>
                <w:szCs w:val="24"/>
                <w:color w:val="auto"/>
              </w:rPr>
            </w:pPr>
          </w:p>
        </w:tc>
        <w:tc>
          <w:tcPr>
            <w:tcW w:w="9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BDO USA, LLP, Independent Registered Public Accounting Firm (BDO USA, LLP; Austin, TX; PCAOB ID#243)</w:t>
            </w:r>
          </w:p>
        </w:tc>
        <w:tc>
          <w:tcPr>
            <w:tcW w:w="1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0" w:type="dxa"/>
            <w:vAlign w:val="bottom"/>
            <w:tcBorders>
              <w:bottom w:val="single" w:sz="8" w:color="0000EE"/>
            </w:tcBorders>
          </w:tcPr>
          <w:p>
            <w:pPr>
              <w:spacing w:after="0"/>
              <w:rPr>
                <w:sz w:val="19"/>
                <w:szCs w:val="19"/>
                <w:color w:val="auto"/>
              </w:rPr>
            </w:pPr>
          </w:p>
        </w:tc>
        <w:tc>
          <w:tcPr>
            <w:tcW w:w="3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Balance Sheets as of December 31, 2022 and 2021</w:t>
            </w:r>
          </w:p>
        </w:tc>
        <w:tc>
          <w:tcPr>
            <w:tcW w:w="20" w:type="dxa"/>
            <w:vAlign w:val="bottom"/>
            <w:tcBorders>
              <w:bottom w:val="single" w:sz="8" w:color="0000EE"/>
            </w:tcBorders>
          </w:tcPr>
          <w:p>
            <w:pPr>
              <w:spacing w:after="0"/>
              <w:rPr>
                <w:sz w:val="19"/>
                <w:szCs w:val="19"/>
                <w:color w:val="auto"/>
              </w:rPr>
            </w:pPr>
          </w:p>
        </w:tc>
        <w:tc>
          <w:tcPr>
            <w:tcW w:w="6820" w:type="dxa"/>
            <w:vAlign w:val="bottom"/>
            <w:gridSpan w:val="5"/>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20" w:type="dxa"/>
            <w:vAlign w:val="bottom"/>
            <w:tcBorders>
              <w:bottom w:val="single" w:sz="8" w:color="0000EE"/>
            </w:tcBorders>
          </w:tcPr>
          <w:p>
            <w:pPr>
              <w:spacing w:after="0"/>
              <w:rPr>
                <w:sz w:val="19"/>
                <w:szCs w:val="19"/>
                <w:color w:val="auto"/>
              </w:rPr>
            </w:pPr>
          </w:p>
        </w:tc>
        <w:tc>
          <w:tcPr>
            <w:tcW w:w="7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2022 and 2021</w:t>
            </w:r>
          </w:p>
        </w:tc>
        <w:tc>
          <w:tcPr>
            <w:tcW w:w="322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Stockholders’ Equity for the years ended December 31, 2022 and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tcBorders>
              <w:top w:val="single" w:sz="8" w:color="0000EE"/>
            </w:tcBorders>
          </w:tcPr>
          <w:p>
            <w:pPr>
              <w:spacing w:after="0"/>
              <w:rPr>
                <w:sz w:val="19"/>
                <w:szCs w:val="19"/>
                <w:color w:val="auto"/>
              </w:rPr>
            </w:pPr>
          </w:p>
        </w:tc>
        <w:tc>
          <w:tcPr>
            <w:tcW w:w="6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2022 and 2021</w:t>
            </w:r>
          </w:p>
        </w:tc>
        <w:tc>
          <w:tcPr>
            <w:tcW w:w="436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20" w:type="dxa"/>
            <w:vAlign w:val="bottom"/>
            <w:tcBorders>
              <w:top w:val="single" w:sz="8" w:color="0000EE"/>
            </w:tcBorders>
          </w:tcPr>
          <w:p>
            <w:pPr>
              <w:spacing w:after="0"/>
              <w:rPr>
                <w:sz w:val="19"/>
                <w:szCs w:val="19"/>
                <w:color w:val="auto"/>
              </w:rPr>
            </w:pPr>
          </w:p>
        </w:tc>
        <w:tc>
          <w:tcPr>
            <w:tcW w:w="2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3300" w:type="dxa"/>
            <w:vAlign w:val="bottom"/>
            <w:tcBorders>
              <w:top w:val="single" w:sz="8" w:color="0000FF"/>
            </w:tcBorders>
            <w:gridSpan w:val="3"/>
          </w:tcPr>
          <w:p>
            <w:pPr>
              <w:spacing w:after="0"/>
              <w:rPr>
                <w:sz w:val="19"/>
                <w:szCs w:val="19"/>
                <w:color w:val="auto"/>
              </w:rPr>
            </w:pPr>
          </w:p>
        </w:tc>
        <w:tc>
          <w:tcPr>
            <w:tcW w:w="5040" w:type="dxa"/>
            <w:vAlign w:val="bottom"/>
            <w:gridSpan w:val="4"/>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574"/>
        </w:trPr>
        <w:tc>
          <w:tcPr>
            <w:tcW w:w="61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balance sheets of Plus Therapeutics, Inc. (the “Company”) as of December 31, 2022 and 2021, the related statements of operations and comprehensive loss, stockholders’ equity, and cash flows for the years then ended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right-use-of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28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obligation, current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obligation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liability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28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1,952</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December 31, 2022 and 2021</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33,601,373 and 15,510,025 shares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2022 and 2021,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473,596</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457,730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(467,185 )</w:t>
            </w: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(446,910 )</w:t>
            </w: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28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-3916680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-2957195</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-2957195</wp:posOffset>
            </wp:positionV>
            <wp:extent cx="6858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-2022475</wp:posOffset>
            </wp:positionV>
            <wp:extent cx="6858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9"/>
        </w:trPr>
        <w:tc>
          <w:tcPr>
            <w:tcW w:w="77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70"/>
        </w:trPr>
        <w:tc>
          <w:tcPr>
            <w:tcW w:w="7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 process research and development acquired</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tcBorders>
              <w:top w:val="single" w:sz="8" w:color="CFF0FC"/>
            </w:tcBorders>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(711 )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(932 )</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other expense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(0.77 )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3"/>
        </w:trPr>
        <w:tc>
          <w:tcPr>
            <w:tcW w:w="7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shares used in calculating net loss per share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26,255,256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12,089,186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-2211070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-1885315</wp:posOffset>
            </wp:positionV>
            <wp:extent cx="6858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-1118235</wp:posOffset>
            </wp:positionV>
            <wp:extent cx="1268730" cy="196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6873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124333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43330" cy="1797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180"/>
          </w:cols>
          <w:pgMar w:left="340" w:top="3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December 31,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 of common stock, net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common stock for exercise of warrants</w:t>
      </w:r>
    </w:p>
    <w:p>
      <w:pPr>
        <w:spacing w:after="0" w:line="2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Conversion of Series B convertible preferred stock into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December 31, 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 of common stock, net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December 31, 2022</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Convertible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0458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160"/>
        <w:spacing w:after="0"/>
        <w:tabs>
          <w:tab w:leader="none" w:pos="1040" w:val="left"/>
        </w:tabs>
        <w:rPr>
          <w:sz w:val="20"/>
          <w:szCs w:val="20"/>
          <w:color w:val="auto"/>
        </w:rPr>
      </w:pPr>
      <w:r>
        <w:rPr>
          <w:rFonts w:ascii="Times New Roman" w:cs="Times New Roman" w:eastAsia="Times New Roman" w:hAnsi="Times New Roman"/>
          <w:sz w:val="13"/>
          <w:szCs w:val="13"/>
          <w:b w:val="1"/>
          <w:bCs w:val="1"/>
          <w:color w:val="auto"/>
        </w:rPr>
        <w:t>Shares</w:t>
      </w:r>
      <w:r>
        <w:rPr>
          <w:sz w:val="20"/>
          <w:szCs w:val="20"/>
          <w:color w:val="auto"/>
        </w:rPr>
        <w:tab/>
      </w:r>
      <w:r>
        <w:rPr>
          <w:rFonts w:ascii="Times New Roman" w:cs="Times New Roman" w:eastAsia="Times New Roman" w:hAnsi="Times New Roman"/>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12065</wp:posOffset>
            </wp:positionV>
            <wp:extent cx="713232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188"/>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31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188"/>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311"/>
        </w:trPr>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3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185"/>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321"/>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203"/>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324"/>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186"/>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318"/>
        </w:trPr>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24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9"/>
              </w:rPr>
              <w:t>—</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-1542415</wp:posOffset>
            </wp:positionV>
            <wp:extent cx="713232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-1224915</wp:posOffset>
            </wp:positionV>
            <wp:extent cx="713232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-899795</wp:posOffset>
            </wp:positionV>
            <wp:extent cx="713232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-565150</wp:posOffset>
            </wp:positionV>
            <wp:extent cx="713232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-230505</wp:posOffset>
            </wp:positionV>
            <wp:extent cx="7132320" cy="2311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620" w:type="dxa"/>
            <w:vAlign w:val="bottom"/>
            <w:gridSpan w:val="3"/>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4"/>
        </w:trPr>
        <w:tc>
          <w:tcPr>
            <w:tcW w:w="16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4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6,749,02</w:t>
            </w:r>
          </w:p>
        </w:tc>
        <w:tc>
          <w:tcPr>
            <w:tcW w:w="900" w:type="dxa"/>
            <w:vAlign w:val="bottom"/>
            <w:gridSpan w:val="2"/>
            <w:vMerge w:val="restart"/>
          </w:tcPr>
          <w:p>
            <w:pPr>
              <w:jc w:val="right"/>
              <w:ind w:right="47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436,535</w:t>
            </w:r>
          </w:p>
        </w:tc>
        <w:tc>
          <w:tcPr>
            <w:tcW w:w="4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(433,511 )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9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7,864,37</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18,573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896,500</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(13,399 )</w:t>
            </w: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(13,399 )</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15,510,0</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457,730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(446,910 )</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18,091,3</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15,260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(20,275 )</w:t>
            </w: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(20,275 )</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33,601,3</w:t>
            </w:r>
          </w:p>
        </w:tc>
        <w:tc>
          <w:tcPr>
            <w:tcW w:w="280" w:type="dxa"/>
            <w:vAlign w:val="bottom"/>
            <w:vMerge w:val="restart"/>
          </w:tcPr>
          <w:p>
            <w:pPr>
              <w:spacing w:after="0"/>
              <w:rPr>
                <w:sz w:val="11"/>
                <w:szCs w:val="11"/>
                <w:color w:val="auto"/>
              </w:rPr>
            </w:pPr>
          </w:p>
        </w:tc>
        <w:tc>
          <w:tcPr>
            <w:tcW w:w="6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34</w:t>
            </w:r>
          </w:p>
        </w:tc>
        <w:tc>
          <w:tcPr>
            <w:tcW w:w="22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473,596</w:t>
            </w:r>
          </w:p>
        </w:tc>
        <w:tc>
          <w:tcPr>
            <w:tcW w:w="240" w:type="dxa"/>
            <w:vAlign w:val="bottom"/>
            <w:vMerge w:val="restart"/>
          </w:tcPr>
          <w:p>
            <w:pPr>
              <w:spacing w:after="0"/>
              <w:rPr>
                <w:sz w:val="11"/>
                <w:szCs w:val="11"/>
                <w:color w:val="auto"/>
              </w:rPr>
            </w:pPr>
          </w:p>
        </w:tc>
        <w:tc>
          <w:tcPr>
            <w:tcW w:w="1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(467,185 )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3">
            <w:col w:w="3720" w:space="380"/>
            <w:col w:w="1640" w:space="240"/>
            <w:col w:w="5200"/>
          </w:cols>
          <w:pgMar w:left="340" w:top="333"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these Financial Statements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3" w:right="37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(20,275 )</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(13,399 )</w:t>
            </w: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 process research and development acquired</w:t>
            </w:r>
          </w:p>
        </w:tc>
        <w:tc>
          <w:tcPr>
            <w:tcW w:w="980" w:type="dxa"/>
            <w:vAlign w:val="bottom"/>
          </w:tcPr>
          <w:p>
            <w:pPr>
              <w:spacing w:after="0"/>
              <w:rPr>
                <w:sz w:val="19"/>
                <w:szCs w:val="19"/>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liability instruments</w:t>
            </w:r>
          </w:p>
        </w:tc>
        <w:tc>
          <w:tcPr>
            <w:tcW w:w="9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80" w:type="dxa"/>
            <w:vAlign w:val="bottom"/>
          </w:tcPr>
          <w:p>
            <w:pPr>
              <w:spacing w:after="0"/>
              <w:rPr>
                <w:sz w:val="19"/>
                <w:szCs w:val="19"/>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Increases (decreases) in cash caused by changes in operating assets and liabilities: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980" w:type="dxa"/>
            <w:vAlign w:val="bottom"/>
          </w:tcPr>
          <w:p>
            <w:pPr>
              <w:spacing w:after="0"/>
              <w:rPr>
                <w:sz w:val="19"/>
                <w:szCs w:val="19"/>
                <w:color w:val="auto"/>
              </w:rPr>
            </w:pP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(2,369 )</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(496 )</w:t>
            </w: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operating lease liabilities</w:t>
            </w:r>
          </w:p>
        </w:tc>
        <w:tc>
          <w:tcPr>
            <w:tcW w:w="980" w:type="dxa"/>
            <w:vAlign w:val="bottom"/>
          </w:tcPr>
          <w:p>
            <w:pPr>
              <w:spacing w:after="0"/>
              <w:rPr>
                <w:sz w:val="19"/>
                <w:szCs w:val="19"/>
                <w:color w:val="auto"/>
              </w:rPr>
            </w:pP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(129 )</w:t>
            </w:r>
          </w:p>
        </w:tc>
        <w:tc>
          <w:tcPr>
            <w:tcW w:w="1000" w:type="dxa"/>
            <w:vAlign w:val="bottom"/>
          </w:tcPr>
          <w:p>
            <w:pPr>
              <w:spacing w:after="0"/>
              <w:rPr>
                <w:sz w:val="19"/>
                <w:szCs w:val="19"/>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tcPr>
          <w:p>
            <w:pPr>
              <w:spacing w:after="0"/>
              <w:rPr>
                <w:sz w:val="19"/>
                <w:szCs w:val="19"/>
                <w:color w:val="auto"/>
              </w:rPr>
            </w:pP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(12,972 )</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(10,280 )</w:t>
            </w:r>
          </w:p>
        </w:tc>
      </w:tr>
      <w:tr>
        <w:trPr>
          <w:trHeight w:val="229"/>
        </w:trPr>
        <w:tc>
          <w:tcPr>
            <w:tcW w:w="774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and intangible assets</w:t>
            </w:r>
          </w:p>
        </w:tc>
        <w:tc>
          <w:tcPr>
            <w:tcW w:w="9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(509 )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process research and development acquired</w:t>
            </w:r>
          </w:p>
        </w:tc>
        <w:tc>
          <w:tcPr>
            <w:tcW w:w="980" w:type="dxa"/>
            <w:vAlign w:val="bottom"/>
          </w:tcPr>
          <w:p>
            <w:pPr>
              <w:spacing w:after="0"/>
              <w:rPr>
                <w:sz w:val="19"/>
                <w:szCs w:val="19"/>
                <w:color w:val="auto"/>
              </w:rPr>
            </w:pP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(250 )</w:t>
            </w:r>
          </w:p>
        </w:tc>
        <w:tc>
          <w:tcPr>
            <w:tcW w:w="1000" w:type="dxa"/>
            <w:vAlign w:val="bottom"/>
          </w:tcPr>
          <w:p>
            <w:pPr>
              <w:spacing w:after="0"/>
              <w:rPr>
                <w:sz w:val="19"/>
                <w:szCs w:val="19"/>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9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77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Principal payments of long-term obligations</w:t>
            </w:r>
          </w:p>
        </w:tc>
        <w:tc>
          <w:tcPr>
            <w:tcW w:w="9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(1,608 )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(268 )</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liability</w:t>
            </w:r>
          </w:p>
        </w:tc>
        <w:tc>
          <w:tcPr>
            <w:tcW w:w="980" w:type="dxa"/>
            <w:vAlign w:val="bottom"/>
          </w:tcPr>
          <w:p>
            <w:pPr>
              <w:spacing w:after="0"/>
              <w:rPr>
                <w:sz w:val="19"/>
                <w:szCs w:val="19"/>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9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2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18,675</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13,451</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80" w:type="dxa"/>
            <w:vAlign w:val="bottom"/>
          </w:tcPr>
          <w:p>
            <w:pPr>
              <w:spacing w:after="0"/>
              <w:rPr>
                <w:sz w:val="19"/>
                <w:szCs w:val="19"/>
                <w:color w:val="auto"/>
              </w:rPr>
            </w:pP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(280 )</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10,054</w:t>
            </w:r>
          </w:p>
        </w:tc>
        <w:tc>
          <w:tcPr>
            <w:tcW w:w="100" w:type="dxa"/>
            <w:vAlign w:val="bottom"/>
          </w:tcPr>
          <w:p>
            <w:pPr>
              <w:spacing w:after="0"/>
              <w:rPr>
                <w:sz w:val="19"/>
                <w:szCs w:val="19"/>
                <w:color w:val="auto"/>
              </w:rPr>
            </w:pPr>
          </w:p>
        </w:tc>
      </w:tr>
      <w:tr>
        <w:trPr>
          <w:trHeight w:val="23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flows information:</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during period for:</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8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Unpaid offering cost</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-3424555</wp:posOffset>
            </wp:positionV>
            <wp:extent cx="6858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-2545715</wp:posOffset>
            </wp:positionV>
            <wp:extent cx="1268730" cy="187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8730" cy="1879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-1341755</wp:posOffset>
            </wp:positionV>
            <wp:extent cx="6858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-1341755</wp:posOffset>
            </wp:positionV>
            <wp:extent cx="6858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-1041400</wp:posOffset>
            </wp:positionV>
            <wp:extent cx="6858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-1041400</wp:posOffset>
            </wp:positionV>
            <wp:extent cx="6858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ind w:left="520" w:right="8460" w:hanging="512"/>
        <w:spacing w:after="0" w:line="377" w:lineRule="auto"/>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 The Company</w:t>
      </w:r>
    </w:p>
    <w:p>
      <w:pPr>
        <w:spacing w:after="0" w:line="1"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Plus Therapeutics, Inc. is a clinical-stage pharmaceutical company focused on the development, manufacture and commercialization of complex and innovative treatments for patients battling cancer and other life-threatening diseases.</w:t>
      </w:r>
    </w:p>
    <w:p>
      <w:pPr>
        <w:spacing w:after="0" w:line="26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Uncertainties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prospects are subject to the risks and uncertainties frequently encountered by companies in the early stages of development and commercialization, especially those companies in rapidly evolving and technologically advanced industries such as the biotech/medical device field. The Company’s future viability largely depends on its ability to complete development of new products and receive regulatory approvals for those products. No assurance can be given that the Company’s new products will be successfully developed, regulatory approvals will be granted, or acceptance of these products will be achieved.</w:t>
      </w:r>
    </w:p>
    <w:p>
      <w:pPr>
        <w:spacing w:after="0" w:line="28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net losses of $20.3 million for the year ended December 31, 2022, and as of December 31, 2022, the Company had an accumulated deficit of $467.2 million and cash and cash equivalents of $18.1 million. Additionally, the Company used net cash of $13.0 million to fund its operating activities for the year ended December 31, 2022. The Company expects that its research and development expenditures will increase in absolute dollars in 2023 and beyond.</w:t>
      </w:r>
    </w:p>
    <w:p>
      <w:pPr>
        <w:spacing w:after="0" w:line="7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disclosed in more detail in Note 12, the Company has entered into various financing agreements and raised capital by issuing its common stock. The Company believes its current cash and cash equivalents will be sufficient to fund its operations for at least the next 12 months from the date these financial statements are issued.</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continues to seek additional capital through strategic transactions and from other financing alternatives. If sufficient capital is not raised in the future, the Company may eventually need to significantly reduce or curtail its research and development and other operations, and this would negatively affect its ability to achieve corporate growth goals.</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24, 2022, the Company received notice from The Nasdaq Stock Market LLC (“Nasdaq”) that, because the closing bid price for the Company’s common stock had fallen below $1.00 per share for 30 consecutive business days, the Company no longer complied with the minimum bid price requirement pursuant to Nasdaq Listing Rule 5550(a)(2) (the “Minimum Bid Requirement”).</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Nasdaq’s notice had no immediate effect on the listing or trading of the Company’s common stock. On November 22, 2022, the Company received a second letter from Nasdaq advising that the Company had been granted an additional 180 calendar days, or to May 22, 2023, to regain compliance with the Minimum Bid Requirement, in accordance with Nasdaq Listing Rule 5810(c)(3)(A).</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continue to actively monitor the closing bid price of its common stock and will evaluate available options to regain compliance with the Minimum Bid Requirement. Specifically, the Company has confirmed to Nasdaq that, if necessary, it will implement a reverse stock split of its outstanding common stock (if approved by the Company’s stockholders) to attempt to regain compliance. If the Company does not regain compliance within the additional compliance period, Nasdaq will provide notice that the Company’s common stock will be subject to delisting. The Company would then be entitled to appeal that determination to a Nasdaq hearings panel. There can be no assurance that the Company will regain compliance with the Minimum Bid Requirement during the 180-day additional compliance period or maintain compliance with the other Nasdaq listing requirements.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left="520" w:right="7340" w:hanging="512"/>
        <w:spacing w:after="0" w:line="378" w:lineRule="auto"/>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most significant estimates and critical accounting policies involve grant revenue recognition, reviewing assets for impairment, and determining the assumptions used in measuring share-based compensation expense.</w:t>
      </w:r>
    </w:p>
    <w:p>
      <w:pPr>
        <w:spacing w:after="0" w:line="75"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Actual results could differ from these estimates. Management’s estimates and assumptions are reviewed regularly, and the effects of revisions are reflected in the financial statements in the periods they are determined to be necessary.</w:t>
      </w:r>
    </w:p>
    <w:p>
      <w:pPr>
        <w:spacing w:after="0" w:line="26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w:t>
      </w:r>
    </w:p>
    <w:p>
      <w:pPr>
        <w:spacing w:after="0" w:line="117"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in readily available checking and savings accounts. The Company held no investments as of December 31, 2022 and 2021. The Company maintains deposits in federally insured financial institutions in excess of federally insured limits. The Company has not experienced any losses in such accounts and believes it is not exposed to significant risk on its cash balances due to the financial position of the depository institution in which those deposits are held.</w:t>
      </w:r>
    </w:p>
    <w:p>
      <w:pPr>
        <w:spacing w:after="0" w:line="1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include cash equivalents, other current assets, accounts payable, accrued expenses, other liabilities and long-term debt. The carrying values of cash equivalents, other current assets, accounts payable, accrued expenses, other liabilities generally approximate fair value due to the short-term nature of these instruments. Based on level 3 inputs and the borrowing rates currently available for loans with similar terms, the Company believes the fair value of the long-term debt is materially consistent with its carrying value.</w:t>
      </w:r>
    </w:p>
    <w:p>
      <w:pPr>
        <w:spacing w:after="0" w:line="32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cost, net of accumulated depreciation. Depreciation expense, which includes the amortization of capitalized leasehold improvements, is provided for on a straight-line basis over the estimated useful lives of the assets, or the life of the lease, whichever is shorter, and range from three to five years. When assets are sold or otherwise disposed of, the cost and related accumulated depreciation are removed from the accounts and the resulting gain or loss, if any, is included in operations. Maintenance and repairs are charged to operations as incurred.</w:t>
      </w:r>
    </w:p>
    <w:p>
      <w:pPr>
        <w:spacing w:after="0" w:line="28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assesses its property and equipment for potential impairment when there is a change in circumstances that indicates carrying values of assets may not be recoverable. Such long-lived assets are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 The Company recognized no impairment losses during any of the periods presented in these financial statements.</w:t>
      </w:r>
    </w:p>
    <w:p>
      <w:pPr>
        <w:spacing w:after="0" w:line="28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Company’s goodwill represents the excess of the cost over the fair value of net assets acquired from its business combinations. The determination of the value of goodwill arising from business combinations requires extensive use of accounting estimates and judgments to allocate the purchase price to the fair value of the net tangible and intangible assets acquired.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not amortized; however, it is assessed for impairment using fair value measurement techniques on an annual basis or more frequently if facts and circumstance warrant such a review. Goodwill is considered to be impaired if the Company determines that the carrying value of the reporting unit exceeds its fair value.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its impairment test annually during the fourth quarter by comparing the Company’s estimated fair value, calculated from the Company’s market capitalization, to its carrying amount. The Company’s annual evaluation for impairment of goodwill consists of one reporting unit. The Company completed its most recent annual evaluation for impairment as of December 31, 2022 and determined that no impairment existed.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are accounted for in accordance with the applicable authoritative accounting guidance as either liabilities or as equity instruments depending on the specific terms of the agreements. Liability-classified instruments are recorded at fair value at each reporting period with any change in fair value recognized as a component of change in fair value of warrant liabilities in the statements of operations and comprehensive loss.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Receivable and Revenue Recognition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has a collaboration in accordance with ASC Topic 808, Collaborative Arrangements (“ASC 808”). For grants outside the scope of ASC 808, the Company applies ASC 606 or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considers the guidance in ASC Topic 730, Research and Development (“ASC 730”),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grant liability represents grant funds received or receivable for which the allowable expenses have not yet been incurred as of the balance sheet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expenditures, which are charged to operations in the period incurred, include costs associated with the design, development, testing and enhancement of the Company’s products, regulatory fees, the purchase of laboratory supplies, and pre-clinical and clinical studies as well as salaries and benefits for our research and development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In-Process Research and Development (IPR&amp;D)</w:t>
      </w:r>
    </w:p>
    <w:p>
      <w:pPr>
        <w:spacing w:after="0" w:line="256" w:lineRule="exact"/>
        <w:rPr>
          <w:sz w:val="20"/>
          <w:szCs w:val="20"/>
          <w:color w:val="auto"/>
        </w:rPr>
      </w:pPr>
    </w:p>
    <w:p>
      <w:pPr>
        <w:jc w:val="both"/>
        <w:ind w:firstLine="4"/>
        <w:spacing w:after="0" w:line="258" w:lineRule="auto"/>
        <w:rPr>
          <w:sz w:val="20"/>
          <w:szCs w:val="20"/>
          <w:color w:val="auto"/>
        </w:rPr>
      </w:pPr>
      <w:r>
        <w:rPr>
          <w:rFonts w:ascii="Times New Roman" w:cs="Times New Roman" w:eastAsia="Times New Roman" w:hAnsi="Times New Roman"/>
          <w:sz w:val="18"/>
          <w:szCs w:val="18"/>
          <w:color w:val="auto"/>
        </w:rPr>
        <w:t>Acquired IPR&amp;D represents the value assigned to research and development assets that have not reached technological feasibility. Upon the acquisition of IPR&amp;D, the Company completes an assessment of whether the acquisition constitutes the purchase of a single asset or group of assets. The Company considers multiple factors in this assessment, including the nature of the technology acquired, the presence or absence of separate cash flows, the development process and stage of completion, quantitative significance, and the Company's rationale for entering into the transaction.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 and Other Debt-Related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financing costs are capitalized, recorded as an offset to debt balances and amortized to interest expense over the term of the associated debt instrument using the effective interest method. If the maturity of the debt is accelerated because of default or early debt repayment, then the amortization would be accelerated.</w:t>
      </w:r>
    </w:p>
    <w:p>
      <w:pPr>
        <w:spacing w:after="0" w:line="6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45" w:right="3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(loss) in the years in which those temporary differences are expected to be recovered or settled. Due to our history of losses, a full valuation allowance has been recognized against our deferred tax assets.</w:t>
      </w:r>
    </w:p>
    <w:p>
      <w:pPr>
        <w:spacing w:after="0" w:line="7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For the years ended December 31, 2022 and 2021, the Company has not recorded any interest or penalties related to income tax matters. The Company does not foresee any material changes to unrecognized tax benefits within the next twelve months.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Company recognizes the fair value of all share-based payment awards in our statements of operations over the requisite vesting period of each award, which approximates the period during which the employee and non-employee director is required to provide service in exchange for the award. The Company estimates the fair value of these options using the Black-Scholes option pricing model using assumptions for expected volatility, expected term, and risk-free interest rate. Expected volatility is based primarily on historical volatility and is computed using daily pricing observations for recent periods that correspond to the expected term of the options. The expected term is calculated based on historical data for and applied to all employee awards as a single group as the Company does not expect (nor does historical data suggest) substantially different exercise or post-vesting termination behavior amongst our employee population. The risk-free interest rate is the interest rate for treasury instruments with maturities that approximate the expected term.</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 is managed as a single operating segment, and therefore reports its results in one operating segment.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entirely to outstanding but unexercised options, warrants and convertible preferred stocks for all periods presented.</w:t>
      </w:r>
    </w:p>
    <w:p>
      <w:pPr>
        <w:spacing w:after="0" w:line="7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excluded all potentially dilutive securities from the calculation of diluted loss per share attributable to common stockholders for the years ended December 31, 2022 and 2021, as their inclusion would be antidilutive.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121"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Although the Company’s contracts with its vendors are not exclusive, the Company currently uses sole source providers for core materials used in its clinical trials.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standard amends the impairment model by requiring entities to use a forward-looking approach based on expected losses to estimate credit losses for most financial assets and certain other instruments that aren’t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in the first quarter of 2023 for calendar-year SEC filers that are smaller reporting companies as of the one-time determination date. Early adoption is permitted. The Company will adopt the new guidance for the quarter beginning on January 1, 2023, and it does not expect that adoption of this standard will have a material impact on its financial statements and related disclosures.</w:t>
      </w:r>
    </w:p>
    <w:p>
      <w:pPr>
        <w:spacing w:after="0" w:line="80"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ind w:left="520"/>
        <w:spacing w:after="0" w:line="282" w:lineRule="auto"/>
        <w:rPr>
          <w:sz w:val="20"/>
          <w:szCs w:val="20"/>
          <w:color w:val="auto"/>
        </w:rPr>
      </w:pPr>
      <w:r>
        <w:rPr>
          <w:rFonts w:ascii="Times New Roman" w:cs="Times New Roman" w:eastAsia="Times New Roman" w:hAnsi="Times New Roman"/>
          <w:sz w:val="18"/>
          <w:szCs w:val="18"/>
          <w:color w:val="auto"/>
        </w:rPr>
        <w:t>a three-level hierarchy to prioritize the inputs used in the valuation techniques to derive fair values. The basis for fair value measurements for each level within the hierarchy is described below:</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13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Certain warrants issued in an underwritten public offering in September 2019 (“Series U Warrants”) are classified as liability instruments. The Company estimated the fair value of the Series U Warrants with the Black Scholes model. Because some of the inputs to the Company’s valuation model are either not observable or are not derived principally from or corroborated by observable market data by correlation or other means, the warrant liability is classified as Level 3 in the fair value hierarchy.</w:t>
      </w:r>
    </w:p>
    <w:p>
      <w:pPr>
        <w:spacing w:after="0" w:line="180"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Liability-classified Series U Warrants are marked to market as of each balance sheet date until they are exercised or upon expiration, with the changes in fair value recorded as non-operating income or loss in the statements of operations. As of December 31, 2022 and 2021, the fair value of the Series U Warrants was immaterial, and the change in the fair value of liability classified Series U Warrants during year ended December 31, 2022 and 2021 was immaterial.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Nonfinancial Assets and Liabilities</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applies fair value techniques on a non-recurring basis, if and when necessary, associated with: (1) valuing potential impairment losses related to goodwill which are accounted for pursuant to the authoritative guidance for intangibles—goodwill and other; and (2) valuing potential impairment losses related to long-lived assets which are accounted for pursuant to the authoritative guidance for property, plant and equipment.</w:t>
      </w:r>
    </w:p>
    <w:p>
      <w:pPr>
        <w:spacing w:after="0" w:line="320"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excluded from the diluted loss per share calculation for the periods presented because their effect would be anti-dilutive: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41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41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4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1,175,016</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1,170,890</w:t>
            </w:r>
          </w:p>
        </w:tc>
        <w:tc>
          <w:tcPr>
            <w:tcW w:w="80" w:type="dxa"/>
            <w:vAlign w:val="bottom"/>
            <w:shd w:val="clear" w:color="auto" w:fill="CFF0FC"/>
          </w:tcPr>
          <w:p>
            <w:pPr>
              <w:spacing w:after="0"/>
              <w:rPr>
                <w:sz w:val="21"/>
                <w:szCs w:val="21"/>
                <w:color w:val="auto"/>
              </w:rPr>
            </w:pPr>
          </w:p>
        </w:tc>
      </w:tr>
      <w:tr>
        <w:trPr>
          <w:trHeight w:val="23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422,867</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422,867</w:t>
            </w:r>
          </w:p>
        </w:tc>
        <w:tc>
          <w:tcPr>
            <w:tcW w:w="80" w:type="dxa"/>
            <w:vAlign w:val="bottom"/>
          </w:tcPr>
          <w:p>
            <w:pPr>
              <w:spacing w:after="0"/>
              <w:rPr>
                <w:sz w:val="20"/>
                <w:szCs w:val="20"/>
                <w:color w:val="auto"/>
              </w:rPr>
            </w:pPr>
          </w:p>
        </w:tc>
      </w:tr>
      <w:tr>
        <w:trPr>
          <w:trHeight w:val="268"/>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3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2,141,378</w:t>
            </w:r>
          </w:p>
        </w:tc>
        <w:tc>
          <w:tcPr>
            <w:tcW w:w="3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2,141,378</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3,739,261</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3,735,135</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-173990</wp:posOffset>
            </wp:positionV>
            <wp:extent cx="60325"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-173990</wp:posOffset>
            </wp:positionV>
            <wp:extent cx="51435"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20" w:right="6640" w:hanging="512"/>
        <w:spacing w:after="0" w:line="385" w:lineRule="auto"/>
        <w:tabs>
          <w:tab w:leader="none" w:pos="46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Financial Statement Captions Other Current Assets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2021, other current assets were comprised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28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2,999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50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3,697</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71</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-599440</wp:posOffset>
            </wp:positionV>
            <wp:extent cx="5143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-599440</wp:posOffset>
            </wp:positionV>
            <wp:extent cx="431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property and equipment, net, were comprised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Pr>
          <w:p>
            <w:pPr>
              <w:spacing w:after="0"/>
              <w:rPr>
                <w:sz w:val="20"/>
                <w:szCs w:val="20"/>
                <w:color w:val="auto"/>
              </w:rPr>
            </w:pPr>
          </w:p>
        </w:tc>
      </w:tr>
      <w:tr>
        <w:trPr>
          <w:trHeight w:val="241"/>
        </w:trPr>
        <w:tc>
          <w:tcPr>
            <w:tcW w:w="5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(1,960 )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(1,415 )</w:t>
            </w:r>
          </w:p>
        </w:tc>
      </w:tr>
      <w:tr>
        <w:trPr>
          <w:trHeight w:val="277"/>
        </w:trPr>
        <w:tc>
          <w:tcPr>
            <w:tcW w:w="5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totaled $0.5 million and $0.4 million for the year ended December 31, 2022 and 2021, respectively.</w:t>
      </w:r>
    </w:p>
    <w:p>
      <w:pPr>
        <w:spacing w:after="0" w:line="3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ind w:left="520" w:right="1600"/>
        <w:spacing w:after="0" w:line="282" w:lineRule="auto"/>
        <w:rPr>
          <w:sz w:val="20"/>
          <w:szCs w:val="20"/>
          <w:color w:val="auto"/>
        </w:rPr>
      </w:pPr>
      <w:r>
        <w:rPr>
          <w:rFonts w:ascii="Times New Roman" w:cs="Times New Roman" w:eastAsia="Times New Roman" w:hAnsi="Times New Roman"/>
          <w:sz w:val="18"/>
          <w:szCs w:val="18"/>
          <w:color w:val="auto"/>
        </w:rPr>
        <w:t>As of December 31, 2022, intangible assets included the net book value of costs incurred for software upgrades. Amortization expenses totaled $0.1 million and $32 thousand for the year ended December 31, 2022 and 2021, respectively.</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accounts payable and accrued expenses were comprised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shd w:val="clear" w:color="auto" w:fill="CFF0FC"/>
          </w:tcPr>
          <w:p>
            <w:pPr>
              <w:spacing w:after="0"/>
              <w:rPr>
                <w:sz w:val="20"/>
                <w:szCs w:val="20"/>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bonus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FF0FC"/>
          </w:tcPr>
          <w:p>
            <w:pPr>
              <w:spacing w:after="0"/>
              <w:rPr>
                <w:sz w:val="21"/>
                <w:szCs w:val="2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 and compensation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studies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FF0FC"/>
          </w:tcPr>
          <w:p>
            <w:pPr>
              <w:spacing w:after="0"/>
              <w:rPr>
                <w:sz w:val="21"/>
                <w:szCs w:val="2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8280" w:hanging="512"/>
        <w:spacing w:after="0" w:line="378" w:lineRule="auto"/>
        <w:tabs>
          <w:tab w:leader="none" w:pos="41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Leases</w:t>
      </w: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calculates the associated lease liability and corresponding right-of-use asset upon lease commencement using a discount rate based on the rate implicit in the lease or an incremental borrowing rate commensurate with the term of the lease. Lease renewable options are included in the estimation of lease term when it is reasonably certain that the Company will exercise such options.</w:t>
      </w:r>
    </w:p>
    <w:p>
      <w:pPr>
        <w:spacing w:after="0" w:line="183"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records lease liabilities within current liabilities or long-term liabilities based upon the length of time associated with the lease payments. The Company records its operating lease right-of-use assets as long-term assets. Right-of-use assets for finance leases are recorded within property and equipment, net in the balance sheets. Leases with an initial term of 12 months or less are not recorded on the balance sheets. Instead, the Company recognizes lease expense for these leases on a straight-line basis over the lease term in the statements of operations.</w:t>
      </w:r>
    </w:p>
    <w:p>
      <w:pPr>
        <w:spacing w:after="0" w:line="72"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the Company has the ability to renew for three additional one-year periods. The Charlottesville Lease is currently set to expire on March 31, 2023. The Company measured the operating lease right-of-use asset and related lease liability related to the Charlottesville Lease as of the lease commencement date of April 1, 2021. In addition, the Company has entered into leases for certain equipment under various operating and finance leases. During 2021, contractual terms of all finance leases had expired and the Company did not have any right-of-use assets or lease liabilities relating to finance leases as of December 31, 2022 or 2021. The Company’s existing operating lease agreements generally provide for periodic rent increases, and renewal and termination options. The Company’s lease agreements do not contain any material variable lease payments, residual value guarantees or material restrictive covenants.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Certain leases require the Company to pay taxes, insurance, and maintenance. Payments for the transfer of goods or services such as common area maintenance and utilities represent non-lease components. The Company elected the package of practical expedients and therefore does not separate non-lease components from lease components.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operating lease liabilities and corresponding right-of-use assets are included in the balance sheets. As of December 31, 2022, the weighted average discount rate used to measure operating lease liabilities and the operating leases remaining term were 9% and 2.03 years,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lease costs from its statements of operations, and cash payments from its statements of cash flows.</w:t>
      </w:r>
    </w:p>
    <w:p>
      <w:pPr>
        <w:spacing w:after="0" w:line="255"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4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1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expense:</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expense</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80" w:type="dxa"/>
            <w:vAlign w:val="bottom"/>
            <w:gridSpan w:val="2"/>
          </w:tcPr>
          <w:p>
            <w:pPr>
              <w:jc w:val="right"/>
              <w:ind w:right="14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 expense:</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7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lease expense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auto"/>
            </w:tcBorders>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7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Cash payment information:</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8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cash used for operating leases</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80" w:type="dxa"/>
            <w:vAlign w:val="bottom"/>
            <w:gridSpan w:val="2"/>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Financing cash used for financing leases</w:t>
            </w:r>
          </w:p>
        </w:tc>
        <w:tc>
          <w:tcPr>
            <w:tcW w:w="7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6"/>
                <w:szCs w:val="16"/>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paid for amounts included in the</w:t>
            </w:r>
          </w:p>
        </w:tc>
        <w:tc>
          <w:tcPr>
            <w:tcW w:w="780" w:type="dxa"/>
            <w:vAlign w:val="bottom"/>
            <w:vMerge w:val="restart"/>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80" w:type="dxa"/>
            <w:vAlign w:val="bottom"/>
            <w:gridSpan w:val="2"/>
            <w:vMerge w:val="restart"/>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4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measurement of lease liabilities</w:t>
            </w:r>
          </w:p>
        </w:tc>
        <w:tc>
          <w:tcPr>
            <w:tcW w:w="780" w:type="dxa"/>
            <w:vAlign w:val="bottom"/>
            <w:vMerge w:val="continue"/>
            <w:shd w:val="clear" w:color="auto" w:fill="CFF0FC"/>
          </w:tcPr>
          <w:p>
            <w:pPr>
              <w:spacing w:after="0"/>
              <w:rPr>
                <w:sz w:val="7"/>
                <w:szCs w:val="7"/>
                <w:color w:val="auto"/>
              </w:rPr>
            </w:pPr>
          </w:p>
        </w:tc>
        <w:tc>
          <w:tcPr>
            <w:tcW w:w="1360" w:type="dxa"/>
            <w:vAlign w:val="bottom"/>
            <w:vMerge w:val="continue"/>
            <w:shd w:val="clear" w:color="auto" w:fill="CFF0FC"/>
          </w:tcPr>
          <w:p>
            <w:pPr>
              <w:spacing w:after="0"/>
              <w:rPr>
                <w:sz w:val="7"/>
                <w:szCs w:val="7"/>
                <w:color w:val="auto"/>
              </w:rPr>
            </w:pPr>
          </w:p>
        </w:tc>
        <w:tc>
          <w:tcPr>
            <w:tcW w:w="1680" w:type="dxa"/>
            <w:vAlign w:val="bottom"/>
            <w:gridSpan w:val="2"/>
            <w:vMerge w:val="continue"/>
            <w:shd w:val="clear" w:color="auto" w:fill="CFF0FC"/>
          </w:tcPr>
          <w:p>
            <w:pPr>
              <w:spacing w:after="0"/>
              <w:rPr>
                <w:sz w:val="7"/>
                <w:szCs w:val="7"/>
                <w:color w:val="auto"/>
              </w:rPr>
            </w:pPr>
          </w:p>
        </w:tc>
        <w:tc>
          <w:tcPr>
            <w:tcW w:w="90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418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-959485</wp:posOffset>
            </wp:positionV>
            <wp:extent cx="1688465" cy="368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88465" cy="36830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rent expenses for each of the years ended December 31, 2022 and 2021 was $0.2 million, which includes leases in the table above, month-to-month operating leases, and common area maintenance charges.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annual lease payments under operating and finance leases at December 31, 2022 are as follows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shd w:val="clear" w:color="auto" w:fill="CFF0FC"/>
          </w:tcPr>
          <w:p>
            <w:pPr>
              <w:spacing w:after="0"/>
              <w:rPr>
                <w:sz w:val="21"/>
                <w:szCs w:val="21"/>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21"/>
                <w:szCs w:val="21"/>
                <w:color w:val="auto"/>
              </w:rPr>
            </w:pPr>
          </w:p>
        </w:tc>
      </w:tr>
      <w:tr>
        <w:trPr>
          <w:trHeight w:val="23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r>
      <w:tr>
        <w:trPr>
          <w:trHeight w:val="243"/>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0"/>
                <w:szCs w:val="20"/>
                <w:color w:val="auto"/>
              </w:rPr>
            </w:pPr>
          </w:p>
        </w:tc>
      </w:tr>
      <w:tr>
        <w:trPr>
          <w:trHeight w:val="23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Present value of obligations under leases</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r>
      <w:tr>
        <w:trPr>
          <w:trHeight w:val="24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1"/>
        </w:trPr>
        <w:tc>
          <w:tcPr>
            <w:tcW w:w="69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FF0FC"/>
            </w:tcBorders>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-831215</wp:posOffset>
            </wp:positionV>
            <wp:extent cx="5143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-504825</wp:posOffset>
            </wp:positionV>
            <wp:extent cx="5143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-187960</wp:posOffset>
            </wp:positionV>
            <wp:extent cx="5143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 and Sales Order with Medidata</w:t>
      </w:r>
    </w:p>
    <w:p>
      <w:pPr>
        <w:spacing w:after="0" w:line="2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March 31, 2022, the Company and Medidata Solutions, Inc. (“Medidata”) entered into a Sales Order (the “Sales Order”), pursuant to which Medidata will build a Synthetic Control Arm</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(SCA) platform that facilitates the use of historical clinical data to incorporate into the Company’s Phase 2 clinical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recurrent glioblastoma (“GBM”). The Sales Order is governed under the terms of a services agreement (the “Services Agreement”), dated November 5, 2021. The Sales Order had a term of six (6) months, and work under the Sales Order has been completed. Costs related to the Sales Order of $1.5 million were expensed in the statement of operations for the year ended December 31,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Piramal Master Services Agreement</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8, 2021, the Company entered into a Master Services Agreement (the “MSA”) with Piramal Pharma Solutions, Inc. (“Piramal”), for Piramal to perform certain services related to the development, manufacture, and supply of the Company’s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obisbemeda-Liposome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w:t>
      </w:r>
    </w:p>
    <w:p>
      <w:pPr>
        <w:spacing w:after="0" w:line="8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45" w:right="339" w:bottom="1440" w:gutter="0" w:footer="0" w:header="0"/>
        </w:sectPr>
      </w:pPr>
    </w:p>
    <w:bookmarkStart w:id="73" w:name="page74"/>
    <w:bookmarkEnd w:id="73"/>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December 31, 2022, the Company did not have any clinical research study obligations.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520"/>
        <w:spacing w:after="0" w:line="252" w:lineRule="auto"/>
        <w:rPr>
          <w:sz w:val="20"/>
          <w:szCs w:val="20"/>
          <w:color w:val="auto"/>
        </w:rPr>
      </w:pPr>
      <w:r>
        <w:rPr>
          <w:rFonts w:ascii="Times New Roman" w:cs="Times New Roman" w:eastAsia="Times New Roman" w:hAnsi="Times New Roman"/>
          <w:sz w:val="18"/>
          <w:szCs w:val="18"/>
          <w:color w:val="auto"/>
        </w:rPr>
        <w:t>On June 22, 2021, the Company was named as a defendant in an action brought by Lorem Vascular, Pte. Ltd. (“Lorem”) in the District Court for the District of Delaware. The complaint alleged false representations were made to Lorem regarding the manufacturing facility in the United Kingdom (the “UK Facility”) that Lorem purchased from the Company under the Asset and Equity Purchase Agreement, dated March 29, 2019, between the Company and Lorem (the “Lorem Agreement”). Lorem also claimed that false representations were made regarding the UK Facility’s certification to sell and distribute devices in the European Union and export such devices to China. In connection with these allegations, Lorem claimed entitlement to at least $6,000,000 in compensatory damages and operational costs and expenses (collectively, the “Lorem Claim”). On December 9, 2022, the Company entered into a settlement agreement (the “Settlement Agreement”) with Lorem to settle the Lorem Claim. Under the terms of the Settlement Agreement, the Company made a payment to Lorem, and Lorem moved to dismiss the lawsuit with prejudice. The Settlement Agreement released us from all claims made by Lorem. The parties to the Settlement Agreement recognized that it did not constitute an admission of liability, wrongdoing, or any matter of fact or law. The Settlement was conditioned on the customary terms contained in the Settlement Agreement and was approved by the Court and the case was dismissed on January 17, 2023. As of December 31, 2022, the Company accrued the settlement amount, as well as the accounts that the Company has confirmed to be recoverable under its insurance claims on the matter. The net amount of $1.4 million that was not recoverable under the Company's insurance has been reflected as an expense in the year ended December 31, 2022. The full settlement amount was paid in January 2023. All legal costs related to the Lorem Claim were expensed as incurred.</w:t>
      </w:r>
    </w:p>
    <w:p>
      <w:pPr>
        <w:spacing w:after="0" w:line="49" w:lineRule="exact"/>
        <w:rPr>
          <w:sz w:val="20"/>
          <w:szCs w:val="20"/>
          <w:color w:val="auto"/>
        </w:rPr>
      </w:pPr>
    </w:p>
    <w:p>
      <w:pPr>
        <w:jc w:val="both"/>
        <w:ind w:left="520"/>
        <w:spacing w:after="0" w:line="257"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1"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UT Health Science Center at San Antonio (“UTHSA”) License Agreement</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Patent and Know-How License Agreement (the “UTHSA License Agreement”) with The University of Texas Health Science Center at San Antonio, pursuant to which UTHSA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18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Pursuant to the UTHSA License Agreement, the Company was required to make an upfront payment, which was recorded as in-process research and development acquired in the statement of operations for the year ended December 31, 2021. The upfront payment of $0.3 million was paid in cash in January 2022.</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7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to support product development of the nanoliposome encapsulated BMEDA-chelated radioisotope, which includes grants from the Cancer Prevention &amp; Research Institute of Texas ("CPRIT"). As of December 31, 2022, the Company accrued $0.3 million of payments due to NanoTx as a result of the CPRIT grant received (Note 9).</w:t>
      </w:r>
    </w:p>
    <w:p>
      <w:pPr>
        <w:spacing w:after="0" w:line="280"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 Obligations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accrues interest at a floating rate of at least 8.95% per annum, comprised of a three-month LIBOR rate with a floor of 1.00% plus 7.95%. Pursuant to the Loan and Security Agreement, as amended, the Company was required to make interest only payments through May 1, 2021 and thereafter it is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 In connection with the Term Loan, on May 29, 2015, the Company issued to Oxford warrants to purchase an aggregate of 188 shares of the Company’s common stock at an exercise price of $5,175 per share. These warrants became exercisable as of November 30, 2015 and will expire on May 29, 2025 and, following the authoritative accounting guidance, are equity classified and their respective fair value was recorded as a discount to the debt.</w:t>
      </w:r>
    </w:p>
    <w:p>
      <w:pPr>
        <w:spacing w:after="0" w:line="83"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Loan is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will be released upon the Company achieving a certain liquidity level when the total principal outstanding under the Loan and Security Agreement is less than $3 million. As of December 31, 2022, there was $2.4 million principal amount outstanding under the Term Loan, excluding the $3.2 million final payment fee, and the Company was in compliance with all of the debt covenants under the Loan and Security Agreement.</w:t>
      </w:r>
    </w:p>
    <w:p>
      <w:pPr>
        <w:spacing w:after="0" w:line="75"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interest expense for the years ended December 31, 2022 and 2021 was $0.7 million and $0.9 million, respectively. Interest expense is calculated using the effective interest method; therefore it is inclusive of non-cash amortization in the amount of $0.4 million and $0.5 million for the year ended December 31, 2022 and 2021, respectively, related to the amortization of the debt discount, deferred financing costs, and accretion of final payment.</w:t>
      </w:r>
    </w:p>
    <w:p>
      <w:pPr>
        <w:spacing w:after="0" w:line="71"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Loan and Security Agreement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December 31, 2022, the Company has not received any notification or indication from Oxford to invoke the material adverse change clause.</w:t>
      </w:r>
    </w:p>
    <w:p>
      <w:pPr>
        <w:spacing w:after="0" w:line="83"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details relating to the outstanding Term Loan as of December 31, 2022 and 2021 are presented in the following table (in thousands):</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80" w:type="dxa"/>
            <w:vAlign w:val="bottom"/>
            <w:tcBorders>
              <w:top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Origination Date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Loan</w:t>
            </w: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Monthly</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2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Rate*</w:t>
            </w:r>
          </w:p>
        </w:tc>
        <w:tc>
          <w:tcPr>
            <w:tcW w:w="8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2015</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8"/>
              </w:rPr>
              <w:t>June 1, 2024</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80" w:type="dxa"/>
            <w:vAlign w:val="bottom"/>
            <w:tcBorders>
              <w:top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Origination Date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Loan</w:t>
            </w: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Monthly</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2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Rate*</w:t>
            </w:r>
          </w:p>
        </w:tc>
        <w:tc>
          <w:tcPr>
            <w:tcW w:w="8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2015</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8"/>
              </w:rPr>
              <w:t>June 1, 2024</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020" w:right="6080" w:firstLine="6"/>
        <w:spacing w:after="0" w:line="315" w:lineRule="auto"/>
        <w:tabs>
          <w:tab w:leader="none" w:pos="1155" w:val="left"/>
        </w:tabs>
        <w:numPr>
          <w:ilvl w:val="0"/>
          <w:numId w:val="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Three month LIBOR rate with a floor of 1% plus 7.95% ** Monthly payment reflects principal and interest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color w:val="auto"/>
        </w:rPr>
        <w:t>As of December 31, 2022, the future contractual principal and final fee payments on all of our debt obligations are as follows (as thousands):</w:t>
      </w: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20"/>
                <w:szCs w:val="20"/>
                <w:color w:val="auto"/>
              </w:rPr>
            </w:pPr>
          </w:p>
        </w:tc>
        <w:tc>
          <w:tcPr>
            <w:tcW w:w="54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tcPr>
          <w:p>
            <w:pPr>
              <w:spacing w:after="0"/>
              <w:rPr>
                <w:sz w:val="20"/>
                <w:szCs w:val="20"/>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0" w:type="dxa"/>
            <w:vAlign w:val="bottom"/>
          </w:tcPr>
          <w:p>
            <w:pPr>
              <w:spacing w:after="0"/>
              <w:rPr>
                <w:sz w:val="20"/>
                <w:szCs w:val="20"/>
                <w:color w:val="auto"/>
              </w:rPr>
            </w:pPr>
          </w:p>
        </w:tc>
      </w:tr>
      <w:tr>
        <w:trPr>
          <w:trHeight w:val="277"/>
        </w:trPr>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0" w:type="dxa"/>
            <w:vAlign w:val="bottom"/>
          </w:tcPr>
          <w:p>
            <w:pPr>
              <w:spacing w:after="0"/>
              <w:rPr>
                <w:sz w:val="24"/>
                <w:szCs w:val="24"/>
                <w:color w:val="auto"/>
              </w:rPr>
            </w:pPr>
          </w:p>
        </w:tc>
      </w:tr>
      <w:tr>
        <w:trPr>
          <w:trHeight w:val="376"/>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 of Face Value to Book Value as of December 31, 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53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debt obligations, including final payment fee</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5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(Face Value)</w:t>
            </w:r>
          </w:p>
        </w:tc>
        <w:tc>
          <w:tcPr>
            <w:tcW w:w="54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0" w:type="dxa"/>
            <w:vAlign w:val="bottom"/>
          </w:tcPr>
          <w:p>
            <w:pPr>
              <w:spacing w:after="0"/>
              <w:rPr>
                <w:sz w:val="21"/>
                <w:szCs w:val="21"/>
                <w:color w:val="auto"/>
              </w:rPr>
            </w:pPr>
          </w:p>
        </w:tc>
      </w:tr>
      <w:tr>
        <w:trPr>
          <w:trHeight w:val="23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Debt discount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20"/>
                <w:szCs w:val="20"/>
                <w:color w:val="auto"/>
              </w:rPr>
            </w:pPr>
          </w:p>
        </w:tc>
      </w:tr>
      <w:tr>
        <w:trPr>
          <w:trHeight w:val="243"/>
        </w:trPr>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obligation</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0" w:type="dxa"/>
            <w:vAlign w:val="bottom"/>
          </w:tcPr>
          <w:p>
            <w:pPr>
              <w:spacing w:after="0"/>
              <w:rPr>
                <w:sz w:val="21"/>
                <w:szCs w:val="21"/>
                <w:color w:val="auto"/>
              </w:rPr>
            </w:pPr>
          </w:p>
        </w:tc>
      </w:tr>
      <w:tr>
        <w:trPr>
          <w:trHeight w:val="24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(1,608 )</w:t>
            </w: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obligation -- noncurrent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-1233805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-1216660</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-350520</wp:posOffset>
            </wp:positionV>
            <wp:extent cx="3429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Revenue</w:t>
      </w:r>
    </w:p>
    <w:p>
      <w:pPr>
        <w:spacing w:after="0" w:line="229"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18"/>
          <w:szCs w:val="18"/>
          <w:color w:val="auto"/>
        </w:rPr>
        <w:t>On September 19, 2022, the Company entered into the CPRIT Contract, effective as of August 31, 2022, with CPRIT, pursuant to which CPRIT will provide the Company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and tiered low single digit royalty rates until CPRIT receives the aggregate amount of 400% of the proceeds awarded under the CPRIT Grant, and certain reporting requirements.</w:t>
      </w:r>
    </w:p>
    <w:p>
      <w:pPr>
        <w:spacing w:after="0" w:line="19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w:t>
      </w:r>
    </w:p>
    <w:p>
      <w:pPr>
        <w:spacing w:after="0" w:line="183"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8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CPRIT Contract is not in the scope of ASC 808 or ASC 606. Applying ASC 606 by analogy, the Company recognizes proceeds received under the CPRIT Contract as grant revenue on the statement of operations when related costs are incurred. The Company recognized $0.2 million in grant revenue from the CPRIT Contract during the year ended December 31, 2022.</w:t>
      </w:r>
    </w:p>
    <w:p>
      <w:pPr>
        <w:spacing w:after="0" w:line="172"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Pursuant to the Internal Revenue Code (“IRC”) of 1986, as amended, specifically IRC §382 ("Section 382") and IRC §383, the Company’s ability to use net operating loss ("NOLs") and R&amp;D tax credit carry forwards (“tax attribute carry forwards”) to offset future taxable income is limited if the Company experiences a cumulative change in ownership of more than 50% within a three-year testing period. In preparation of the financial statements as of and for the year ended December 31, 2022, the Company performed an ownership change analysis and concluded that it was probable that an ownership change within the meaning of IRC §382 occurred prior to December 31, 2020.</w:t>
      </w:r>
    </w:p>
    <w:p>
      <w:pPr>
        <w:spacing w:after="0" w:line="197" w:lineRule="exact"/>
        <w:rPr>
          <w:sz w:val="20"/>
          <w:szCs w:val="20"/>
          <w:color w:val="auto"/>
        </w:rPr>
      </w:pPr>
    </w:p>
    <w:p>
      <w:pPr>
        <w:ind w:left="520" w:right="420"/>
        <w:spacing w:after="0" w:line="256" w:lineRule="auto"/>
        <w:rPr>
          <w:sz w:val="20"/>
          <w:szCs w:val="20"/>
          <w:color w:val="auto"/>
        </w:rPr>
      </w:pPr>
      <w:r>
        <w:rPr>
          <w:rFonts w:ascii="Times New Roman" w:cs="Times New Roman" w:eastAsia="Times New Roman" w:hAnsi="Times New Roman"/>
          <w:sz w:val="18"/>
          <w:szCs w:val="18"/>
          <w:color w:val="auto"/>
        </w:rPr>
        <w:t>As a result, the Company has determined that approximately $346.8 million for federal NOL carryforwards and $173.0 million for state NOL carryforwards were subject to limitation. Consequently, approximately $84.9 million of deferred tax assets related to NOL carryforwards were eliminated. In addition, deferred tax assets related to federal and state research and development credits of approximately $6.0 million and $5.5 million were eliminated, resulting in a total reduction of deferred tax assets of $8.4 million, which was completely offset by a corresponding adjustment to the Company's valuation allowance. The deferred tax assets relating to net operating loss carryforwards and income tax credit carryforwards and the related valuation allowance as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right="580"/>
        <w:spacing w:after="0" w:line="282" w:lineRule="auto"/>
        <w:rPr>
          <w:sz w:val="20"/>
          <w:szCs w:val="20"/>
          <w:color w:val="auto"/>
        </w:rPr>
      </w:pPr>
      <w:r>
        <w:rPr>
          <w:rFonts w:ascii="Times New Roman" w:cs="Times New Roman" w:eastAsia="Times New Roman" w:hAnsi="Times New Roman"/>
          <w:sz w:val="18"/>
          <w:szCs w:val="18"/>
          <w:color w:val="auto"/>
        </w:rPr>
        <w:t>of December 31, 2021 reflected in the table below have been adjusted to give effect to this. These revisions had no impact on the Company’s balance sheet, statement of operations or statement of cash flows.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use of federal and state NOLs and research credits could be limited further by the provisions of Section 382 depending upon the timing and amount of additional equity securities that the Company has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the Company's effective tax rate.</w:t>
      </w:r>
    </w:p>
    <w:p>
      <w:pPr>
        <w:spacing w:after="0" w:line="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recorded a full valuation allowance against its net deferred tax assets and due to our net losses for the years ended December 31, 2022 and 2021, there was no provision or benefit for income taxes recorded.</w:t>
      </w:r>
    </w:p>
    <w:p>
      <w:pPr>
        <w:spacing w:after="0" w:line="27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reconciliation of the total income tax provision tax rate to the statutory federal income tax rates of 21% for the years ended December 31, 2022 and 2021, respectively, is as follows:</w:t>
      </w:r>
    </w:p>
    <w:p>
      <w:pPr>
        <w:spacing w:after="0" w:line="169" w:lineRule="exact"/>
        <w:rPr>
          <w:sz w:val="20"/>
          <w:szCs w:val="20"/>
          <w:color w:val="auto"/>
        </w:rPr>
      </w:pPr>
    </w:p>
    <w:tbl>
      <w:tblPr>
        <w:tblLayout w:type="fixed"/>
        <w:tblInd w:w="118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75"/>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(699.5 )%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at state statutory rate</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NOLs expiring and adjustments to NOL</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720.7 %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5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rate</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6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-1422400</wp:posOffset>
            </wp:positionV>
            <wp:extent cx="498919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-1113790</wp:posOffset>
            </wp:positionV>
            <wp:extent cx="498919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-805180</wp:posOffset>
            </wp:positionV>
            <wp:extent cx="498919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-496570</wp:posOffset>
            </wp:positionV>
            <wp:extent cx="498919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-187960</wp:posOffset>
            </wp:positionV>
            <wp:extent cx="498919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89195" cy="188595"/>
                    </a:xfrm>
                    <a:prstGeom prst="rect">
                      <a:avLst/>
                    </a:prstGeom>
                    <a:noFill/>
                  </pic:spPr>
                </pic:pic>
              </a:graphicData>
            </a:graphic>
          </wp:anchor>
        </w:drawing>
      </w:r>
    </w:p>
    <w:p>
      <w:pPr>
        <w:spacing w:after="0" w:line="1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our deferred tax assets and deferred tax liabilities as of December 31, 2022 and 2021 are as follows (in thousands):</w:t>
      </w:r>
    </w:p>
    <w:p>
      <w:pPr>
        <w:spacing w:after="0" w:line="169" w:lineRule="exact"/>
        <w:rPr>
          <w:sz w:val="20"/>
          <w:szCs w:val="20"/>
          <w:color w:val="auto"/>
        </w:rPr>
      </w:pPr>
    </w:p>
    <w:tbl>
      <w:tblPr>
        <w:tblLayout w:type="fixed"/>
        <w:tblInd w:w="118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credit carryforwards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principally due to differences in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53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2"/>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(16,092 )</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(11,534 )</w:t>
            </w:r>
          </w:p>
        </w:tc>
        <w:tc>
          <w:tcPr>
            <w:tcW w:w="20" w:type="dxa"/>
            <w:vAlign w:val="bottom"/>
          </w:tcPr>
          <w:p>
            <w:pPr>
              <w:spacing w:after="0"/>
              <w:rPr>
                <w:sz w:val="21"/>
                <w:szCs w:val="21"/>
                <w:color w:val="auto"/>
              </w:rPr>
            </w:pPr>
          </w:p>
        </w:tc>
      </w:tr>
      <w:tr>
        <w:trPr>
          <w:trHeight w:val="237"/>
        </w:trPr>
        <w:tc>
          <w:tcPr>
            <w:tcW w:w="532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 net of allowance</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0" w:type="dxa"/>
            <w:vAlign w:val="bottom"/>
          </w:tcPr>
          <w:p>
            <w:pPr>
              <w:spacing w:after="0"/>
              <w:rPr>
                <w:sz w:val="20"/>
                <w:szCs w:val="20"/>
                <w:color w:val="auto"/>
              </w:rPr>
            </w:pPr>
          </w:p>
        </w:tc>
      </w:tr>
      <w:tr>
        <w:trPr>
          <w:trHeight w:val="236"/>
        </w:trPr>
        <w:tc>
          <w:tcPr>
            <w:tcW w:w="53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237"/>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-1148080</wp:posOffset>
            </wp:positionV>
            <wp:extent cx="5143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-1148080</wp:posOffset>
            </wp:positionV>
            <wp:extent cx="4318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-831215</wp:posOffset>
            </wp:positionV>
            <wp:extent cx="5143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-831215</wp:posOffset>
            </wp:positionV>
            <wp:extent cx="431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-187960</wp:posOffset>
            </wp:positionV>
            <wp:extent cx="514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-187960</wp:posOffset>
            </wp:positionV>
            <wp:extent cx="431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tax assets are realizable, the valuation allowance will be reduced. The Company has recorded a full valuation allowance of $16.1 million as of December 31, 2022 as it does not believe it is more likely than not our net deferred tax assets will be realized. The Company increased its valuation allowance by approximately $4.6 million during the year ended December 31, 2022.</w:t>
      </w:r>
    </w:p>
    <w:p>
      <w:pPr>
        <w:spacing w:after="0" w:line="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37" w:right="339" w:bottom="1440" w:gutter="0" w:footer="0" w:header="0"/>
        </w:sectPr>
      </w:pPr>
    </w:p>
    <w:bookmarkStart w:id="77" w:name="page78"/>
    <w:bookmarkEnd w:id="77"/>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had federal and state tax loss carry forwards of approximately $59.6 million, and $1.8 million, respectively. The federal net operating loss carry forwards begin to expire in 2037, if unused. The state net operating loss carries over indefinitely. The federal net operating loss carryover includes $56.2 million of net operating losses generated after 2017. Federal net operating losses generated from 2018 onwards carryover indefinitely and may generally be used to offset up to 80% of future taxable income. At December 31, 2022, the Company had federal tax credit carry forwards of approximately $1.2 million, before reduction for uncertain tax positions. The federal credits will begin to expire in 2039, if unused.</w:t>
      </w:r>
    </w:p>
    <w:p>
      <w:pPr>
        <w:spacing w:after="0" w:line="106"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of income tax guidance which provides recognition criteria and a related measurement model for uncertain tax positions taken or expected to be taken in income tax returns. The guidance requires that a position taken or expected to be taken in a tax return be recognized in the financial statements when it is more likely than not that the position would be sustained upon examination by tax authorities. Tax positions that meet the more likely than not threshold are then measured using a probability weighted approach recognizing the largest amount of tax benefit that is greater than 50% likely of being realized upon ultimate settlement. The Company has not recognized any liability for uncertain tax positions as of December 31, 2022 and 2021.</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is a tabular reconciliation of the unrecognized tax benefits activity during the years ended December 31, 2022 and 2021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2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 Beginning</w:t>
            </w:r>
          </w:p>
        </w:tc>
        <w:tc>
          <w:tcPr>
            <w:tcW w:w="80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shd w:val="clear" w:color="auto" w:fill="CFF0FC"/>
          </w:tcPr>
          <w:p>
            <w:pPr>
              <w:spacing w:after="0"/>
              <w:rPr>
                <w:sz w:val="19"/>
                <w:szCs w:val="19"/>
                <w:color w:val="auto"/>
              </w:rPr>
            </w:pPr>
          </w:p>
        </w:tc>
      </w:tr>
      <w:tr>
        <w:trPr>
          <w:trHeight w:val="25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8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(2,211 )</w:t>
            </w: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 – current-period tax positions</w:t>
            </w: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r>
      <w:tr>
        <w:trPr>
          <w:trHeight w:val="277"/>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 Ending</w:t>
            </w:r>
          </w:p>
        </w:tc>
        <w:tc>
          <w:tcPr>
            <w:tcW w:w="80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unrecognized tax benefit amounts are reflected in the determination of the Company’s deferred tax assets. If recognized, none of these amounts would affect the Company’s effective tax rate, since it would be offset by an equal reduction in the deferred tax asset valuation allowance. The Company does not foresee material changes to its liability for uncertain tax benefits within the next twelve months.</w:t>
      </w:r>
    </w:p>
    <w:p>
      <w:pPr>
        <w:spacing w:after="0" w:line="6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related to unrecognized tax benefits in interest expense and penalties in operating expenses for the year ended December 31, 2022.</w:t>
      </w:r>
    </w:p>
    <w:p>
      <w:pPr>
        <w:spacing w:after="0" w:line="54"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with the United States and various state jurisdictions. To its knowledge, the Company is currently not under examination by the Internal Revenue Service or any other taxing authority.</w:t>
      </w:r>
    </w:p>
    <w:p>
      <w:pPr>
        <w:spacing w:after="0" w:line="54"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With few exceptions, the Company’s tax years prior to 2019 are no longer open to examination by the taxing authority. While not open to examination, the tax attributes generated in tax years 2017 and forward remain subject to adjustment by the taxing authorities if utilized in tax years which are still open to examination.</w:t>
      </w:r>
    </w:p>
    <w:p>
      <w:pPr>
        <w:spacing w:after="0" w:line="280" w:lineRule="exact"/>
        <w:rPr>
          <w:sz w:val="20"/>
          <w:szCs w:val="20"/>
          <w:color w:val="auto"/>
        </w:rPr>
      </w:pPr>
    </w:p>
    <w:p>
      <w:pPr>
        <w:ind w:left="440" w:hanging="432"/>
        <w:spacing w:after="0"/>
        <w:tabs>
          <w:tab w:leader="none" w:pos="4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implemented a 401(k) retirement savings and profit sharing plan (the “Plan”) effective January 1, 1999. During 2022, the Company commenced safe harbor matching contribution for up to 4% of eligible employee contributions. Total matching contribution under the Plan amounted to approximately $100,000 and $40,000 for the year ended December 31, 2022 and 2021, respectively.</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 On September 21, 2021, Series A 3.6% Convertible Preferred Stock was eliminated. There were no shares of Series A 3.6% Convertible Preferred Stock issued prior to September 21, 2021. There were 1,014 shares of Series B Convertible Preferred Stock and 938 shares of Series C Preferred Stock outstanding as of each of December 31, 2022 and 2021, respectively.</w:t>
      </w:r>
    </w:p>
    <w:p>
      <w:pPr>
        <w:spacing w:after="0" w:line="7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938 outstanding shares of Series C Preferred Stock that can be converted into an aggregate of 416,889 shares of common stock, and 1,014 shares of Series B Convertible Preferred Stock that can be converted into an aggregate of 5,978 shares of common stock.</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On September 25, 2019, the Company completed an underwritten public offering. The Company issued 289,000 shares of its common stock, along with pre-funded warrants to purchase 2,711,000 shares of its common stock and Series U Warrants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purchase 3,450,000 shares of its common stock at $5.00 per share. The Series U Warrants have a term of five years from the issuance date. In addition, the Company issued warrants to H.C. Wainwright &amp; Co., LLC, as representatives of the underwriters, to purchase 75,000 shares of its common stock at $6.25 per share with a term of five years from the issuance date, in the form of Series U Warrants (the “Representative Warrants”).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2,141,000 outstanding Series U Warrants which can be exercised into an aggregate of 2,141,000 shares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 2022, the Company entered into a purchase agreement (the “2022 Purchase Agreement”) and registration rights agreement pursuant to which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 Lincoln Park has no right to require the Company to sell any shares of common stock to Lincoln Park, but Lincoln Park is obligated to make purchases as the Company directs, subject to certain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execution of the 2022 Purchase Agreement, the Company paid $0.1 million in cash as the initial commitment fee, and issued 492,698 shares as the initial commitment shares, to Lincoln Park as consideration for its irrevocable commitment to purchase shares of the Company's common stock at its direction under the Purchase Agreement. The Company has agreed to pay an additional commitment fee, which it may elect to pay in cash and/or shares of its common stock, upon receipt of $25.0 million aggregate gross proceeds from sales of common stock to Lincoln Park under the 2022 Purchase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17, 2022, a registration statement was declared effective to cover the resale of up to 9,500,000 shares of the Company's common stock comprised of (i) the 492,698 initial commitment shares, and (ii) up to 9,007,302 that the Company has reserved for issuance and sale to Lincoln Park under the Purchase Agreement from time to time from and after the date of this prospectus. The Company cannot sell more shares under the 2022 Purchase Agreement without registering additional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August 17, 2022 to December 31, 2022, the Company issued 4,000,000 shares under the 2022 Purchase Agreement for net proceeds of approximately $3.2 million. From January 1, 2023 to the date of filing of these financial statements, the Company did not issue any shares under the 2022 Purchase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2020, the Company entered into a purchase agreement (the "2020 Purchase Agreement") and registration rights agreement pursuant to which Lincoln Park committed to purchase up to $25.0 million of the Company’s common stock. Under the terms and subject to the conditions of the 2020 Purchase Agreement, the Company had the right, but not the obligation, to sell to Lincoln Park, and Lincoln Park was obligated to purchase up to $25.0 million of the Company’s common stock. Such sales of common stock by the Company were subject to certain limitations, and could occur from time to time, at the Company’s sole discretion, over the 36-month period commencing on November 6, 2020, subject to the satisfaction of certain conditions.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2020, the Company received stockholder approval for purposes of the Nasdaq listing rules to permit issuances of up to 23.8 million shares of the Company’s common stock (including the issuance of more than 19.99% of the Company’s common stock) to Lincoln Park, and it was pursuant to that approval that the Company entered into the 2020 Purchase Agreement.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Lincoln Park had no right to require the Company to sell any shares of common stock to Lincoln Park, but Lincoln Park was obligated to make purchases as the Company directs, subject to certain conditions.</w:t>
      </w:r>
    </w:p>
    <w:p>
      <w:pPr>
        <w:spacing w:after="0" w:line="2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45"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issued 5,685,186 shares of its common stock under the 2020 Purchase Agreement for net proceeds of approximately $12.5 million. During the year issued December 31, 2022, the Company issued 5,665,000 shares of its common stock under the 2020 Purchase Agreement for net proceeds of approximately $7.0 million. The Company no longer has any additional shares of common stock registered to sell under the 2020 Purchase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Issuances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9, 2022, the Company entered into an Equity Distribution Agreement (the “September 2022 Distribution Agreement”) with Canaccord Genuity LLC ("Canaccord”), pursuant to which the Company may issue and sell, from time to time, shares of its common stock having an aggregate offering price of up to $5,000,000, depending on market demand, with Canaccord acting as an agent for sales. Sales of the Company's common stock may be made by any method permitted by law deemed to be an “at the 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The Company has no obligation to sell any of its common stock. The Company may instruct Canaccord not to sell any common stock if the sales cannot be effected at or above the price designated by the Company from time to time and the Company may at any time suspend sales pursuant to the September 2022 Distribution Agreement. During the period from September 9, 2022 to December 31, 2022, the Company issued 1,031,371 shares under the September 2022 Distribution Agreement for net proceeds of approximately $0.6 million. From January1, 2023 to the date of filing of this Form 10-K, the Company issued 1,812,785 shares under the September 2022 Distribution Agreement for net proceeds of approximately $0.7 million.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obligated to pay Canaccord a commission of up to 3.0% of the gross proceeds from the sale of its common stock under the September 2022 Distribution Agreement. The Company has also agreed to reimburse Canaccord for its reasonable documented out-of-pocket expenses, including fees and disbursements of its counsel, in the amount of $50,000. In addition, the Company has agreed to provide customary indemnification rights to Canaccord.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will terminate upon the earlier of (1) the issuance and sale of all shares of the Company’s common stock subject to the September 2022 Distribution Agreement, or (2) the termination of the Distribution Agreement as permitted therein, including by either party at any time without liability of any party.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14, 2022, the Company entered into an Equity Distribution Agreement (the “January 2022 Distribution Agreement”) with Canaccord, pursuant to which the Company could issue and sell, from time to time, shares of its common stock having an aggregate offering price of up to $5,000,000 shares, with Canaccord acting as an agent for sales. The Company had no obligation to sell any of the Company’s shares and it could instruct Canaccord not to sell any shares if the sales could not be effected at or above the price designated by the Company from time to time and the Company could at any time suspend sales pursuant to the January 2022 Distribution Agreement. During the year ended December 31, 2022, the Company issued 6,902,279 shares under the January 2022 Distribution Agreement for net proceeds of approximately $4.8 million. The January 2022 Distribution Agreement has been terminated after all available registered shares were fully utilized.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15, 2022, the Company announced that its Board of Directors has approved a share repurchase program pursuant to which the Company is authorized to repurchase up to $2.0 million of the Company’s outstanding common stock. The timing and amount of any shares repurchased will be determined based on the Company’s evaluation of market conditions and other factors, including consent of Oxford. Repurchases may be made from time to time on the open market over the course of 12 months. The Company is not obligated to acquire any shares and the program may be discontinued or suspended at any time. Through the date of filing of this Form 10-K, the Company has not repurchased any of its common stock under this share repurchase program.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37" w:right="339" w:bottom="1440" w:gutter="0" w:footer="0" w:header="0"/>
        </w:sectPr>
      </w:pPr>
    </w:p>
    <w:bookmarkStart w:id="80" w:name="page81"/>
    <w:bookmarkEnd w:id="80"/>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December 31, 2022, there were 90,389 shares of common stock remaining and available for future issuances under the 2015 Plan.</w:t>
      </w:r>
    </w:p>
    <w:p>
      <w:pPr>
        <w:spacing w:after="0" w:line="179"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3,550,000 shares of common stock, plus the number of shares available for issuance is increased to the extent that awards granted under the 2020 Plan and the Company’s 2014 Equity Incentive Plan are forfeited or expire (except as otherwise provided in the 2020 Plan). As of December 31, 2022, there were 2,635,717 shares remaining and available for future issuances under the 2020 Plan.</w:t>
      </w:r>
    </w:p>
    <w:p>
      <w:pPr>
        <w:spacing w:after="0" w:line="7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activity for the year ended December 31, 2022 is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g</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w:t>
            </w:r>
          </w:p>
        </w:tc>
        <w:tc>
          <w:tcPr>
            <w:tcW w:w="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al</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1,170,890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(8,874 )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1,175,016</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top w:val="single" w:sz="8" w:color="CFF0FC"/>
            </w:tcBorders>
          </w:tcPr>
          <w:p>
            <w:pPr>
              <w:spacing w:after="0"/>
              <w:rPr>
                <w:sz w:val="20"/>
                <w:szCs w:val="20"/>
                <w:color w:val="auto"/>
              </w:rPr>
            </w:pPr>
          </w:p>
        </w:tc>
        <w:tc>
          <w:tcPr>
            <w:tcW w:w="68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top w:val="single" w:sz="8" w:color="CFF0FC"/>
            </w:tcBorders>
          </w:tcPr>
          <w:p>
            <w:pPr>
              <w:spacing w:after="0"/>
              <w:rPr>
                <w:sz w:val="20"/>
                <w:szCs w:val="20"/>
                <w:color w:val="auto"/>
              </w:rPr>
            </w:pPr>
          </w:p>
        </w:tc>
        <w:tc>
          <w:tcPr>
            <w:tcW w:w="620" w:type="dxa"/>
            <w:vAlign w:val="bottom"/>
            <w:tcBorders>
              <w:top w:val="single" w:sz="8" w:color="CFF0FC"/>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1,135,664</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top w:val="single" w:sz="8" w:color="auto"/>
              <w:bottom w:val="single" w:sz="8" w:color="auto"/>
            </w:tcBorders>
            <w:shd w:val="clear" w:color="auto" w:fill="CFF0FC"/>
          </w:tcPr>
          <w:p>
            <w:pPr>
              <w:jc w:val="right"/>
              <w:ind w:right="44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7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-548005</wp:posOffset>
            </wp:positionV>
            <wp:extent cx="6032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-548005</wp:posOffset>
            </wp:positionV>
            <wp:extent cx="5969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-205105</wp:posOffset>
            </wp:positionV>
            <wp:extent cx="1680210"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80210" cy="205740"/>
                    </a:xfrm>
                    <a:prstGeom prst="rect">
                      <a:avLst/>
                    </a:prstGeom>
                    <a:noFill/>
                  </pic:spPr>
                </pic:pic>
              </a:graphicData>
            </a:graphic>
          </wp:anchor>
        </w:drawing>
      </w:r>
    </w:p>
    <w:p>
      <w:pPr>
        <w:spacing w:after="0" w:line="17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settles exercises of stock options with newly issued shares of its common stock. There were no stock options exercised in 2022 or 2021.</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each option awarded during the years ended December 31, 2022 and 2021 was estimated on the date of grant using the Black-</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Scholes-Merton option valuation model based on the following weighted-average assumptions: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years</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years</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2.83 %</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123.4 %</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127.0 %</w:t>
            </w:r>
          </w:p>
        </w:tc>
      </w:tr>
      <w:tr>
        <w:trPr>
          <w:trHeight w:val="25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8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Resulting fair value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-462280</wp:posOffset>
            </wp:positionV>
            <wp:extent cx="570039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8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weighted average risk-free interest rate represents the interest rate for treasury constant maturity instruments published by the Federal Reserve Board. If the term of available treasury constant maturity instruments is not equal to the expected term of an employee option, the Company uses the weighted average of the two Federal Reserve securities closest to the expected term of the employee option.</w:t>
      </w:r>
    </w:p>
    <w:p>
      <w:pPr>
        <w:spacing w:after="0" w:line="6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dividend yield has been assumed to be zero as the Company (a) has never declared or paid any dividends and (b) does not currently anticipate paying any cash dividends on its outstanding shares of common stock in the foreseeable future.</w:t>
      </w:r>
    </w:p>
    <w:p>
      <w:pPr>
        <w:spacing w:after="0" w:line="54"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share-based compensation recognized during the years ended December 31, 2022 and 2021 in the statement of operations and comprehensive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tbl>
      <w:tblPr>
        <w:tblLayout w:type="fixed"/>
        <w:tblInd w:w="62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20"/>
                <w:szCs w:val="20"/>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0"/>
                <w:szCs w:val="20"/>
                <w:color w:val="auto"/>
              </w:rPr>
            </w:pPr>
          </w:p>
        </w:tc>
      </w:tr>
      <w:tr>
        <w:trPr>
          <w:trHeight w:val="27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-25400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-7620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-25400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-7620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2021, the total compensation cost related to non-vested stock options and stock awards not yet recognized for all our plans is approximately $0.9 million, which is expected to be recognized as a result of vesting under service conditions over a weighted average period of 2.2 years.</w:t>
      </w:r>
    </w:p>
    <w:p>
      <w:pPr>
        <w:spacing w:after="0" w:line="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40" w:top="344"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rFonts w:ascii="Times New Roman" w:cs="Times New Roman" w:eastAsia="Times New Roman" w:hAnsi="Times New Roman"/>
          <w:sz w:val="18"/>
          <w:szCs w:val="18"/>
          <w:i w:val="1"/>
          <w:iCs w:val="1"/>
          <w:color w:val="auto"/>
        </w:rPr>
      </w:pPr>
    </w:p>
    <w:p>
      <w:pPr>
        <w:jc w:val="both"/>
        <w:ind w:left="102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furnished pursuant to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accounting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3" w:lineRule="exact"/>
        <w:rPr>
          <w:rFonts w:ascii="Times New Roman" w:cs="Times New Roman" w:eastAsia="Times New Roman" w:hAnsi="Times New Roman"/>
          <w:sz w:val="18"/>
          <w:szCs w:val="18"/>
          <w:i w:val="1"/>
          <w:iCs w:val="1"/>
          <w:color w:val="auto"/>
        </w:rPr>
      </w:pPr>
    </w:p>
    <w:p>
      <w:pPr>
        <w:jc w:val="both"/>
        <w:ind w:left="10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our disclosure controls and procedures, as such term is defined under Rule 13a-15(e) promulgated under the Securities Exchange Act of 1934, as amended, as of the end of the period covered by this Annual Report on Form 10-K. Based on the foregoing, our Chief Executive Officer and Chief Financial Officer concluded that our disclosure controls and procedures as of the end of the period covered by this Annual Report were effective.</w:t>
      </w:r>
    </w:p>
    <w:p>
      <w:pPr>
        <w:spacing w:after="0" w:line="7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rFonts w:ascii="Times New Roman" w:cs="Times New Roman" w:eastAsia="Times New Roman" w:hAnsi="Times New Roman"/>
          <w:sz w:val="18"/>
          <w:szCs w:val="18"/>
          <w:i w:val="1"/>
          <w:iCs w:val="1"/>
          <w:color w:val="auto"/>
        </w:rPr>
      </w:pPr>
    </w:p>
    <w:p>
      <w:pPr>
        <w:jc w:val="both"/>
        <w:ind w:left="10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or 15d-15(f) under the Securities Exchange Act of 1934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rFonts w:ascii="Times New Roman" w:cs="Times New Roman" w:eastAsia="Times New Roman" w:hAnsi="Times New Roman"/>
          <w:sz w:val="18"/>
          <w:szCs w:val="18"/>
          <w:i w:val="1"/>
          <w:iCs w:val="1"/>
          <w:color w:val="auto"/>
        </w:rPr>
      </w:pPr>
    </w:p>
    <w:p>
      <w:pPr>
        <w:ind w:left="1400" w:right="520" w:hanging="373"/>
        <w:spacing w:after="0" w:line="261" w:lineRule="auto"/>
        <w:tabs>
          <w:tab w:leader="none" w:pos="1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jc w:val="both"/>
        <w:ind w:left="1400" w:hanging="373"/>
        <w:spacing w:after="0" w:line="250" w:lineRule="auto"/>
        <w:tabs>
          <w:tab w:leader="none" w:pos="1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our Board of Directors; and</w:t>
      </w:r>
    </w:p>
    <w:p>
      <w:pPr>
        <w:spacing w:after="0" w:line="1" w:lineRule="exact"/>
        <w:rPr>
          <w:rFonts w:ascii="Times New Roman" w:cs="Times New Roman" w:eastAsia="Times New Roman" w:hAnsi="Times New Roman"/>
          <w:sz w:val="18"/>
          <w:szCs w:val="18"/>
          <w:color w:val="auto"/>
        </w:rPr>
      </w:pPr>
    </w:p>
    <w:p>
      <w:pPr>
        <w:ind w:left="1400" w:hanging="373"/>
        <w:spacing w:after="0" w:line="260" w:lineRule="auto"/>
        <w:tabs>
          <w:tab w:leader="none" w:pos="1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73"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have conducted an evaluation of the effectiveness of our internal control over financial reporting as of the end of the fiscal year covered by this Annual Report on Form 10-K based on the criteria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our evaluation, management concluded that our internal control over financial reporting was effective as of December 31, 2022 based on the COSO criteria.</w:t>
      </w:r>
    </w:p>
    <w:p>
      <w:pPr>
        <w:spacing w:after="0" w:line="7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This report does not include an attestation report on internal control over financial reporting by the Company’s independent registered public accounting firm since the Company is a smaller reporting company under the rules of the SEC.</w:t>
      </w:r>
    </w:p>
    <w:p>
      <w:pPr>
        <w:spacing w:after="0" w:line="52"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rFonts w:ascii="Times New Roman" w:cs="Times New Roman" w:eastAsia="Times New Roman" w:hAnsi="Times New Roman"/>
          <w:sz w:val="18"/>
          <w:szCs w:val="18"/>
          <w:i w:val="1"/>
          <w:iCs w:val="1"/>
          <w:color w:val="auto"/>
        </w:rPr>
      </w:pPr>
    </w:p>
    <w:p>
      <w:pPr>
        <w:ind w:left="10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2022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“Election of Directors – Directors and Nominees,” “Executive Officers,” “Certain Relationships and Related Transactions – Section 16(a) Beneficial Ownership Reporting Compliance,” “Code of Business Conduct and Ethics” and “Corporate Governance – Board Committees” in our definitive proxy statement to be filed with the SEC, in connection with our 2022 annual meeting of stockholders (the “Proxy Statement”), which is expected to be filed not later than 120 days after the end of our fiscal year ended December 31, 2022, and is incorporated in this report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“Corporate Governance — Compensation Committee Interlocks and Insider Participation,” “Corporate Governance – Compensation Committee Report” and “Corporate Governance — Non-Employee Director Compensation” in the Proxy Statement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“Security Ownership of Certain Beneficial Owners and Management” and “Executive Compensation — Equity Compensation Plan Information”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“Certain Relationships and Related Person Transactions” and “Corporate Governance — Board Independence”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“Audit Matters — Principal Accounting Fees and Services” in the Proxy Statement and is incorporated herein by reference.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responses to this portion of Item 15 are set forth under Part II, Item 8 above.</w:t>
      </w:r>
    </w:p>
    <w:p>
      <w:pPr>
        <w:spacing w:after="0" w:line="311" w:lineRule="exact"/>
        <w:rPr>
          <w:sz w:val="20"/>
          <w:szCs w:val="20"/>
          <w:color w:val="auto"/>
        </w:rPr>
      </w:pPr>
    </w:p>
    <w:p>
      <w:pPr>
        <w:ind w:left="760" w:right="7560" w:hanging="752"/>
        <w:spacing w:after="0" w:line="412" w:lineRule="auto"/>
        <w:tabs>
          <w:tab w:leader="none" w:pos="26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Financial Statement Schedules.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 (3)</w:t>
        <w:tab/>
        <w:t>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List of Exhibits required by Item 601 of Regulation S-K. See Item 15(b)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exhibits listed in the accompanying “Exhibit Index” are filed, furnished or incorporated by reference as part of this Annual Report,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3" w:right="8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12"/>
          </w:tcPr>
          <w:p>
            <w:pPr>
              <w:jc w:val="center"/>
              <w:ind w:right="268"/>
              <w:spacing w:after="0"/>
              <w:rPr>
                <w:sz w:val="20"/>
                <w:szCs w:val="20"/>
                <w:color w:val="auto"/>
              </w:rPr>
            </w:pPr>
            <w:r>
              <w:rPr>
                <w:rFonts w:ascii="Times New Roman" w:cs="Times New Roman" w:eastAsia="Times New Roman" w:hAnsi="Times New Roman"/>
                <w:sz w:val="18"/>
                <w:szCs w:val="18"/>
                <w:b w:val="1"/>
                <w:bCs w:val="1"/>
                <w:color w:val="auto"/>
              </w:rPr>
              <w:t>PLUS THERAPEUTICS, INC.</w:t>
            </w:r>
          </w:p>
        </w:tc>
        <w:tc>
          <w:tcPr>
            <w:tcW w:w="0" w:type="dxa"/>
            <w:vAlign w:val="bottom"/>
          </w:tcPr>
          <w:p>
            <w:pPr>
              <w:spacing w:after="0"/>
              <w:rPr>
                <w:sz w:val="1"/>
                <w:szCs w:val="1"/>
                <w:color w:val="auto"/>
              </w:rPr>
            </w:pPr>
          </w:p>
        </w:tc>
      </w:tr>
      <w:tr>
        <w:trPr>
          <w:trHeight w:val="353"/>
        </w:trPr>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Filed with</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gridSpan w:val="1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7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this Form</w:t>
            </w:r>
          </w:p>
        </w:tc>
        <w:tc>
          <w:tcPr>
            <w:tcW w:w="0" w:type="dxa"/>
            <w:vAlign w:val="bottom"/>
          </w:tcPr>
          <w:p>
            <w:pPr>
              <w:spacing w:after="0"/>
              <w:rPr>
                <w:sz w:val="1"/>
                <w:szCs w:val="1"/>
                <w:color w:val="auto"/>
              </w:rPr>
            </w:pPr>
          </w:p>
        </w:tc>
      </w:tr>
      <w:tr>
        <w:trPr>
          <w:trHeight w:val="182"/>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15"/>
            <w:vMerge w:val="continue"/>
          </w:tcPr>
          <w:p>
            <w:pPr>
              <w:spacing w:after="0"/>
              <w:rPr>
                <w:sz w:val="15"/>
                <w:szCs w:val="15"/>
                <w:color w:val="auto"/>
              </w:rPr>
            </w:pPr>
          </w:p>
        </w:tc>
        <w:tc>
          <w:tcPr>
            <w:tcW w:w="7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10-K</w:t>
            </w:r>
          </w:p>
        </w:tc>
        <w:tc>
          <w:tcPr>
            <w:tcW w:w="0" w:type="dxa"/>
            <w:vAlign w:val="bottom"/>
          </w:tcPr>
          <w:p>
            <w:pPr>
              <w:spacing w:after="0"/>
              <w:rPr>
                <w:sz w:val="1"/>
                <w:szCs w:val="1"/>
                <w:color w:val="auto"/>
              </w:rPr>
            </w:pPr>
          </w:p>
        </w:tc>
      </w:tr>
      <w:tr>
        <w:trPr>
          <w:trHeight w:val="194"/>
        </w:trPr>
        <w:tc>
          <w:tcPr>
            <w:tcW w:w="1020" w:type="dxa"/>
            <w:vAlign w:val="bottom"/>
          </w:tcPr>
          <w:p>
            <w:pPr>
              <w:jc w:val="right"/>
              <w:ind w:right="612"/>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288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Composite Certificate of Incorporation.</w:t>
              </w:r>
            </w:hyperlink>
          </w:p>
        </w:tc>
        <w:tc>
          <w:tcPr>
            <w:tcW w:w="2660" w:type="dxa"/>
            <w:vAlign w:val="bottom"/>
            <w:gridSpan w:val="13"/>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3.2</w:t>
            </w:r>
          </w:p>
        </w:tc>
        <w:tc>
          <w:tcPr>
            <w:tcW w:w="48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Certificate of Amendment to Amended and Restated Certificate of</w:t>
              </w:r>
            </w:hyperlink>
          </w:p>
        </w:tc>
        <w:tc>
          <w:tcPr>
            <w:tcW w:w="72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Incorporation.</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3.3</w:t>
            </w:r>
          </w:p>
        </w:tc>
        <w:tc>
          <w:tcPr>
            <w:tcW w:w="48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Certificate of Amendment to Amended and Restated Certificate of</w:t>
              </w:r>
            </w:hyperlink>
          </w:p>
        </w:tc>
        <w:tc>
          <w:tcPr>
            <w:tcW w:w="72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Incorporation.</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3.4</w:t>
            </w:r>
          </w:p>
        </w:tc>
        <w:tc>
          <w:tcPr>
            <w:tcW w:w="48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Certificate of Amendment to Amended and Restated Certificate of</w:t>
              </w:r>
            </w:hyperlink>
          </w:p>
        </w:tc>
        <w:tc>
          <w:tcPr>
            <w:tcW w:w="72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Incorporation.</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3.5</w:t>
            </w:r>
          </w:p>
        </w:tc>
        <w:tc>
          <w:tcPr>
            <w:tcW w:w="48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Certificate of Amendment to Amended and Restated Certificate of</w:t>
              </w:r>
            </w:hyperlink>
          </w:p>
        </w:tc>
        <w:tc>
          <w:tcPr>
            <w:tcW w:w="72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Incorporation.</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3.6</w:t>
            </w:r>
          </w:p>
        </w:tc>
        <w:tc>
          <w:tcPr>
            <w:tcW w:w="540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Certificate of Designation of Preferences, Rights and Limitations of Series</w:t>
              </w:r>
            </w:hyperlink>
          </w:p>
        </w:tc>
        <w:tc>
          <w:tcPr>
            <w:tcW w:w="1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13">
              <w:r>
                <w:rPr>
                  <w:rFonts w:ascii="Times New Roman" w:cs="Times New Roman" w:eastAsia="Times New Roman" w:hAnsi="Times New Roman"/>
                  <w:sz w:val="18"/>
                  <w:szCs w:val="18"/>
                  <w:color w:val="auto"/>
                  <w:w w:val="99"/>
                </w:rPr>
                <w:t>B Convertible Preferred Stock.</w:t>
              </w:r>
            </w:hyperlink>
          </w:p>
        </w:tc>
        <w:tc>
          <w:tcPr>
            <w:tcW w:w="330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3.7</w:t>
            </w:r>
          </w:p>
        </w:tc>
        <w:tc>
          <w:tcPr>
            <w:tcW w:w="540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214">
              <w:r>
                <w:rPr>
                  <w:rFonts w:ascii="Times New Roman" w:cs="Times New Roman" w:eastAsia="Times New Roman" w:hAnsi="Times New Roman"/>
                  <w:sz w:val="18"/>
                  <w:szCs w:val="18"/>
                  <w:color w:val="auto"/>
                </w:rPr>
                <w:t>Certificate of Designation of Preferences, Rights and Limitations of Series</w:t>
              </w:r>
            </w:hyperlink>
          </w:p>
        </w:tc>
        <w:tc>
          <w:tcPr>
            <w:tcW w:w="1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14">
              <w:r>
                <w:rPr>
                  <w:rFonts w:ascii="Times New Roman" w:cs="Times New Roman" w:eastAsia="Times New Roman" w:hAnsi="Times New Roman"/>
                  <w:sz w:val="18"/>
                  <w:szCs w:val="18"/>
                  <w:color w:val="auto"/>
                  <w:w w:val="99"/>
                </w:rPr>
                <w:t>C Convertible Preferred Stock.</w:t>
              </w:r>
            </w:hyperlink>
          </w:p>
        </w:tc>
        <w:tc>
          <w:tcPr>
            <w:tcW w:w="330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3.8</w:t>
            </w:r>
          </w:p>
        </w:tc>
        <w:tc>
          <w:tcPr>
            <w:tcW w:w="4140" w:type="dxa"/>
            <w:vAlign w:val="bottom"/>
            <w:tcBorders>
              <w:bottom w:val="single" w:sz="8" w:color="0000EE"/>
            </w:tcBorders>
            <w:gridSpan w:val="15"/>
          </w:tcPr>
          <w:p>
            <w:pPr>
              <w:spacing w:after="0"/>
              <w:rPr>
                <w:rFonts w:ascii="Times New Roman" w:cs="Times New Roman" w:eastAsia="Times New Roman" w:hAnsi="Times New Roman"/>
                <w:sz w:val="18"/>
                <w:szCs w:val="18"/>
                <w:color w:val="auto"/>
                <w:w w:val="99"/>
              </w:rPr>
            </w:pPr>
            <w:hyperlink r:id="rId215">
              <w:r>
                <w:rPr>
                  <w:rFonts w:ascii="Times New Roman" w:cs="Times New Roman" w:eastAsia="Times New Roman" w:hAnsi="Times New Roman"/>
                  <w:sz w:val="18"/>
                  <w:szCs w:val="18"/>
                  <w:color w:val="auto"/>
                  <w:w w:val="99"/>
                </w:rPr>
                <w:t>Amended and Restated Bylaws of Plus Therapeutics, Inc.</w:t>
              </w:r>
            </w:hyperlink>
          </w:p>
        </w:tc>
        <w:tc>
          <w:tcPr>
            <w:tcW w:w="140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4.1</w:t>
            </w:r>
          </w:p>
        </w:tc>
        <w:tc>
          <w:tcPr>
            <w:tcW w:w="5540" w:type="dxa"/>
            <w:vAlign w:val="bottom"/>
            <w:gridSpan w:val="21"/>
          </w:tcPr>
          <w:p>
            <w:pPr>
              <w:spacing w:after="0"/>
              <w:rPr>
                <w:rFonts w:ascii="Times New Roman" w:cs="Times New Roman" w:eastAsia="Times New Roman" w:hAnsi="Times New Roman"/>
                <w:sz w:val="18"/>
                <w:szCs w:val="18"/>
                <w:color w:val="auto"/>
              </w:rPr>
            </w:pPr>
            <w:hyperlink r:id="rId216">
              <w:r>
                <w:rPr>
                  <w:rFonts w:ascii="Times New Roman" w:cs="Times New Roman" w:eastAsia="Times New Roman" w:hAnsi="Times New Roman"/>
                  <w:sz w:val="18"/>
                  <w:szCs w:val="18"/>
                  <w:color w:val="auto"/>
                </w:rPr>
                <w:t>Description of Securities.</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4.2</w:t>
            </w:r>
          </w:p>
        </w:tc>
        <w:tc>
          <w:tcPr>
            <w:tcW w:w="5540" w:type="dxa"/>
            <w:vAlign w:val="bottom"/>
            <w:gridSpan w:val="21"/>
          </w:tcPr>
          <w:p>
            <w:pPr>
              <w:spacing w:after="0"/>
              <w:rPr>
                <w:rFonts w:ascii="Times New Roman" w:cs="Times New Roman" w:eastAsia="Times New Roman" w:hAnsi="Times New Roman"/>
                <w:sz w:val="18"/>
                <w:szCs w:val="18"/>
                <w:color w:val="auto"/>
              </w:rPr>
            </w:pPr>
            <w:hyperlink r:id="rId217">
              <w:r>
                <w:rPr>
                  <w:rFonts w:ascii="Times New Roman" w:cs="Times New Roman" w:eastAsia="Times New Roman" w:hAnsi="Times New Roman"/>
                  <w:sz w:val="18"/>
                  <w:szCs w:val="18"/>
                  <w:color w:val="auto"/>
                </w:rPr>
                <w:t>Form of Common Stock Certificate.</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4.3</w:t>
            </w:r>
          </w:p>
        </w:tc>
        <w:tc>
          <w:tcPr>
            <w:tcW w:w="2560" w:type="dxa"/>
            <w:vAlign w:val="bottom"/>
            <w:tcBorders>
              <w:top w:val="single" w:sz="8" w:color="0000EE"/>
            </w:tcBorders>
            <w:gridSpan w:val="7"/>
          </w:tcPr>
          <w:p>
            <w:pPr>
              <w:spacing w:after="0"/>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Form of Series U Warrant.</w:t>
              </w:r>
            </w:hyperlink>
          </w:p>
        </w:tc>
        <w:tc>
          <w:tcPr>
            <w:tcW w:w="2980" w:type="dxa"/>
            <w:vAlign w:val="bottom"/>
            <w:gridSpan w:val="14"/>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4.4</w:t>
            </w:r>
          </w:p>
        </w:tc>
        <w:tc>
          <w:tcPr>
            <w:tcW w:w="5540" w:type="dxa"/>
            <w:vAlign w:val="bottom"/>
            <w:gridSpan w:val="21"/>
          </w:tcPr>
          <w:p>
            <w:pPr>
              <w:spacing w:after="0"/>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Form of Warrant Amendment Agreement.</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4.5</w:t>
            </w:r>
          </w:p>
        </w:tc>
        <w:tc>
          <w:tcPr>
            <w:tcW w:w="5540" w:type="dxa"/>
            <w:vAlign w:val="bottom"/>
            <w:gridSpan w:val="21"/>
          </w:tcPr>
          <w:p>
            <w:pPr>
              <w:spacing w:after="0"/>
              <w:rPr>
                <w:rFonts w:ascii="Times New Roman" w:cs="Times New Roman" w:eastAsia="Times New Roman" w:hAnsi="Times New Roman"/>
                <w:sz w:val="18"/>
                <w:szCs w:val="18"/>
                <w:color w:val="auto"/>
              </w:rPr>
            </w:pPr>
            <w:hyperlink r:id="rId219">
              <w:r>
                <w:rPr>
                  <w:rFonts w:ascii="Times New Roman" w:cs="Times New Roman" w:eastAsia="Times New Roman" w:hAnsi="Times New Roman"/>
                  <w:sz w:val="18"/>
                  <w:szCs w:val="18"/>
                  <w:color w:val="auto"/>
                </w:rPr>
                <w:t>Form of Underwriters’ Warrant Amendment Agreement.</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5"/>
              </w:rPr>
              <w:t>10.1+</w:t>
            </w:r>
          </w:p>
        </w:tc>
        <w:tc>
          <w:tcPr>
            <w:tcW w:w="54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20">
              <w:r>
                <w:rPr>
                  <w:rFonts w:ascii="Times New Roman" w:cs="Times New Roman" w:eastAsia="Times New Roman" w:hAnsi="Times New Roman"/>
                  <w:sz w:val="18"/>
                  <w:szCs w:val="18"/>
                  <w:color w:val="auto"/>
                </w:rPr>
                <w:t>Patent and Know-How License Agreement, dated March 29, 2020, by and</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20">
              <w:r>
                <w:rPr>
                  <w:rFonts w:ascii="Times New Roman" w:cs="Times New Roman" w:eastAsia="Times New Roman" w:hAnsi="Times New Roman"/>
                  <w:sz w:val="18"/>
                  <w:szCs w:val="18"/>
                  <w:color w:val="auto"/>
                </w:rPr>
                <w:t>between Plus Therapeutics, Inc. and NanoTx, Corp.</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5"/>
              </w:rPr>
              <w:t>10.2+</w:t>
            </w:r>
          </w:p>
        </w:tc>
        <w:tc>
          <w:tcPr>
            <w:tcW w:w="54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Patent &amp; Technology License Agreement, dated December 31, 2021,</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between Plus Therapeutics, Inc. and the University of Texas Health</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40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Science Center at San Antonio</w:t>
              </w:r>
              <w:r>
                <w:rPr>
                  <w:rFonts w:ascii="Times New Roman" w:cs="Times New Roman" w:eastAsia="Times New Roman" w:hAnsi="Times New Roman"/>
                  <w:sz w:val="18"/>
                  <w:szCs w:val="18"/>
                  <w:color w:val="000000"/>
                </w:rPr>
                <w:t>.</w:t>
              </w:r>
            </w:hyperlink>
          </w:p>
        </w:tc>
        <w:tc>
          <w:tcPr>
            <w:tcW w:w="1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95"/>
              </w:rPr>
              <w:t>10.3</w:t>
            </w:r>
          </w:p>
        </w:tc>
        <w:tc>
          <w:tcPr>
            <w:tcW w:w="54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Distribution Agreement, dated September 9, 2022, by and between Plus</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Therapeutics, Inc. and Canaccord Genuity LLC.</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95"/>
              </w:rPr>
              <w:t>10.4</w:t>
            </w:r>
          </w:p>
        </w:tc>
        <w:tc>
          <w:tcPr>
            <w:tcW w:w="54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23">
              <w:r>
                <w:rPr>
                  <w:rFonts w:ascii="Times New Roman" w:cs="Times New Roman" w:eastAsia="Times New Roman" w:hAnsi="Times New Roman"/>
                  <w:sz w:val="18"/>
                  <w:szCs w:val="18"/>
                  <w:color w:val="auto"/>
                </w:rPr>
                <w:t>Purchase Agreement between Lincoln Park Capital Fund, LLC and Plus</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23">
              <w:r>
                <w:rPr>
                  <w:rFonts w:ascii="Times New Roman" w:cs="Times New Roman" w:eastAsia="Times New Roman" w:hAnsi="Times New Roman"/>
                  <w:sz w:val="18"/>
                  <w:szCs w:val="18"/>
                  <w:color w:val="auto"/>
                </w:rPr>
                <w:t>Therapeutics, Inc., dated August 2, 2022.</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95"/>
              </w:rPr>
              <w:t>10.5</w:t>
            </w:r>
          </w:p>
        </w:tc>
        <w:tc>
          <w:tcPr>
            <w:tcW w:w="54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24">
              <w:r>
                <w:rPr>
                  <w:rFonts w:ascii="Times New Roman" w:cs="Times New Roman" w:eastAsia="Times New Roman" w:hAnsi="Times New Roman"/>
                  <w:sz w:val="18"/>
                  <w:szCs w:val="18"/>
                  <w:color w:val="auto"/>
                </w:rPr>
                <w:t>Registration  Rights  Agreement  between  Plus  Therapeutics,  Inc.  and</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24">
              <w:r>
                <w:rPr>
                  <w:rFonts w:ascii="Times New Roman" w:cs="Times New Roman" w:eastAsia="Times New Roman" w:hAnsi="Times New Roman"/>
                  <w:sz w:val="18"/>
                  <w:szCs w:val="18"/>
                  <w:color w:val="auto"/>
                </w:rPr>
                <w:t>Lincoln Park Capital Fund, LLC, dated August 2, 2022.</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0" w:type="dxa"/>
            <w:vAlign w:val="bottom"/>
            <w:gridSpan w:val="10"/>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95"/>
              </w:rPr>
              <w:t>10.6</w:t>
            </w:r>
          </w:p>
        </w:tc>
        <w:tc>
          <w:tcPr>
            <w:tcW w:w="53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225">
              <w:r>
                <w:rPr>
                  <w:rFonts w:ascii="Times New Roman" w:cs="Times New Roman" w:eastAsia="Times New Roman" w:hAnsi="Times New Roman"/>
                  <w:sz w:val="18"/>
                  <w:szCs w:val="18"/>
                  <w:color w:val="auto"/>
                </w:rPr>
                <w:t>Loan and Security Agreement, dated May 29, 2015, by and between Plus</w:t>
              </w:r>
            </w:hyperlink>
          </w:p>
        </w:tc>
        <w:tc>
          <w:tcPr>
            <w:tcW w:w="24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25">
              <w:r>
                <w:rPr>
                  <w:rFonts w:ascii="Times New Roman" w:cs="Times New Roman" w:eastAsia="Times New Roman" w:hAnsi="Times New Roman"/>
                  <w:sz w:val="18"/>
                  <w:szCs w:val="18"/>
                  <w:color w:val="auto"/>
                </w:rPr>
                <w:t>Therapeutics, Inc. and Oxford Finance, LLC.</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0" w:type="dxa"/>
            <w:vAlign w:val="bottom"/>
            <w:gridSpan w:val="10"/>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95"/>
              </w:rPr>
              <w:t>10.7</w:t>
            </w:r>
          </w:p>
        </w:tc>
        <w:tc>
          <w:tcPr>
            <w:tcW w:w="54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26">
              <w:r>
                <w:rPr>
                  <w:rFonts w:ascii="Times New Roman" w:cs="Times New Roman" w:eastAsia="Times New Roman" w:hAnsi="Times New Roman"/>
                  <w:sz w:val="18"/>
                  <w:szCs w:val="18"/>
                  <w:color w:val="auto"/>
                </w:rPr>
                <w:t>First Amendment to Loan and Security Agreement, dated September 20,</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540" w:type="dxa"/>
            <w:vAlign w:val="bottom"/>
            <w:gridSpan w:val="21"/>
          </w:tcPr>
          <w:p>
            <w:pPr>
              <w:spacing w:after="0" w:line="196" w:lineRule="exact"/>
              <w:rPr>
                <w:rFonts w:ascii="Times New Roman" w:cs="Times New Roman" w:eastAsia="Times New Roman" w:hAnsi="Times New Roman"/>
                <w:sz w:val="18"/>
                <w:szCs w:val="18"/>
                <w:color w:val="auto"/>
              </w:rPr>
            </w:pPr>
            <w:hyperlink r:id="rId226">
              <w:r>
                <w:rPr>
                  <w:rFonts w:ascii="Times New Roman" w:cs="Times New Roman" w:eastAsia="Times New Roman" w:hAnsi="Times New Roman"/>
                  <w:sz w:val="18"/>
                  <w:szCs w:val="18"/>
                  <w:color w:val="auto"/>
                </w:rPr>
                <w:t>2017, by and between Plus Therapeutics, Inc. and Oxford Finance, LLC.</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4"/>
                <w:szCs w:val="24"/>
                <w:color w:val="auto"/>
              </w:rPr>
            </w:pPr>
          </w:p>
        </w:tc>
        <w:tc>
          <w:tcPr>
            <w:tcW w:w="4820" w:type="dxa"/>
            <w:vAlign w:val="bottom"/>
            <w:tcBorders>
              <w:top w:val="single" w:sz="8" w:color="0000EE"/>
            </w:tcBorders>
            <w:gridSpan w:val="16"/>
          </w:tcPr>
          <w:p>
            <w:pPr>
              <w:jc w:val="center"/>
              <w:ind w:left="4270"/>
              <w:spacing w:after="0"/>
              <w:rPr>
                <w:sz w:val="20"/>
                <w:szCs w:val="20"/>
                <w:color w:val="auto"/>
              </w:rPr>
            </w:pPr>
            <w:r>
              <w:rPr>
                <w:rFonts w:ascii="Times New Roman" w:cs="Times New Roman" w:eastAsia="Times New Roman" w:hAnsi="Times New Roman"/>
                <w:sz w:val="18"/>
                <w:szCs w:val="18"/>
                <w:color w:val="auto"/>
                <w:w w:val="99"/>
              </w:rPr>
              <w:t>86</w:t>
            </w:r>
          </w:p>
        </w:tc>
        <w:tc>
          <w:tcPr>
            <w:tcW w:w="3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16"/>
                <w:szCs w:val="16"/>
                <w:color w:val="auto"/>
              </w:rPr>
            </w:pPr>
          </w:p>
        </w:tc>
        <w:tc>
          <w:tcPr>
            <w:tcW w:w="2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240"/>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265"/>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03/11/2016</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000" w:type="dxa"/>
            <w:vAlign w:val="bottom"/>
          </w:tcPr>
          <w:p>
            <w:pPr>
              <w:spacing w:after="0"/>
              <w:rPr>
                <w:sz w:val="20"/>
                <w:szCs w:val="20"/>
                <w:color w:val="auto"/>
              </w:rPr>
            </w:pPr>
          </w:p>
        </w:tc>
      </w:tr>
      <w:tr>
        <w:trPr>
          <w:trHeight w:val="252"/>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05/10/2016</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05/23/2018</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07/29/2019</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08/06/2019</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11/28/2017</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07/25/2018</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09/21/2021</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3.2</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03/30/2020</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03/09/2018</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4.33</w:t>
            </w:r>
          </w:p>
        </w:tc>
        <w:tc>
          <w:tcPr>
            <w:tcW w:w="1000" w:type="dxa"/>
            <w:vAlign w:val="bottom"/>
          </w:tcPr>
          <w:p>
            <w:pPr>
              <w:spacing w:after="0"/>
              <w:rPr>
                <w:sz w:val="20"/>
                <w:szCs w:val="20"/>
                <w:color w:val="auto"/>
              </w:rPr>
            </w:pPr>
          </w:p>
        </w:tc>
      </w:tr>
      <w:tr>
        <w:trPr>
          <w:trHeight w:val="351"/>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S-1/A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333-229485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09/16/2019</w:t>
            </w:r>
          </w:p>
        </w:tc>
      </w:tr>
      <w:tr>
        <w:trPr>
          <w:trHeight w:val="324"/>
        </w:trPr>
        <w:tc>
          <w:tcPr>
            <w:tcW w:w="5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4.37</w:t>
            </w:r>
          </w:p>
        </w:tc>
        <w:tc>
          <w:tcPr>
            <w:tcW w:w="1000" w:type="dxa"/>
            <w:vAlign w:val="bottom"/>
          </w:tcPr>
          <w:p>
            <w:pPr>
              <w:spacing w:after="0"/>
              <w:rPr>
                <w:sz w:val="24"/>
                <w:szCs w:val="24"/>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04/23/2020</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10/05/2020</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011-34375 Exhibit</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3/30/2020</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spacing w:after="0"/>
              <w:rPr>
                <w:sz w:val="20"/>
                <w:szCs w:val="20"/>
                <w:color w:val="auto"/>
              </w:rPr>
            </w:pPr>
          </w:p>
        </w:tc>
      </w:tr>
      <w:tr>
        <w:trPr>
          <w:trHeight w:val="351"/>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011-34375</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2/24/2022</w:t>
            </w:r>
          </w:p>
        </w:tc>
      </w:tr>
      <w:tr>
        <w:trPr>
          <w:trHeight w:val="324"/>
        </w:trPr>
        <w:tc>
          <w:tcPr>
            <w:tcW w:w="5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Pr>
          <w:p>
            <w:pPr>
              <w:spacing w:after="0"/>
              <w:rPr>
                <w:sz w:val="24"/>
                <w:szCs w:val="24"/>
                <w:color w:val="auto"/>
              </w:rPr>
            </w:pPr>
          </w:p>
        </w:tc>
      </w:tr>
      <w:tr>
        <w:trPr>
          <w:trHeight w:val="459"/>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09/09/2022</w:t>
            </w:r>
          </w:p>
        </w:tc>
      </w:tr>
      <w:tr>
        <w:trPr>
          <w:trHeight w:val="324"/>
        </w:trPr>
        <w:tc>
          <w:tcPr>
            <w:tcW w:w="5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1.1</w:t>
            </w:r>
          </w:p>
        </w:tc>
        <w:tc>
          <w:tcPr>
            <w:tcW w:w="1000" w:type="dxa"/>
            <w:vAlign w:val="bottom"/>
          </w:tcPr>
          <w:p>
            <w:pPr>
              <w:spacing w:after="0"/>
              <w:rPr>
                <w:sz w:val="24"/>
                <w:szCs w:val="24"/>
                <w:color w:val="auto"/>
              </w:rPr>
            </w:pPr>
          </w:p>
        </w:tc>
      </w:tr>
      <w:tr>
        <w:trPr>
          <w:trHeight w:val="351"/>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08/08/2022</w:t>
            </w:r>
          </w:p>
        </w:tc>
      </w:tr>
      <w:tr>
        <w:trPr>
          <w:trHeight w:val="324"/>
        </w:trPr>
        <w:tc>
          <w:tcPr>
            <w:tcW w:w="5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Pr>
          <w:p>
            <w:pPr>
              <w:spacing w:after="0"/>
              <w:rPr>
                <w:sz w:val="24"/>
                <w:szCs w:val="24"/>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08/08/2022</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08/10/2015</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10.4</w:t>
            </w:r>
          </w:p>
        </w:tc>
        <w:tc>
          <w:tcPr>
            <w:tcW w:w="1000" w:type="dxa"/>
            <w:vAlign w:val="bottom"/>
          </w:tcPr>
          <w:p>
            <w:pPr>
              <w:spacing w:after="0"/>
              <w:rPr>
                <w:sz w:val="20"/>
                <w:szCs w:val="20"/>
                <w:color w:val="auto"/>
              </w:rPr>
            </w:pPr>
          </w:p>
        </w:tc>
      </w:tr>
      <w:tr>
        <w:trPr>
          <w:trHeight w:val="333"/>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S-1/A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333-219967</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10/03/2017</w:t>
            </w:r>
          </w:p>
        </w:tc>
      </w:tr>
      <w:tr>
        <w:trPr>
          <w:trHeight w:val="234"/>
        </w:trPr>
        <w:tc>
          <w:tcPr>
            <w:tcW w:w="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10.45</w:t>
            </w:r>
          </w:p>
        </w:tc>
        <w:tc>
          <w:tcPr>
            <w:tcW w:w="1000" w:type="dxa"/>
            <w:vAlign w:val="bottom"/>
          </w:tcPr>
          <w:p>
            <w:pPr>
              <w:spacing w:after="0"/>
              <w:rPr>
                <w:sz w:val="20"/>
                <w:szCs w:val="20"/>
                <w:color w:val="auto"/>
              </w:rPr>
            </w:pPr>
          </w:p>
        </w:tc>
      </w:tr>
    </w:tbl>
    <w:p>
      <w:pPr>
        <w:sectPr>
          <w:pgSz w:w="11900" w:h="16838" w:orient="portrait"/>
          <w:cols w:equalWidth="0" w:num="2">
            <w:col w:w="7320" w:space="440"/>
            <w:col w:w="3200"/>
          </w:cols>
          <w:pgMar w:left="340" w:top="333" w:right="59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0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28">
              <w:r>
                <w:rPr>
                  <w:rFonts w:ascii="Times New Roman" w:cs="Times New Roman" w:eastAsia="Times New Roman" w:hAnsi="Times New Roman"/>
                  <w:sz w:val="18"/>
                  <w:szCs w:val="18"/>
                  <w:color w:val="auto"/>
                </w:rPr>
                <w:t>Second Amendment to Loan and Security Agreement, dated June 19,</w:t>
              </w:r>
            </w:hyperlink>
          </w:p>
        </w:tc>
        <w:tc>
          <w:tcPr>
            <w:tcW w:w="40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28">
              <w:r>
                <w:rPr>
                  <w:rFonts w:ascii="Times New Roman" w:cs="Times New Roman" w:eastAsia="Times New Roman" w:hAnsi="Times New Roman"/>
                  <w:sz w:val="18"/>
                  <w:szCs w:val="18"/>
                  <w:color w:val="auto"/>
                </w:rPr>
                <w:t>2018, by and between Plus Therapeutics, Inc. and Oxford Finance, LLC.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29">
              <w:r>
                <w:rPr>
                  <w:rFonts w:ascii="Times New Roman" w:cs="Times New Roman" w:eastAsia="Times New Roman" w:hAnsi="Times New Roman"/>
                  <w:sz w:val="18"/>
                  <w:szCs w:val="18"/>
                  <w:color w:val="auto"/>
                </w:rPr>
                <w:t>Third Amendment to Loan and Security Agreement, dated August 31,</w:t>
              </w:r>
            </w:hyperlink>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29">
              <w:r>
                <w:rPr>
                  <w:rFonts w:ascii="Times New Roman" w:cs="Times New Roman" w:eastAsia="Times New Roman" w:hAnsi="Times New Roman"/>
                  <w:sz w:val="18"/>
                  <w:szCs w:val="18"/>
                  <w:color w:val="auto"/>
                </w:rPr>
                <w:t>2018, by and between Plus Therapeutics, Inc. and Oxford Finance, LLC.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4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230">
              <w:r>
                <w:rPr>
                  <w:rFonts w:ascii="Times New Roman" w:cs="Times New Roman" w:eastAsia="Times New Roman" w:hAnsi="Times New Roman"/>
                  <w:sz w:val="18"/>
                  <w:szCs w:val="18"/>
                  <w:color w:val="auto"/>
                </w:rPr>
                <w:t>Fourth Amendment to Loan and Security Agreement, dated December 31,</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30">
              <w:r>
                <w:rPr>
                  <w:rFonts w:ascii="Times New Roman" w:cs="Times New Roman" w:eastAsia="Times New Roman" w:hAnsi="Times New Roman"/>
                  <w:sz w:val="18"/>
                  <w:szCs w:val="18"/>
                  <w:color w:val="auto"/>
                </w:rPr>
                <w:t>2018, by and between Plus Therapeutics, Inc. and Oxford Finance, LLC.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31">
              <w:r>
                <w:rPr>
                  <w:rFonts w:ascii="Times New Roman" w:cs="Times New Roman" w:eastAsia="Times New Roman" w:hAnsi="Times New Roman"/>
                  <w:sz w:val="18"/>
                  <w:szCs w:val="18"/>
                  <w:color w:val="auto"/>
                </w:rPr>
                <w:t>Fifth Amendment to Loan and Security Agreement, dated February 13,</w:t>
              </w:r>
            </w:hyperlink>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31">
              <w:r>
                <w:rPr>
                  <w:rFonts w:ascii="Times New Roman" w:cs="Times New Roman" w:eastAsia="Times New Roman" w:hAnsi="Times New Roman"/>
                  <w:sz w:val="18"/>
                  <w:szCs w:val="18"/>
                  <w:color w:val="auto"/>
                </w:rPr>
                <w:t>2019, by and between Plus Therapeutics, Inc. and Oxford Finance, LLC.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38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232">
              <w:r>
                <w:rPr>
                  <w:rFonts w:ascii="Times New Roman" w:cs="Times New Roman" w:eastAsia="Times New Roman" w:hAnsi="Times New Roman"/>
                  <w:sz w:val="18"/>
                  <w:szCs w:val="18"/>
                  <w:color w:val="auto"/>
                </w:rPr>
                <w:t>Sixth Amendment to Loan and Security Agreement, dated March 4, 2019,</w:t>
              </w:r>
            </w:hyperlink>
          </w:p>
        </w:tc>
        <w:tc>
          <w:tcPr>
            <w:tcW w:w="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232">
              <w:r>
                <w:rPr>
                  <w:rFonts w:ascii="Times New Roman" w:cs="Times New Roman" w:eastAsia="Times New Roman" w:hAnsi="Times New Roman"/>
                  <w:sz w:val="18"/>
                  <w:szCs w:val="18"/>
                  <w:color w:val="auto"/>
                  <w:w w:val="99"/>
                </w:rPr>
                <w:t>by and between Plus Therapeutics, Inc. and Oxford Finance, LLC.</w:t>
              </w:r>
            </w:hyperlink>
          </w:p>
        </w:tc>
        <w:tc>
          <w:tcPr>
            <w:tcW w:w="640" w:type="dxa"/>
            <w:vAlign w:val="bottom"/>
            <w:gridSpan w:val="10"/>
          </w:tcPr>
          <w:p>
            <w:pPr>
              <w:spacing w:after="0"/>
              <w:rPr>
                <w:sz w:val="17"/>
                <w:szCs w:val="17"/>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1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233">
              <w:r>
                <w:rPr>
                  <w:rFonts w:ascii="Times New Roman" w:cs="Times New Roman" w:eastAsia="Times New Roman" w:hAnsi="Times New Roman"/>
                  <w:sz w:val="18"/>
                  <w:szCs w:val="18"/>
                  <w:color w:val="auto"/>
                </w:rPr>
                <w:t>Seventh Amendment to Loan and Security Agreement, dated April 24,</w:t>
              </w:r>
            </w:hyperlink>
          </w:p>
        </w:tc>
        <w:tc>
          <w:tcPr>
            <w:tcW w:w="24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33">
              <w:r>
                <w:rPr>
                  <w:rFonts w:ascii="Times New Roman" w:cs="Times New Roman" w:eastAsia="Times New Roman" w:hAnsi="Times New Roman"/>
                  <w:sz w:val="18"/>
                  <w:szCs w:val="18"/>
                  <w:color w:val="auto"/>
                </w:rPr>
                <w:t>2019, by and between Plus Therapeutics, Inc. and Oxford Finance, LLC.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32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234">
              <w:r>
                <w:rPr>
                  <w:rFonts w:ascii="Times New Roman" w:cs="Times New Roman" w:eastAsia="Times New Roman" w:hAnsi="Times New Roman"/>
                  <w:sz w:val="18"/>
                  <w:szCs w:val="18"/>
                  <w:color w:val="auto"/>
                </w:rPr>
                <w:t>Eight Amendment to Loan and Security Agreement, dated July 15, 2019,</w:t>
              </w:r>
            </w:hyperlink>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34">
              <w:r>
                <w:rPr>
                  <w:rFonts w:ascii="Times New Roman" w:cs="Times New Roman" w:eastAsia="Times New Roman" w:hAnsi="Times New Roman"/>
                  <w:sz w:val="18"/>
                  <w:szCs w:val="18"/>
                  <w:color w:val="auto"/>
                </w:rPr>
                <w:t>by and between Plus Therapeutics, Inc. and Oxford Finance, LLC.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235">
              <w:r>
                <w:rPr>
                  <w:rFonts w:ascii="Times New Roman" w:cs="Times New Roman" w:eastAsia="Times New Roman" w:hAnsi="Times New Roman"/>
                  <w:sz w:val="18"/>
                  <w:szCs w:val="18"/>
                  <w:color w:val="auto"/>
                  <w:w w:val="99"/>
                </w:rPr>
                <w:t>Ninth Amendment to Loan and Security Agreement, dated March 29, 2020</w:t>
              </w:r>
            </w:hyperlink>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35">
              <w:r>
                <w:rPr>
                  <w:rFonts w:ascii="Times New Roman" w:cs="Times New Roman" w:eastAsia="Times New Roman" w:hAnsi="Times New Roman"/>
                  <w:sz w:val="18"/>
                  <w:szCs w:val="18"/>
                  <w:color w:val="auto"/>
                </w:rPr>
                <w:t>by and between Plus Therapeutics, Inc. and Oxford Finance, LLC.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36">
              <w:r>
                <w:rPr>
                  <w:rFonts w:ascii="Times New Roman" w:cs="Times New Roman" w:eastAsia="Times New Roman" w:hAnsi="Times New Roman"/>
                  <w:sz w:val="18"/>
                  <w:szCs w:val="18"/>
                  <w:color w:val="auto"/>
                </w:rPr>
                <w:t>Amended and Restated Employment Agreement between Marc Hedrick</w:t>
              </w:r>
            </w:hyperlink>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36">
              <w:r>
                <w:rPr>
                  <w:rFonts w:ascii="Times New Roman" w:cs="Times New Roman" w:eastAsia="Times New Roman" w:hAnsi="Times New Roman"/>
                  <w:sz w:val="18"/>
                  <w:szCs w:val="18"/>
                  <w:color w:val="auto"/>
                </w:rPr>
                <w:t>and Plus Therapeutics, Inc.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37">
              <w:r>
                <w:rPr>
                  <w:rFonts w:ascii="Times New Roman" w:cs="Times New Roman" w:eastAsia="Times New Roman" w:hAnsi="Times New Roman"/>
                  <w:sz w:val="18"/>
                  <w:szCs w:val="18"/>
                  <w:color w:val="auto"/>
                </w:rPr>
                <w:t>Amended and Restated Employment Agreement between Andrew Sims</w:t>
              </w:r>
            </w:hyperlink>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37">
              <w:r>
                <w:rPr>
                  <w:rFonts w:ascii="Times New Roman" w:cs="Times New Roman" w:eastAsia="Times New Roman" w:hAnsi="Times New Roman"/>
                  <w:sz w:val="18"/>
                  <w:szCs w:val="18"/>
                  <w:color w:val="auto"/>
                </w:rPr>
                <w:t>and Plus Therapeutics, Inc.</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38">
              <w:r>
                <w:rPr>
                  <w:rFonts w:ascii="Times New Roman" w:cs="Times New Roman" w:eastAsia="Times New Roman" w:hAnsi="Times New Roman"/>
                  <w:sz w:val="18"/>
                  <w:szCs w:val="18"/>
                  <w:color w:val="auto"/>
                </w:rPr>
                <w:t>Employment Agreement, dated December 8, 2021, by and between Plus</w:t>
              </w:r>
            </w:hyperlink>
          </w:p>
        </w:tc>
      </w:tr>
      <w:tr>
        <w:trPr>
          <w:trHeight w:val="196"/>
        </w:trPr>
        <w:tc>
          <w:tcPr>
            <w:tcW w:w="1020" w:type="dxa"/>
            <w:vAlign w:val="bottom"/>
          </w:tcPr>
          <w:p>
            <w:pPr>
              <w:spacing w:after="0"/>
              <w:rPr>
                <w:sz w:val="17"/>
                <w:szCs w:val="17"/>
                <w:color w:val="auto"/>
              </w:rPr>
            </w:pPr>
          </w:p>
        </w:tc>
        <w:tc>
          <w:tcPr>
            <w:tcW w:w="2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238">
              <w:r>
                <w:rPr>
                  <w:rFonts w:ascii="Times New Roman" w:cs="Times New Roman" w:eastAsia="Times New Roman" w:hAnsi="Times New Roman"/>
                  <w:sz w:val="18"/>
                  <w:szCs w:val="18"/>
                  <w:color w:val="auto"/>
                  <w:w w:val="99"/>
                </w:rPr>
                <w:t>Therapeutics, Inc. and Normal LaFrance</w:t>
              </w:r>
            </w:hyperlink>
          </w:p>
        </w:tc>
        <w:tc>
          <w:tcPr>
            <w:tcW w:w="2500" w:type="dxa"/>
            <w:vAlign w:val="bottom"/>
            <w:gridSpan w:val="13"/>
          </w:tcPr>
          <w:p>
            <w:pPr>
              <w:spacing w:after="0"/>
              <w:rPr>
                <w:sz w:val="17"/>
                <w:szCs w:val="17"/>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420" w:type="dxa"/>
            <w:vAlign w:val="bottom"/>
            <w:gridSpan w:val="24"/>
          </w:tcPr>
          <w:p>
            <w:pPr>
              <w:spacing w:after="0"/>
              <w:rPr>
                <w:rFonts w:ascii="Times New Roman" w:cs="Times New Roman" w:eastAsia="Times New Roman" w:hAnsi="Times New Roman"/>
                <w:sz w:val="18"/>
                <w:szCs w:val="18"/>
                <w:color w:val="auto"/>
              </w:rPr>
            </w:pPr>
            <w:hyperlink r:id="rId239">
              <w:r>
                <w:rPr>
                  <w:rFonts w:ascii="Times New Roman" w:cs="Times New Roman" w:eastAsia="Times New Roman" w:hAnsi="Times New Roman"/>
                  <w:sz w:val="18"/>
                  <w:szCs w:val="18"/>
                  <w:color w:val="auto"/>
                </w:rPr>
                <w:t>2015 New Employee Incentive Plan.</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40">
              <w:r>
                <w:rPr>
                  <w:rFonts w:ascii="Times New Roman" w:cs="Times New Roman" w:eastAsia="Times New Roman" w:hAnsi="Times New Roman"/>
                  <w:sz w:val="18"/>
                  <w:szCs w:val="18"/>
                  <w:color w:val="auto"/>
                </w:rPr>
                <w:t>First Amendment to the Plus Therapeutics, Inc. 2015 New Employee</w:t>
              </w:r>
            </w:hyperlink>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40">
              <w:r>
                <w:rPr>
                  <w:rFonts w:ascii="Times New Roman" w:cs="Times New Roman" w:eastAsia="Times New Roman" w:hAnsi="Times New Roman"/>
                  <w:sz w:val="18"/>
                  <w:szCs w:val="18"/>
                  <w:color w:val="auto"/>
                </w:rPr>
                <w:t>Incentive Plan, dated Jan. 26, 2017.</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420" w:type="dxa"/>
            <w:vAlign w:val="bottom"/>
            <w:gridSpan w:val="24"/>
          </w:tcPr>
          <w:p>
            <w:pPr>
              <w:spacing w:after="0"/>
              <w:rPr>
                <w:rFonts w:ascii="Times New Roman" w:cs="Times New Roman" w:eastAsia="Times New Roman" w:hAnsi="Times New Roman"/>
                <w:sz w:val="18"/>
                <w:szCs w:val="18"/>
                <w:color w:val="auto"/>
              </w:rPr>
            </w:pPr>
            <w:hyperlink r:id="rId241">
              <w:r>
                <w:rPr>
                  <w:rFonts w:ascii="Times New Roman" w:cs="Times New Roman" w:eastAsia="Times New Roman" w:hAnsi="Times New Roman"/>
                  <w:sz w:val="18"/>
                  <w:szCs w:val="18"/>
                  <w:color w:val="auto"/>
                </w:rPr>
                <w:t>Second Amendment to the Plus Therapeutics, Inc. 2015 New Employee</w:t>
              </w:r>
            </w:hyperlink>
          </w:p>
        </w:tc>
      </w:tr>
      <w:tr>
        <w:trPr>
          <w:trHeight w:val="196"/>
        </w:trPr>
        <w:tc>
          <w:tcPr>
            <w:tcW w:w="10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241">
              <w:r>
                <w:rPr>
                  <w:rFonts w:ascii="Times New Roman" w:cs="Times New Roman" w:eastAsia="Times New Roman" w:hAnsi="Times New Roman"/>
                  <w:sz w:val="18"/>
                  <w:szCs w:val="18"/>
                  <w:color w:val="auto"/>
                  <w:w w:val="99"/>
                </w:rPr>
                <w:t>Incentive Plan, dated February 6, 2020.</w:t>
              </w:r>
            </w:hyperlink>
          </w:p>
        </w:tc>
        <w:tc>
          <w:tcPr>
            <w:tcW w:w="256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3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42">
              <w:r>
                <w:rPr>
                  <w:rFonts w:ascii="Times New Roman" w:cs="Times New Roman" w:eastAsia="Times New Roman" w:hAnsi="Times New Roman"/>
                  <w:sz w:val="18"/>
                  <w:szCs w:val="18"/>
                  <w:color w:val="auto"/>
                </w:rPr>
                <w:t>Form of Notice of Grant of Stock Option under the 2015 New Employee</w:t>
              </w:r>
            </w:hyperlink>
          </w:p>
        </w:tc>
        <w:tc>
          <w:tcPr>
            <w:tcW w:w="12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42">
              <w:r>
                <w:rPr>
                  <w:rFonts w:ascii="Times New Roman" w:cs="Times New Roman" w:eastAsia="Times New Roman" w:hAnsi="Times New Roman"/>
                  <w:sz w:val="18"/>
                  <w:szCs w:val="18"/>
                  <w:color w:val="auto"/>
                </w:rPr>
                <w:t>Incentive Plan.</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4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243">
              <w:r>
                <w:rPr>
                  <w:rFonts w:ascii="Times New Roman" w:cs="Times New Roman" w:eastAsia="Times New Roman" w:hAnsi="Times New Roman"/>
                  <w:sz w:val="18"/>
                  <w:szCs w:val="18"/>
                  <w:color w:val="auto"/>
                  <w:w w:val="99"/>
                </w:rPr>
                <w:t>Form of Stock Option Agreement under the 2015 New Employee Incentive</w:t>
              </w:r>
            </w:hyperlink>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43">
              <w:r>
                <w:rPr>
                  <w:rFonts w:ascii="Times New Roman" w:cs="Times New Roman" w:eastAsia="Times New Roman" w:hAnsi="Times New Roman"/>
                  <w:sz w:val="18"/>
                  <w:szCs w:val="18"/>
                  <w:color w:val="auto"/>
                </w:rPr>
                <w:t>Plan.</w:t>
              </w:r>
            </w:hyperlink>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86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244">
              <w:r>
                <w:rPr>
                  <w:rFonts w:ascii="Times New Roman" w:cs="Times New Roman" w:eastAsia="Times New Roman" w:hAnsi="Times New Roman"/>
                  <w:sz w:val="18"/>
                  <w:szCs w:val="18"/>
                  <w:color w:val="auto"/>
                </w:rPr>
                <w:t>Plus Therapeutics, Inc. 2020 Stock Incentive Plan, as amended and</w:t>
              </w:r>
            </w:hyperlink>
          </w:p>
        </w:tc>
        <w:tc>
          <w:tcPr>
            <w:tcW w:w="56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auto"/>
              </w:rPr>
            </w:pPr>
            <w:hyperlink r:id="rId244">
              <w:r>
                <w:rPr>
                  <w:rFonts w:ascii="Times New Roman" w:cs="Times New Roman" w:eastAsia="Times New Roman" w:hAnsi="Times New Roman"/>
                  <w:sz w:val="18"/>
                  <w:szCs w:val="18"/>
                  <w:color w:val="auto"/>
                </w:rPr>
                <w:t>restated.</w:t>
              </w:r>
            </w:hyperlink>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0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Notice of Grant and Stock Option Agreement under the 2020</w:t>
              </w:r>
            </w:hyperlink>
          </w:p>
        </w:tc>
        <w:tc>
          <w:tcPr>
            <w:tcW w:w="34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Stock Incentive Plan.</w:t>
              </w:r>
            </w:hyperlink>
          </w:p>
        </w:tc>
      </w:tr>
      <w:tr>
        <w:trPr>
          <w:trHeight w:val="20"/>
        </w:trPr>
        <w:tc>
          <w:tcPr>
            <w:tcW w:w="1020" w:type="dxa"/>
            <w:vAlign w:val="bottom"/>
          </w:tcPr>
          <w:p>
            <w:pPr>
              <w:spacing w:after="0" w:line="20" w:lineRule="exact"/>
              <w:rPr>
                <w:sz w:val="1"/>
                <w:szCs w:val="1"/>
                <w:color w:val="auto"/>
              </w:rPr>
            </w:pPr>
          </w:p>
        </w:tc>
        <w:tc>
          <w:tcPr>
            <w:tcW w:w="158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52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Master Services Agreement between Piramal Pharma Solutions, Inc. and</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gridSpan w:val="2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Plus Therapeutics, Inc.</w:t>
              </w:r>
            </w:hyperlink>
          </w:p>
        </w:tc>
      </w:tr>
      <w:tr>
        <w:trPr>
          <w:trHeight w:val="20"/>
        </w:trPr>
        <w:tc>
          <w:tcPr>
            <w:tcW w:w="1020" w:type="dxa"/>
            <w:vAlign w:val="bottom"/>
          </w:tcPr>
          <w:p>
            <w:pPr>
              <w:spacing w:after="0" w:line="20" w:lineRule="exact"/>
              <w:rPr>
                <w:sz w:val="1"/>
                <w:szCs w:val="1"/>
                <w:color w:val="auto"/>
              </w:rPr>
            </w:pPr>
          </w:p>
        </w:tc>
        <w:tc>
          <w:tcPr>
            <w:tcW w:w="1660" w:type="dxa"/>
            <w:vAlign w:val="bottom"/>
            <w:tcBorders>
              <w:right w:val="single" w:sz="8" w:color="0000EE"/>
            </w:tcBorders>
            <w:gridSpan w:val="5"/>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420" w:type="dxa"/>
            <w:vAlign w:val="bottom"/>
            <w:gridSpan w:val="24"/>
          </w:tcPr>
          <w:p>
            <w:pPr>
              <w:spacing w:after="0"/>
              <w:rPr>
                <w:rFonts w:ascii="Times New Roman" w:cs="Times New Roman" w:eastAsia="Times New Roman" w:hAnsi="Times New Roman"/>
                <w:sz w:val="18"/>
                <w:szCs w:val="18"/>
                <w:color w:val="auto"/>
              </w:rPr>
            </w:pPr>
            <w:hyperlink r:id="rId247">
              <w:r>
                <w:rPr>
                  <w:rFonts w:ascii="Times New Roman" w:cs="Times New Roman" w:eastAsia="Times New Roman" w:hAnsi="Times New Roman"/>
                  <w:sz w:val="18"/>
                  <w:szCs w:val="18"/>
                  <w:color w:val="auto"/>
                </w:rPr>
                <w:t>Form of Indemnification Agreement.</w:t>
              </w:r>
            </w:hyperlink>
          </w:p>
        </w:tc>
      </w:tr>
      <w:tr>
        <w:trPr>
          <w:trHeight w:val="20"/>
        </w:trPr>
        <w:tc>
          <w:tcPr>
            <w:tcW w:w="1020" w:type="dxa"/>
            <w:vAlign w:val="bottom"/>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r>
      <w:tr>
        <w:trPr>
          <w:trHeight w:val="54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420" w:type="dxa"/>
            <w:vAlign w:val="bottom"/>
            <w:gridSpan w:val="24"/>
          </w:tcPr>
          <w:p>
            <w:pPr>
              <w:spacing w:after="0"/>
              <w:rPr>
                <w:rFonts w:ascii="Times New Roman" w:cs="Times New Roman" w:eastAsia="Times New Roman" w:hAnsi="Times New Roman"/>
                <w:sz w:val="18"/>
                <w:szCs w:val="18"/>
                <w:color w:val="auto"/>
              </w:rPr>
            </w:pPr>
            <w:hyperlink r:id="rId248">
              <w:r>
                <w:rPr>
                  <w:rFonts w:ascii="Times New Roman" w:cs="Times New Roman" w:eastAsia="Times New Roman" w:hAnsi="Times New Roman"/>
                  <w:sz w:val="18"/>
                  <w:szCs w:val="18"/>
                  <w:color w:val="auto"/>
                </w:rPr>
                <w:t>Form of Agreement for Acceleration and/or Severance.</w:t>
              </w:r>
            </w:hyperlink>
          </w:p>
        </w:tc>
      </w:tr>
      <w:tr>
        <w:trPr>
          <w:trHeight w:val="682"/>
        </w:trPr>
        <w:tc>
          <w:tcPr>
            <w:tcW w:w="1020" w:type="dxa"/>
            <w:vAlign w:val="bottom"/>
          </w:tcPr>
          <w:p>
            <w:pPr>
              <w:spacing w:after="0"/>
              <w:rPr>
                <w:sz w:val="24"/>
                <w:szCs w:val="24"/>
                <w:color w:val="auto"/>
              </w:rPr>
            </w:pPr>
          </w:p>
        </w:tc>
        <w:tc>
          <w:tcPr>
            <w:tcW w:w="3940" w:type="dxa"/>
            <w:vAlign w:val="bottom"/>
            <w:tcBorders>
              <w:top w:val="single" w:sz="8" w:color="0000EE"/>
            </w:tcBorders>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08/14/2018</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333-227485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09/21/2018</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10.51</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333-229485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02/01/2019</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10.52</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03/29/2019</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10.55</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03/29/2019</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10.56</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05/14/2019</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08/15/2019</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011-34375 Exhibit</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3/30/2020</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5/16/2020</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10.6</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5/16/2020</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10.7</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09/13/2021</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01/05/2016</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03/24/2017</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10.42</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001-34375 Exhibit</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03/30/2020</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S-8</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333-210211</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03/15/2016</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99.5</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S-8</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333-210211</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03/15/2016</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99.4</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05/17/2021</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02/24/2022</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10.26</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001-334275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02/22/2021</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10.24</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02/06/2020</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Pr>
          <w:p>
            <w:pPr>
              <w:spacing w:after="0"/>
              <w:rPr>
                <w:sz w:val="20"/>
                <w:szCs w:val="20"/>
                <w:color w:val="auto"/>
              </w:rPr>
            </w:pPr>
          </w:p>
        </w:tc>
      </w:tr>
      <w:tr>
        <w:trPr>
          <w:trHeight w:val="333"/>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03/11/2016</w:t>
            </w:r>
          </w:p>
        </w:tc>
      </w:tr>
      <w:tr>
        <w:trPr>
          <w:trHeight w:val="234"/>
        </w:trPr>
        <w:tc>
          <w:tcPr>
            <w:tcW w:w="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10.113</w:t>
            </w:r>
          </w:p>
        </w:tc>
        <w:tc>
          <w:tcPr>
            <w:tcW w:w="1000" w:type="dxa"/>
            <w:vAlign w:val="bottom"/>
          </w:tcPr>
          <w:p>
            <w:pPr>
              <w:spacing w:after="0"/>
              <w:rPr>
                <w:sz w:val="20"/>
                <w:szCs w:val="20"/>
                <w:color w:val="auto"/>
              </w:rPr>
            </w:pPr>
          </w:p>
        </w:tc>
      </w:tr>
    </w:tbl>
    <w:p>
      <w:pPr>
        <w:sectPr>
          <w:pgSz w:w="11900" w:h="16838" w:orient="portrait"/>
          <w:cols w:equalWidth="0" w:num="2">
            <w:col w:w="7080" w:space="720"/>
            <w:col w:w="3160"/>
          </w:cols>
          <w:pgMar w:left="340" w:top="338" w:right="599" w:bottom="1440" w:gutter="0" w:footer="0" w:header="0"/>
        </w:sectPr>
      </w:pPr>
    </w:p>
    <w:bookmarkStart w:id="87" w:name="page88"/>
    <w:bookmarkEnd w:id="87"/>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420" w:type="dxa"/>
            <w:vAlign w:val="bottom"/>
            <w:gridSpan w:val="10"/>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Medidata Services Agreement and Statement of Work</w:t>
              </w:r>
            </w:hyperlink>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9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Cancer Research Grant Contract, effective August 31, 2022, by and</w:t>
              </w:r>
            </w:hyperlink>
          </w:p>
        </w:tc>
        <w:tc>
          <w:tcPr>
            <w:tcW w:w="5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2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between the Cancer Prevention and Research Institute of Texas and Plus</w:t>
              </w:r>
            </w:hyperlink>
          </w:p>
        </w:tc>
        <w:tc>
          <w:tcPr>
            <w:tcW w:w="1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420" w:type="dxa"/>
            <w:vAlign w:val="bottom"/>
            <w:gridSpan w:val="10"/>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Therapeutics, Inc</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BDO USA, LLP, Independent Registered Public Accounting</w:t>
            </w:r>
          </w:p>
        </w:tc>
      </w:tr>
      <w:tr>
        <w:trPr>
          <w:trHeight w:val="196"/>
        </w:trPr>
        <w:tc>
          <w:tcPr>
            <w:tcW w:w="1020" w:type="dxa"/>
            <w:vAlign w:val="bottom"/>
          </w:tcPr>
          <w:p>
            <w:pPr>
              <w:spacing w:after="0"/>
              <w:rPr>
                <w:sz w:val="17"/>
                <w:szCs w:val="17"/>
                <w:color w:val="auto"/>
              </w:rPr>
            </w:pPr>
          </w:p>
        </w:tc>
        <w:tc>
          <w:tcPr>
            <w:tcW w:w="5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r>
      <w:tr>
        <w:trPr>
          <w:trHeight w:val="20"/>
        </w:trPr>
        <w:tc>
          <w:tcPr>
            <w:tcW w:w="10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Power of Attorney (see signature page).</w:t>
            </w: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r>
      <w:tr>
        <w:trPr>
          <w:trHeight w:val="196"/>
        </w:trPr>
        <w:tc>
          <w:tcPr>
            <w:tcW w:w="1020" w:type="dxa"/>
            <w:vAlign w:val="bottom"/>
          </w:tcPr>
          <w:p>
            <w:pPr>
              <w:spacing w:after="0"/>
              <w:rPr>
                <w:sz w:val="17"/>
                <w:szCs w:val="17"/>
                <w:color w:val="auto"/>
              </w:rPr>
            </w:pPr>
          </w:p>
        </w:tc>
        <w:tc>
          <w:tcPr>
            <w:tcW w:w="5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13a-14(a), as adopted pursuant to Section 302 of the</w:t>
            </w: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320" w:type="dxa"/>
            <w:vAlign w:val="bottom"/>
            <w:gridSpan w:val="6"/>
          </w:tcPr>
          <w:p>
            <w:pPr>
              <w:spacing w:after="0"/>
              <w:rPr>
                <w:sz w:val="17"/>
                <w:szCs w:val="17"/>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w:t>
            </w:r>
          </w:p>
        </w:tc>
      </w:tr>
      <w:tr>
        <w:trPr>
          <w:trHeight w:val="196"/>
        </w:trPr>
        <w:tc>
          <w:tcPr>
            <w:tcW w:w="1020" w:type="dxa"/>
            <w:vAlign w:val="bottom"/>
          </w:tcPr>
          <w:p>
            <w:pPr>
              <w:spacing w:after="0"/>
              <w:rPr>
                <w:sz w:val="17"/>
                <w:szCs w:val="17"/>
                <w:color w:val="auto"/>
              </w:rPr>
            </w:pPr>
          </w:p>
        </w:tc>
        <w:tc>
          <w:tcPr>
            <w:tcW w:w="5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 13a-14(a), as adopted pursuant to Section</w:t>
            </w:r>
          </w:p>
        </w:tc>
      </w:tr>
      <w:tr>
        <w:trPr>
          <w:trHeight w:val="196"/>
        </w:trPr>
        <w:tc>
          <w:tcPr>
            <w:tcW w:w="1020" w:type="dxa"/>
            <w:vAlign w:val="bottom"/>
          </w:tcPr>
          <w:p>
            <w:pPr>
              <w:spacing w:after="0"/>
              <w:rPr>
                <w:sz w:val="17"/>
                <w:szCs w:val="17"/>
                <w:color w:val="auto"/>
              </w:rPr>
            </w:pPr>
          </w:p>
        </w:tc>
        <w:tc>
          <w:tcPr>
            <w:tcW w:w="540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560" w:type="dxa"/>
            <w:vAlign w:val="bottom"/>
            <w:tcBorders>
              <w:left w:val="single" w:sz="8" w:color="0000EE"/>
            </w:tcBorders>
            <w:gridSpan w:val="5"/>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Securities Exchange</w:t>
            </w:r>
          </w:p>
        </w:tc>
      </w:tr>
      <w:tr>
        <w:trPr>
          <w:trHeight w:val="196"/>
        </w:trPr>
        <w:tc>
          <w:tcPr>
            <w:tcW w:w="1020" w:type="dxa"/>
            <w:vAlign w:val="bottom"/>
          </w:tcPr>
          <w:p>
            <w:pPr>
              <w:spacing w:after="0"/>
              <w:rPr>
                <w:sz w:val="17"/>
                <w:szCs w:val="17"/>
                <w:color w:val="auto"/>
              </w:rPr>
            </w:pPr>
          </w:p>
        </w:tc>
        <w:tc>
          <w:tcPr>
            <w:tcW w:w="5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Rule 13a-14(b), as adopted pursuant to Section 906 of the Sarbanes -</w:t>
            </w:r>
          </w:p>
        </w:tc>
      </w:tr>
      <w:tr>
        <w:trPr>
          <w:trHeight w:val="196"/>
        </w:trPr>
        <w:tc>
          <w:tcPr>
            <w:tcW w:w="1020" w:type="dxa"/>
            <w:vAlign w:val="bottom"/>
          </w:tcPr>
          <w:p>
            <w:pPr>
              <w:spacing w:after="0"/>
              <w:rPr>
                <w:sz w:val="17"/>
                <w:szCs w:val="17"/>
                <w:color w:val="auto"/>
              </w:rPr>
            </w:pPr>
          </w:p>
        </w:tc>
        <w:tc>
          <w:tcPr>
            <w:tcW w:w="5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spacing w:after="0" w:line="225" w:lineRule="exact"/>
        <w:rPr>
          <w:sz w:val="20"/>
          <w:szCs w:val="20"/>
          <w:color w:val="auto"/>
        </w:rPr>
      </w:pPr>
    </w:p>
    <w:p>
      <w:pPr>
        <w:ind w:left="1032" w:hanging="1019"/>
        <w:spacing w:after="0" w:line="282" w:lineRule="auto"/>
        <w:tabs>
          <w:tab w:leader="none" w:pos="103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6" w:lineRule="exact"/>
        <w:rPr>
          <w:rFonts w:ascii="Times New Roman" w:cs="Times New Roman" w:eastAsia="Times New Roman" w:hAnsi="Times New Roman"/>
          <w:sz w:val="18"/>
          <w:szCs w:val="18"/>
          <w:color w:val="auto"/>
        </w:rPr>
      </w:pPr>
    </w:p>
    <w:p>
      <w:pPr>
        <w:ind w:left="132" w:hanging="132"/>
        <w:spacing w:after="0"/>
        <w:tabs>
          <w:tab w:leader="none" w:pos="132"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1912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 w:lineRule="exact"/>
        <w:rPr>
          <w:sz w:val="20"/>
          <w:szCs w:val="20"/>
          <w:color w:val="auto"/>
        </w:rPr>
      </w:pPr>
    </w:p>
    <w:p>
      <w:pPr>
        <w:ind w:left="5532" w:right="740" w:hanging="5532"/>
        <w:spacing w:after="0" w:line="464" w:lineRule="auto"/>
        <w:tabs>
          <w:tab w:leader="none" w:pos="172" w:val="left"/>
        </w:tabs>
        <w:numPr>
          <w:ilvl w:val="0"/>
          <w:numId w:val="6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Portions of this exhibit have been excluded pursuant to Item 601(b)(1)(iv). </w:t>
      </w: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295910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2200" w:val="left"/>
          <w:tab w:leader="none" w:pos="8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7"/>
          <w:szCs w:val="17"/>
          <w:color w:val="auto"/>
        </w:rPr>
        <w:t>04/21/2022</w:t>
      </w:r>
    </w:p>
    <w:p>
      <w:pPr>
        <w:spacing w:after="0" w:line="1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Exhibit 10.1</w:t>
      </w:r>
    </w:p>
    <w:p>
      <w:pPr>
        <w:spacing w:after="0" w:line="144" w:lineRule="exact"/>
        <w:rPr>
          <w:sz w:val="20"/>
          <w:szCs w:val="20"/>
          <w:color w:val="auto"/>
        </w:rPr>
      </w:pPr>
    </w:p>
    <w:p>
      <w:pPr>
        <w:jc w:val="right"/>
        <w:spacing w:after="0"/>
        <w:tabs>
          <w:tab w:leader="none" w:pos="2200" w:val="left"/>
          <w:tab w:leader="none" w:pos="8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7"/>
          <w:szCs w:val="17"/>
          <w:color w:val="auto"/>
        </w:rPr>
        <w:t>09/22/2022</w:t>
      </w:r>
    </w:p>
    <w:p>
      <w:pPr>
        <w:spacing w:after="0" w:line="1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Exhibit 10.1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452" w:space="500"/>
            <w:col w:w="4020"/>
          </w:cols>
          <w:pgMar w:left="328" w:top="338" w:right="59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registration statement to be signed on its behalf by the undersigned, thereunto duly authorized.</w:t>
      </w:r>
    </w:p>
    <w:p>
      <w:pPr>
        <w:spacing w:after="0" w:line="1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PLUS THERAPEUTICS, INC.</w:t>
      </w:r>
    </w:p>
    <w:p>
      <w:pPr>
        <w:spacing w:after="0" w:line="27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26035</wp:posOffset>
            </wp:positionV>
            <wp:extent cx="27686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Marc. H. Hedrick, MD</w:t>
      </w:r>
    </w:p>
    <w:p>
      <w:pPr>
        <w:spacing w:after="0" w:line="3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5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0" w:lineRule="exact"/>
        <w:rPr>
          <w:sz w:val="20"/>
          <w:szCs w:val="20"/>
          <w:color w:val="auto"/>
        </w:rPr>
      </w:pPr>
    </w:p>
    <w:p>
      <w:pPr>
        <w:spacing w:after="0" w:line="36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6"/>
                <w:szCs w:val="16"/>
                <w:color w:val="auto"/>
              </w:rPr>
            </w:pPr>
          </w:p>
        </w:tc>
        <w:tc>
          <w:tcPr>
            <w:tcW w:w="596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2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73"/>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Hawkins</w:t>
            </w:r>
          </w:p>
        </w:tc>
        <w:tc>
          <w:tcPr>
            <w:tcW w:w="240" w:type="dxa"/>
            <w:vAlign w:val="bottom"/>
          </w:tcPr>
          <w:p>
            <w:pPr>
              <w:spacing w:after="0"/>
              <w:rPr>
                <w:sz w:val="24"/>
                <w:szCs w:val="24"/>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2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Hawkins</w:t>
            </w:r>
          </w:p>
        </w:tc>
        <w:tc>
          <w:tcPr>
            <w:tcW w:w="2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H. Hedrick, MD</w:t>
            </w:r>
          </w:p>
        </w:tc>
        <w:tc>
          <w:tcPr>
            <w:tcW w:w="240" w:type="dxa"/>
            <w:vAlign w:val="bottom"/>
          </w:tcPr>
          <w:p>
            <w:pPr>
              <w:spacing w:after="0"/>
              <w:rPr>
                <w:sz w:val="24"/>
                <w:szCs w:val="24"/>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(Principal Executive Officer)</w:t>
            </w:r>
          </w:p>
        </w:tc>
        <w:tc>
          <w:tcPr>
            <w:tcW w:w="2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H. Hedrick, MD</w:t>
            </w:r>
          </w:p>
        </w:tc>
        <w:tc>
          <w:tcPr>
            <w:tcW w:w="2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Andrew Sims</w:t>
            </w:r>
          </w:p>
        </w:tc>
        <w:tc>
          <w:tcPr>
            <w:tcW w:w="240" w:type="dxa"/>
            <w:vAlign w:val="bottom"/>
          </w:tcPr>
          <w:p>
            <w:pPr>
              <w:spacing w:after="0"/>
              <w:rPr>
                <w:sz w:val="24"/>
                <w:szCs w:val="24"/>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 and VP of Finance (Principal Financial and Accounting</w:t>
            </w:r>
          </w:p>
        </w:tc>
        <w:tc>
          <w:tcPr>
            <w:tcW w:w="2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0" w:type="dxa"/>
            <w:vAlign w:val="bottom"/>
          </w:tcPr>
          <w:p>
            <w:pPr>
              <w:spacing w:after="0"/>
              <w:rPr>
                <w:sz w:val="1"/>
                <w:szCs w:val="1"/>
                <w:color w:val="auto"/>
              </w:rPr>
            </w:pPr>
          </w:p>
        </w:tc>
      </w:tr>
      <w:tr>
        <w:trPr>
          <w:trHeight w:val="241"/>
        </w:trPr>
        <w:tc>
          <w:tcPr>
            <w:tcW w:w="282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Sims</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 van Es-Johansson, MD</w:t>
            </w:r>
          </w:p>
        </w:tc>
        <w:tc>
          <w:tcPr>
            <w:tcW w:w="240" w:type="dxa"/>
            <w:vAlign w:val="bottom"/>
          </w:tcPr>
          <w:p>
            <w:pPr>
              <w:spacing w:after="0"/>
              <w:rPr>
                <w:sz w:val="24"/>
                <w:szCs w:val="24"/>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van Es-Johansson, MD</w:t>
            </w:r>
          </w:p>
        </w:tc>
        <w:tc>
          <w:tcPr>
            <w:tcW w:w="2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 Petersen</w:t>
            </w:r>
          </w:p>
        </w:tc>
        <w:tc>
          <w:tcPr>
            <w:tcW w:w="240" w:type="dxa"/>
            <w:vAlign w:val="bottom"/>
          </w:tcPr>
          <w:p>
            <w:pPr>
              <w:spacing w:after="0"/>
              <w:rPr>
                <w:sz w:val="24"/>
                <w:szCs w:val="24"/>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 Petersen</w:t>
            </w:r>
          </w:p>
        </w:tc>
        <w:tc>
          <w:tcPr>
            <w:tcW w:w="2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Howard Clowes</w:t>
            </w:r>
          </w:p>
        </w:tc>
        <w:tc>
          <w:tcPr>
            <w:tcW w:w="240" w:type="dxa"/>
            <w:vAlign w:val="bottom"/>
          </w:tcPr>
          <w:p>
            <w:pPr>
              <w:spacing w:after="0"/>
              <w:rPr>
                <w:sz w:val="24"/>
                <w:szCs w:val="24"/>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Clowes</w:t>
            </w:r>
          </w:p>
        </w:tc>
        <w:tc>
          <w:tcPr>
            <w:tcW w:w="2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Lenk</w:t>
            </w:r>
          </w:p>
        </w:tc>
        <w:tc>
          <w:tcPr>
            <w:tcW w:w="240" w:type="dxa"/>
            <w:vAlign w:val="bottom"/>
          </w:tcPr>
          <w:p>
            <w:pPr>
              <w:spacing w:after="0"/>
              <w:rPr>
                <w:sz w:val="24"/>
                <w:szCs w:val="24"/>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Lenk</w:t>
            </w:r>
          </w:p>
        </w:tc>
        <w:tc>
          <w:tcPr>
            <w:tcW w:w="2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2"/>
        </w:trPr>
        <w:tc>
          <w:tcPr>
            <w:tcW w:w="2820" w:type="dxa"/>
            <w:vAlign w:val="bottom"/>
          </w:tcPr>
          <w:p>
            <w:pPr>
              <w:spacing w:after="0"/>
              <w:rPr>
                <w:sz w:val="24"/>
                <w:szCs w:val="24"/>
                <w:color w:val="auto"/>
              </w:rPr>
            </w:pPr>
          </w:p>
        </w:tc>
        <w:tc>
          <w:tcPr>
            <w:tcW w:w="6200" w:type="dxa"/>
            <w:vAlign w:val="bottom"/>
            <w:gridSpan w:val="2"/>
          </w:tcPr>
          <w:p>
            <w:pPr>
              <w:jc w:val="right"/>
              <w:ind w:right="3212"/>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right"/>
        <w:spacing w:after="0"/>
        <w:rPr>
          <w:sz w:val="20"/>
          <w:szCs w:val="20"/>
          <w:color w:val="auto"/>
        </w:rPr>
      </w:pPr>
      <w:r>
        <w:rPr>
          <w:rFonts w:ascii="Trebuchet MS" w:cs="Trebuchet MS" w:eastAsia="Trebuchet MS" w:hAnsi="Trebuchet MS"/>
          <w:sz w:val="18"/>
          <w:szCs w:val="18"/>
          <w:color w:val="auto"/>
        </w:rPr>
        <w:t>EXHIBIT 23.1</w:t>
      </w:r>
    </w:p>
    <w:p>
      <w:pPr>
        <w:spacing w:after="0" w:line="263"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u w:val="single" w:color="auto"/>
          <w:color w:val="auto"/>
        </w:rPr>
        <w:t>Consent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Plus Therapeutics, Inc.</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Austin, Texas</w:t>
      </w:r>
    </w:p>
    <w:p>
      <w:pPr>
        <w:spacing w:after="0" w:line="223" w:lineRule="exact"/>
        <w:rPr>
          <w:sz w:val="20"/>
          <w:szCs w:val="20"/>
          <w:color w:val="auto"/>
        </w:rPr>
      </w:pPr>
    </w:p>
    <w:p>
      <w:pPr>
        <w:jc w:val="both"/>
        <w:spacing w:after="0" w:line="249" w:lineRule="auto"/>
        <w:rPr>
          <w:sz w:val="20"/>
          <w:szCs w:val="20"/>
          <w:color w:val="auto"/>
        </w:rPr>
      </w:pPr>
      <w:r>
        <w:rPr>
          <w:rFonts w:ascii="Trebuchet MS" w:cs="Trebuchet MS" w:eastAsia="Trebuchet MS" w:hAnsi="Trebuchet MS"/>
          <w:sz w:val="18"/>
          <w:szCs w:val="18"/>
          <w:color w:val="auto"/>
        </w:rPr>
        <w:t>We hereby consent to the incorporation by reference in the Registration Statements on Forms S-1 (Nos. 333-229485, 333-227485, 333-226205, 333-224502, 333-219967, 333-215365, 333-210628 and 333-249728, 333-253612, 333-259325 and 333-266684), Forms S-3 (Nos. 333-217988, 333-172787, 333-169822, 333-157023, 333-140875, 333-134129, 333-153233, 333-159912, 333-192409, 333-200090, 333-195846, 333-216947 and 333-249410) and Forms S-8 (Nos. 333-223566, 333-210211, 333-202858, 333-181764, 333-122691, 333-82074 and 333-239548) of Plus Therapeutics, Inc. (the “Company”) of our report dated February 23, 2023, relating to the consolidated financial statements, which appears in this Annual Report on Form 10-K.</w:t>
      </w: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/s/ BDO USA, LLP</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Austin, Texas</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225"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Plus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160" w:hanging="3"/>
        <w:spacing w:after="0" w:line="266" w:lineRule="auto"/>
        <w:tabs>
          <w:tab w:leader="none" w:pos="10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20" w:right="200" w:hanging="3"/>
        <w:spacing w:after="0" w:line="266" w:lineRule="auto"/>
        <w:tabs>
          <w:tab w:leader="none" w:pos="10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440" w:hanging="3"/>
        <w:spacing w:after="0" w:line="282" w:lineRule="auto"/>
        <w:tabs>
          <w:tab w:leader="none" w:pos="11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right="460" w:hanging="3"/>
        <w:spacing w:after="0" w:line="266" w:lineRule="auto"/>
        <w:tabs>
          <w:tab w:leader="none" w:pos="10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700" w:hanging="3"/>
        <w:spacing w:after="0" w:line="282" w:lineRule="auto"/>
        <w:tabs>
          <w:tab w:leader="none" w:pos="10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400" w:hanging="3"/>
        <w:spacing w:after="0" w:line="282" w:lineRule="auto"/>
        <w:tabs>
          <w:tab w:leader="none" w:pos="10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 H. Hedrick,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225"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Plus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160" w:hanging="3"/>
        <w:spacing w:after="0" w:line="266" w:lineRule="auto"/>
        <w:tabs>
          <w:tab w:leader="none" w:pos="10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20" w:right="200" w:hanging="3"/>
        <w:spacing w:after="0" w:line="266" w:lineRule="auto"/>
        <w:tabs>
          <w:tab w:leader="none" w:pos="10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480" w:hanging="3"/>
        <w:spacing w:after="0" w:line="282" w:lineRule="auto"/>
        <w:tabs>
          <w:tab w:leader="none" w:pos="10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right="460" w:hanging="3"/>
        <w:spacing w:after="0" w:line="266" w:lineRule="auto"/>
        <w:tabs>
          <w:tab w:leader="none" w:pos="10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right="700" w:hanging="3"/>
        <w:spacing w:after="0" w:line="282" w:lineRule="auto"/>
        <w:tabs>
          <w:tab w:leader="none" w:pos="10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400" w:hanging="3"/>
        <w:spacing w:after="0" w:line="282" w:lineRule="auto"/>
        <w:tabs>
          <w:tab w:leader="none" w:pos="10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Andrew Sims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Andrew Sims</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CERTIFICATIONS PURSUANT TO 18 U.S.C. SECTION 1350/ SECURITIES EXCHANGE ACT RULE 13a-14(b), AS ADOPTED PURSUANT TO SECTION 906 OF THE SARBANES – OXLEY ACT OF 2002</w:t>
      </w:r>
    </w:p>
    <w:p>
      <w:pPr>
        <w:spacing w:after="0" w:line="15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Plus Therapeutics, Inc. for the year ended December 31, 2022 as filed with the Securities and Exchange Commission on February 23, 2023, (the “Report”), Marc H. Hedrick, as President &amp; Chief Executive Officer of Plus Therapeutics, Inc., and Andrew Sims, as Chief Financial Officer of Plus Therapeutics, Inc., each hereby certifies, respectively, that:</w:t>
      </w:r>
    </w:p>
    <w:p>
      <w:pPr>
        <w:spacing w:after="0" w:line="68"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w:t>
      </w:r>
    </w:p>
    <w:p>
      <w:pPr>
        <w:spacing w:after="0" w:line="117" w:lineRule="exact"/>
        <w:rPr>
          <w:rFonts w:ascii="Times New Roman" w:cs="Times New Roman" w:eastAsia="Times New Roman" w:hAnsi="Times New Roman"/>
          <w:sz w:val="18"/>
          <w:szCs w:val="18"/>
          <w:color w:val="auto"/>
        </w:rPr>
      </w:pPr>
    </w:p>
    <w:p>
      <w:pPr>
        <w:ind w:left="520" w:right="960" w:hanging="512"/>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Plus Therapeutics, Inc.</w:t>
      </w:r>
    </w:p>
    <w:p>
      <w:pPr>
        <w:spacing w:after="0" w:line="175"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February 23, 2023</w:t>
      </w:r>
      <w:r>
        <w:rPr>
          <w:sz w:val="20"/>
          <w:szCs w:val="20"/>
          <w:color w:val="auto"/>
        </w:rPr>
        <w:tab/>
      </w:r>
      <w:r>
        <w:rPr>
          <w:rFonts w:ascii="Times New Roman" w:cs="Times New Roman" w:eastAsia="Times New Roman" w:hAnsi="Times New Roman"/>
          <w:sz w:val="17"/>
          <w:szCs w:val="17"/>
          <w:color w:val="auto"/>
        </w:rPr>
        <w:t>Marc H. Hedrick, MD</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308"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February 23, 2023</w:t>
      </w:r>
      <w:r>
        <w:rPr>
          <w:sz w:val="20"/>
          <w:szCs w:val="20"/>
          <w:color w:val="auto"/>
        </w:rPr>
        <w:tab/>
      </w:r>
      <w:r>
        <w:rPr>
          <w:rFonts w:ascii="Times New Roman" w:cs="Times New Roman" w:eastAsia="Times New Roman" w:hAnsi="Times New Roman"/>
          <w:sz w:val="17"/>
          <w:szCs w:val="17"/>
          <w:color w:val="auto"/>
        </w:rPr>
        <w:t>Andrew Sims</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lowerRoman"/>
      <w:start w:val="6"/>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2"/>
    </w:lvl>
  </w:abstractNum>
  <w:abstractNum w:abstractNumId="46">
    <w:nsid w:val="39386575"/>
    <w:multiLevelType w:val="hybridMultilevel"/>
    <w:lvl w:ilvl="0">
      <w:lvlJc w:val="left"/>
      <w:lvlText w:val="%1."/>
      <w:numFmt w:val="decimal"/>
      <w:start w:val="3"/>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4"/>
    </w:lvl>
  </w:abstractNum>
  <w:abstractNum w:abstractNumId="49">
    <w:nsid w:val="235BA861"/>
    <w:multiLevelType w:val="hybridMultilevel"/>
    <w:lvl w:ilvl="0">
      <w:lvlJc w:val="left"/>
      <w:lvlText w:val="%1."/>
      <w:numFmt w:val="decimal"/>
      <w:start w:val="5"/>
    </w:lvl>
  </w:abstractNum>
  <w:abstractNum w:abstractNumId="50">
    <w:nsid w:val="47398C89"/>
    <w:multiLevelType w:val="hybridMultilevel"/>
    <w:lvl w:ilvl="0">
      <w:lvlJc w:val="left"/>
      <w:lvlText w:val="%1."/>
      <w:numFmt w:val="decimal"/>
      <w:start w:val="6"/>
    </w:lvl>
  </w:abstractNum>
  <w:abstractNum w:abstractNumId="51">
    <w:nsid w:val="354FE9F9"/>
    <w:multiLevelType w:val="hybridMultilevel"/>
    <w:lvl w:ilvl="0">
      <w:lvlJc w:val="left"/>
      <w:lvlText w:val="%1."/>
      <w:numFmt w:val="decimal"/>
      <w:start w:val="7"/>
    </w:lvl>
  </w:abstractNum>
  <w:abstractNum w:abstractNumId="52">
    <w:nsid w:val="15B5AF5C"/>
    <w:multiLevelType w:val="hybridMultilevel"/>
    <w:lvl w:ilvl="0">
      <w:lvlJc w:val="left"/>
      <w:lvlText w:val="%1."/>
      <w:numFmt w:val="decimal"/>
      <w:start w:val="8"/>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9"/>
    </w:lvl>
  </w:abstractNum>
  <w:abstractNum w:abstractNumId="55">
    <w:nsid w:val="10233C99"/>
    <w:multiLevelType w:val="hybridMultilevel"/>
    <w:lvl w:ilvl="0">
      <w:lvlJc w:val="left"/>
      <w:lvlText w:val="%1."/>
      <w:numFmt w:val="decimal"/>
      <w:start w:val="10"/>
    </w:lvl>
  </w:abstractNum>
  <w:abstractNum w:abstractNumId="56">
    <w:nsid w:val="3F6AB60F"/>
    <w:multiLevelType w:val="hybridMultilevel"/>
    <w:lvl w:ilvl="0">
      <w:lvlJc w:val="left"/>
      <w:lvlText w:val="%1."/>
      <w:numFmt w:val="decimal"/>
      <w:start w:val="11"/>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1)"/>
      <w:numFmt w:val="lowerLetter"/>
      <w:start w:val="1"/>
    </w:lvl>
    <w:lvl w:ilvl="1">
      <w:lvlJc w:val="left"/>
      <w:lvlText w:val="•"/>
      <w:numFmt w:val="bullet"/>
      <w:start w:val="1"/>
    </w:lvl>
  </w:abstractNum>
  <w:abstractNum w:abstractNumId="59">
    <w:nsid w:val="77AE35EB"/>
    <w:multiLevelType w:val="hybridMultilevel"/>
    <w:lvl w:ilvl="0">
      <w:lvlJc w:val="left"/>
      <w:lvlText w:val="(%1)"/>
      <w:numFmt w:val="lowerLetter"/>
      <w:start w:val="3"/>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
      <w:numFmt w:val="bullet"/>
      <w:start w:val="1"/>
    </w:lvl>
    <w:lvl w:ilvl="1">
      <w:lvlJc w:val="left"/>
      <w:lvlText w:val="%2"/>
      <w:numFmt w:val="decimal"/>
      <w:start w:val="104"/>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27" Type="http://schemas.openxmlformats.org/officeDocument/2006/relationships/image" Target="media/image202.png"/><Relationship Id="rId249"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09" Type="http://schemas.openxmlformats.org/officeDocument/2006/relationships/hyperlink" Target="https://www.sec.gov/Archives/edgar/data/1095981/000114036116057505/ex3_1.htm" TargetMode="External"/><Relationship Id="rId210" Type="http://schemas.openxmlformats.org/officeDocument/2006/relationships/hyperlink" Target="https://www.sec.gov/Archives/edgar/data/1095981/000156459018014245/cytx-ex31_6.htm" TargetMode="External"/><Relationship Id="rId211" Type="http://schemas.openxmlformats.org/officeDocument/2006/relationships/hyperlink" Target="https://www.sec.gov/Archives/edgar/data/1095981/000156459019026454/cytx-ex31_6.htm" TargetMode="External"/><Relationship Id="rId212" Type="http://schemas.openxmlformats.org/officeDocument/2006/relationships/hyperlink" Target="https://www.sec.gov/Archives/edgar/data/1095981/000156459019028996/pstv-ex31_18.htm" TargetMode="External"/><Relationship Id="rId213" Type="http://schemas.openxmlformats.org/officeDocument/2006/relationships/hyperlink" Target="https://www.sec.gov/Archives/edgar/data/1095981/000156459017024297/cytx-ex31_6.htm" TargetMode="External"/><Relationship Id="rId214" Type="http://schemas.openxmlformats.org/officeDocument/2006/relationships/hyperlink" Target="https://www.sec.gov/Archives/edgar/data/1095981/000156459018017443/cytx-ex31_7.htm" TargetMode="External"/><Relationship Id="rId215" Type="http://schemas.openxmlformats.org/officeDocument/2006/relationships/hyperlink" Target="https://www.sec.gov/Archives/edgar/data/1095981/000156459019026454/cytx-ex32_7.htm" TargetMode="External"/><Relationship Id="rId216" Type="http://schemas.openxmlformats.org/officeDocument/2006/relationships/hyperlink" Target="https://www.sec.gov/Archives/edgar/data/1095981/000156459020014165/pstv-ex41_202.htm" TargetMode="External"/><Relationship Id="rId217" Type="http://schemas.openxmlformats.org/officeDocument/2006/relationships/hyperlink" Target="https://www.sec.gov/Archives/edgar/data/1095981/000156459018005136/cytx-ex433_277.htm" TargetMode="External"/><Relationship Id="rId218" Type="http://schemas.openxmlformats.org/officeDocument/2006/relationships/hyperlink" Target="https://www.sec.gov/Archives/edgar/data/1095981/000156459020018034/pstv-ex41_6.htm" TargetMode="External"/><Relationship Id="rId219" Type="http://schemas.openxmlformats.org/officeDocument/2006/relationships/hyperlink" Target="https://www.sec.gov/Archives/edgar/data/1095981/000156459020045822/pstv-ex41_6.htm" TargetMode="External"/><Relationship Id="rId220" Type="http://schemas.openxmlformats.org/officeDocument/2006/relationships/hyperlink" Target="https://www.sec.gov/Archives/edgar/data/0001095981/000156459020013839/pstv-ex101_34.htm" TargetMode="External"/><Relationship Id="rId221" Type="http://schemas.openxmlformats.org/officeDocument/2006/relationships/hyperlink" Target="https://www.sec.gov/Archives/edgar/data/1095981/000156459022006708/pstv-ex102_69.htm" TargetMode="External"/><Relationship Id="rId222" Type="http://schemas.openxmlformats.org/officeDocument/2006/relationships/hyperlink" Target="https://www.sec.gov/Archives/edgar/data/0001095981/000119312522009885/d656440dex11.htm" TargetMode="External"/><Relationship Id="rId223" Type="http://schemas.openxmlformats.org/officeDocument/2006/relationships/hyperlink" Target="https://www.sec.gov/Archives/edgar/data/1095981/000156459020045846/pstv-ex101_6.htm" TargetMode="External"/><Relationship Id="rId224" Type="http://schemas.openxmlformats.org/officeDocument/2006/relationships/hyperlink" Target="https://www.sec.gov/Archives/edgar/data/1095981/000095012318009531/cytx-ex102_7.htm" TargetMode="External"/><Relationship Id="rId225" Type="http://schemas.openxmlformats.org/officeDocument/2006/relationships/hyperlink" Target="https://www.sec.gov/Archives/edgar/data/1095981/000114036115030777/ex10_4.htm" TargetMode="External"/><Relationship Id="rId226" Type="http://schemas.openxmlformats.org/officeDocument/2006/relationships/hyperlink" Target="https://www.sec.gov/Archives/edgar/data/1095981/000095012317008736/cytx-ex1045_16.htm" TargetMode="External"/><Relationship Id="rId228" Type="http://schemas.openxmlformats.org/officeDocument/2006/relationships/hyperlink" Target="https://www.sec.gov/Archives/edgar/data/1095981/000156459018021735/cytx-ex103_173.htm" TargetMode="External"/><Relationship Id="rId229" Type="http://schemas.openxmlformats.org/officeDocument/2006/relationships/hyperlink" Target="https://www.sec.gov/Archives/edgar/data/1095981/000156459018023473/cytx-ex1051_9.htm" TargetMode="External"/><Relationship Id="rId230" Type="http://schemas.openxmlformats.org/officeDocument/2006/relationships/hyperlink" Target="https://www.sec.gov/Archives/edgar/data/1095981/000156459019001699/cytx-ex1052_35.htm" TargetMode="External"/><Relationship Id="rId231" Type="http://schemas.openxmlformats.org/officeDocument/2006/relationships/hyperlink" Target="https://www.sec.gov/Archives/edgar/data/1095981/000156459019010018/cytx-ex1055_8.htm" TargetMode="External"/><Relationship Id="rId232" Type="http://schemas.openxmlformats.org/officeDocument/2006/relationships/hyperlink" Target="https://www.sec.gov/Archives/edgar/data/1095981/000156459019010018/cytx-ex1056_6.htm" TargetMode="External"/><Relationship Id="rId233" Type="http://schemas.openxmlformats.org/officeDocument/2006/relationships/hyperlink" Target="https://www.sec.gov/Archives/edgar/data/1095981/000156459019019181/cytx-ex103_267.htm" TargetMode="External"/><Relationship Id="rId234" Type="http://schemas.openxmlformats.org/officeDocument/2006/relationships/hyperlink" Target="https://www.sec.gov/Archives/edgar/data/1095981/000156459019032349/pstv-ex102_421.htm" TargetMode="External"/><Relationship Id="rId235" Type="http://schemas.openxmlformats.org/officeDocument/2006/relationships/hyperlink" Target="https://www.sec.gov/Archives/edgar/data/0001095981/000156459020013839/pstv-ex102_8.htm" TargetMode="External"/><Relationship Id="rId236" Type="http://schemas.openxmlformats.org/officeDocument/2006/relationships/hyperlink" Target="https://www.sec.gov/Archives/edgar/data/1095981/000156459020025453/pstv-ex106_107.htm" TargetMode="External"/><Relationship Id="rId237" Type="http://schemas.openxmlformats.org/officeDocument/2006/relationships/hyperlink" Target="https://www.sec.gov/Archives/edgar/data/1095981/000156459020025453/pstv-ex107_106.htm" TargetMode="External"/><Relationship Id="rId238" Type="http://schemas.openxmlformats.org/officeDocument/2006/relationships/hyperlink" Target="https://www.sec.gov/Archives/edgar/data/0001095981/000119312521270847/d151447dex101.htm" TargetMode="External"/><Relationship Id="rId239" Type="http://schemas.openxmlformats.org/officeDocument/2006/relationships/hyperlink" Target="https://www.sec.gov/Archives/edgar/data/1095981/000109598116000038/ex10_1.htm" TargetMode="External"/><Relationship Id="rId240" Type="http://schemas.openxmlformats.org/officeDocument/2006/relationships/hyperlink" Target="https://www.sec.gov/Archives/edgar/data/1095981/000156459017005251/cytx-ex1042_653.htm" TargetMode="External"/><Relationship Id="rId241" Type="http://schemas.openxmlformats.org/officeDocument/2006/relationships/hyperlink" Target="https://www.sec.gov/Archives/edgar/data/1095981/000156459020014165/pstv-ex1025_203.htm" TargetMode="External"/><Relationship Id="rId242" Type="http://schemas.openxmlformats.org/officeDocument/2006/relationships/hyperlink" Target="https://www.sec.gov/Archives/edgar/data/1095981/000109598116000054/formofnotice.htm" TargetMode="External"/><Relationship Id="rId243" Type="http://schemas.openxmlformats.org/officeDocument/2006/relationships/hyperlink" Target="https://www.sec.gov/Archives/edgar/data/1095981/000109598116000054/formofstock.htm" TargetMode="External"/><Relationship Id="rId244" Type="http://schemas.openxmlformats.org/officeDocument/2006/relationships/hyperlink" Target="https://www.sec.gov/Archives/edgar/data/0001095981/000119312521167126/d147807dex101.htm" TargetMode="External"/><Relationship Id="rId245" Type="http://schemas.openxmlformats.org/officeDocument/2006/relationships/hyperlink" Target="https://www.sec.gov/Archives/edgar/data/1095981/000156459022006708/pstv-ex1026_110.htm" TargetMode="External"/><Relationship Id="rId246" Type="http://schemas.openxmlformats.org/officeDocument/2006/relationships/hyperlink" Target="https://www.sec.gov/Archives/edgar/data/1095981/000156459021007165/pstv-ex1024_87.htm" TargetMode="External"/><Relationship Id="rId247" Type="http://schemas.openxmlformats.org/officeDocument/2006/relationships/hyperlink" Target="https://www.sec.gov/Archives/edgar/data/1095981/000156459020003735/pstv-ex101_6.htm" TargetMode="External"/><Relationship Id="rId248" Type="http://schemas.openxmlformats.org/officeDocument/2006/relationships/hyperlink" Target="https://www.sec.gov/Archives/edgar/data/1095981/000114036116057505/ex10_113.htm" TargetMode="External"/><Relationship Id="rId250" Type="http://schemas.openxmlformats.org/officeDocument/2006/relationships/hyperlink" Target="https://www.sec.gov/Archives/edgar/data/1095981/000156459022015075/pstv-ex101_152.htm" TargetMode="External"/><Relationship Id="rId251" Type="http://schemas.openxmlformats.org/officeDocument/2006/relationships/hyperlink" Target="https://www.sec.gov/Archives/edgar/data/1095981/000119312522248711/d3221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2023-02-23T15:36:11Z</dcterms:created>
  <dcterms:modified xsi:type="dcterms:W3CDTF">2023-02-23T15:36:11Z</dcterms:modified>
</cp:coreProperties>
</file>