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14"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7"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b w:val="1"/>
          <w:bCs w:val="1"/>
          <w:color w:val="auto"/>
        </w:rPr>
        <w:t>TRANSITION REPORT PURSUANT TO SECTION 13 OR 15(d) OF THE SECURITIES</w:t>
      </w:r>
    </w:p>
    <w:p>
      <w:pPr>
        <w:spacing w:after="0" w:line="48"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EXCHANGE ACT OF 1934</w:t>
      </w:r>
    </w:p>
    <w:p>
      <w:pPr>
        <w:spacing w:after="0" w:line="83"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PLUS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9"/>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Arial" w:cs="Arial" w:eastAsia="Arial" w:hAnsi="Arial"/>
                <w:sz w:val="16"/>
                <w:szCs w:val="16"/>
                <w:b w:val="1"/>
                <w:bCs w:val="1"/>
                <w:color w:val="auto"/>
              </w:rPr>
              <w:t>33-0827593</w:t>
            </w:r>
          </w:p>
        </w:tc>
      </w:tr>
      <w:tr>
        <w:trPr>
          <w:trHeight w:val="222"/>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Identification No.)</w:t>
            </w:r>
          </w:p>
        </w:tc>
      </w:tr>
      <w:tr>
        <w:trPr>
          <w:trHeight w:val="459"/>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9"/>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Arial" w:cs="Arial" w:eastAsia="Arial" w:hAnsi="Arial"/>
                <w:sz w:val="16"/>
                <w:szCs w:val="16"/>
                <w:b w:val="1"/>
                <w:bCs w:val="1"/>
                <w:color w:val="auto"/>
              </w:rPr>
              <w:t>78756</w:t>
            </w:r>
          </w:p>
        </w:tc>
      </w:tr>
      <w:tr>
        <w:trPr>
          <w:trHeight w:val="229"/>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0"/>
        </w:trPr>
        <w:tc>
          <w:tcPr>
            <w:tcW w:w="7620" w:type="dxa"/>
            <w:vAlign w:val="bottom"/>
            <w:gridSpan w:val="5"/>
          </w:tcPr>
          <w:p>
            <w:pPr>
              <w:jc w:val="center"/>
              <w:ind w:left="355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20" w:type="dxa"/>
            <w:vAlign w:val="bottom"/>
          </w:tcPr>
          <w:p>
            <w:pPr>
              <w:spacing w:after="0"/>
              <w:rPr>
                <w:sz w:val="18"/>
                <w:szCs w:val="18"/>
                <w:color w:val="auto"/>
              </w:rPr>
            </w:pPr>
          </w:p>
        </w:tc>
      </w:tr>
      <w:tr>
        <w:trPr>
          <w:trHeight w:val="87"/>
        </w:trPr>
        <w:tc>
          <w:tcPr>
            <w:tcW w:w="4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20" w:type="dxa"/>
            <w:vAlign w:val="bottom"/>
          </w:tcPr>
          <w:p>
            <w:pPr>
              <w:spacing w:after="0"/>
              <w:rPr>
                <w:sz w:val="24"/>
                <w:szCs w:val="24"/>
                <w:color w:val="auto"/>
              </w:rPr>
            </w:pPr>
          </w:p>
        </w:tc>
      </w:tr>
      <w:tr>
        <w:trPr>
          <w:trHeight w:val="225"/>
        </w:trPr>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0"/>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73"/>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8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5"/>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color w:val="auto"/>
                <w:w w:val="93"/>
              </w:rPr>
              <w:t>Nasdaq Capital Market</w:t>
            </w:r>
          </w:p>
        </w:tc>
      </w:tr>
      <w:tr>
        <w:trPr>
          <w:trHeight w:val="60"/>
        </w:trPr>
        <w:tc>
          <w:tcPr>
            <w:tcW w:w="4240" w:type="dxa"/>
            <w:vAlign w:val="bottom"/>
            <w:tcBorders>
              <w:left w:val="single" w:sz="8" w:color="auto"/>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bl>
    <w:p>
      <w:pPr>
        <w:spacing w:after="0" w:line="9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4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71" w:right="339" w:bottom="1440" w:gutter="0" w:footer="0" w:header="0"/>
        </w:sectPr>
      </w:pPr>
    </w:p>
    <w:p>
      <w:pPr>
        <w:spacing w:after="0" w:line="109"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Accelerated Filer</w:t>
      </w:r>
    </w:p>
    <w:p>
      <w:pPr>
        <w:spacing w:after="0" w:line="70"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Arial" w:cs="Arial" w:eastAsia="Arial" w:hAnsi="Arial"/>
          <w:sz w:val="16"/>
          <w:szCs w:val="16"/>
          <w:color w:val="auto"/>
        </w:rPr>
        <w:t>Emerging growth company</w:t>
      </w:r>
    </w:p>
    <w:p>
      <w:pPr>
        <w:spacing w:after="0" w:line="226"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0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18, 2023 , there were 36,690,934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5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20"/>
                <w:szCs w:val="20"/>
                <w:color w:val="0000FF"/>
                <w:w w:val="98"/>
              </w:rPr>
              <w:t>FINANCIAL INFORMATION</w:t>
            </w:r>
          </w:p>
        </w:tc>
        <w:tc>
          <w:tcPr>
            <w:tcW w:w="692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59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6"/>
              </w:rPr>
              <w:t>Condensed Balance Sheets</w:t>
            </w:r>
          </w:p>
        </w:tc>
        <w:tc>
          <w:tcPr>
            <w:tcW w:w="6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Condensed Statements of Operations</w:t>
            </w:r>
          </w:p>
        </w:tc>
        <w:tc>
          <w:tcPr>
            <w:tcW w:w="57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89"/>
              </w:rPr>
              <w:t>Condensed Statements of Stockholders’ Equity</w:t>
            </w:r>
          </w:p>
        </w:tc>
        <w:tc>
          <w:tcPr>
            <w:tcW w:w="50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7"/>
              </w:rPr>
              <w:t>Condensed Statements of Cash Flows</w:t>
            </w:r>
          </w:p>
        </w:tc>
        <w:tc>
          <w:tcPr>
            <w:tcW w:w="5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8"/>
              </w:rPr>
              <w:t>Notes to Condensed Financial Statements</w:t>
            </w:r>
          </w:p>
        </w:tc>
        <w:tc>
          <w:tcPr>
            <w:tcW w:w="54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Arial" w:cs="Arial" w:eastAsia="Arial" w:hAnsi="Arial"/>
                <w:sz w:val="18"/>
                <w:szCs w:val="18"/>
                <w:color w:val="auto"/>
              </w:rPr>
              <w:t>PART II</w:t>
            </w:r>
          </w:p>
        </w:tc>
        <w:tc>
          <w:tcPr>
            <w:tcW w:w="9400" w:type="dxa"/>
            <w:vAlign w:val="bottom"/>
            <w:gridSpan w:val="17"/>
          </w:tcPr>
          <w:p>
            <w:pPr>
              <w:spacing w:after="0"/>
              <w:rPr>
                <w:sz w:val="20"/>
                <w:szCs w:val="20"/>
                <w:color w:val="auto"/>
              </w:rPr>
            </w:pPr>
            <w:r>
              <w:rPr>
                <w:rFonts w:ascii="Arial" w:cs="Arial" w:eastAsia="Arial" w:hAnsi="Arial"/>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2"/>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Risk Factors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1"/>
              </w:rPr>
              <w:t>Exhibits</w:t>
            </w:r>
          </w:p>
        </w:tc>
        <w:tc>
          <w:tcPr>
            <w:tcW w:w="78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12"/>
          </w:tcPr>
          <w:p>
            <w:pPr>
              <w:ind w:left="330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This report and the exhibits incorporated herein by reference contain “forward-looking statements” which are made pursuant to the safe harbor provisions of Section 27A of the Securities Act of 1933, as amended, and Section 21E of the Securities Exchange Act of 1934, as amended, or the Exchange Act.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 II – Item 1A – Risk Factors” in this Quarterly Report. These risks and uncertainties could cause actual results to differ materially from expectations or those expressed in these forward-looking statements.</w:t>
      </w:r>
    </w:p>
    <w:p>
      <w:pPr>
        <w:spacing w:after="0" w:line="8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w:t>
      </w:r>
    </w:p>
    <w:p>
      <w:pPr>
        <w:spacing w:after="0" w:line="2" w:lineRule="exact"/>
        <w:rPr>
          <w:sz w:val="20"/>
          <w:szCs w:val="20"/>
          <w:color w:val="auto"/>
        </w:rPr>
      </w:pPr>
    </w:p>
    <w:p>
      <w:pPr>
        <w:ind w:right="340" w:firstLine="8"/>
        <w:spacing w:after="0" w:line="260" w:lineRule="auto"/>
        <w:tabs>
          <w:tab w:leader="none" w:pos="16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Item 1A – Risk Factors” in this Quarterly Report. These risks and uncertainties could cause actual results to differ materially from expectations or those expressed in these forward-looking statements.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We encourage you to read the risks described under “Risk Factor Summary” and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par value data)</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2022</w:t>
            </w: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Operating lease right-use-of assets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Term loan obligation, current</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Deferred grant liability, current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12,796</w:t>
            </w:r>
          </w:p>
        </w:tc>
        <w:tc>
          <w:tcPr>
            <w:tcW w:w="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Term loan obligation</w:t>
            </w:r>
          </w:p>
        </w:tc>
        <w:tc>
          <w:tcPr>
            <w:tcW w:w="18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Noncurrent operating lease liability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Deferred grant liability</w:t>
            </w:r>
          </w:p>
        </w:tc>
        <w:tc>
          <w:tcPr>
            <w:tcW w:w="18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12,962</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17,422</w:t>
            </w:r>
          </w:p>
        </w:tc>
        <w:tc>
          <w:tcPr>
            <w:tcW w:w="100" w:type="dxa"/>
            <w:vAlign w:val="bottom"/>
            <w:tcBorders>
              <w:top w:val="single" w:sz="8" w:color="CFF0FC"/>
            </w:tcBorders>
          </w:tcPr>
          <w:p>
            <w:pPr>
              <w:spacing w:after="0"/>
              <w:rPr>
                <w:sz w:val="20"/>
                <w:szCs w:val="20"/>
                <w:color w:val="auto"/>
              </w:rPr>
            </w:pPr>
          </w:p>
        </w:tc>
      </w:tr>
      <w:tr>
        <w:trPr>
          <w:trHeight w:val="249"/>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Preferred stock, $0.001 par value; 5,000,000 shares authorized; 1,953 and</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1,952 shares issued and outstanding at March 31, 2023 and December 31, 2022,</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40" w:type="dxa"/>
            <w:vAlign w:val="bottom"/>
          </w:tcPr>
          <w:p>
            <w:pPr>
              <w:ind w:left="180"/>
              <w:spacing w:after="0"/>
              <w:rPr>
                <w:sz w:val="20"/>
                <w:szCs w:val="20"/>
                <w:color w:val="auto"/>
              </w:rPr>
            </w:pPr>
            <w:r>
              <w:rPr>
                <w:rFonts w:ascii="Arial" w:cs="Arial" w:eastAsia="Arial" w:hAnsi="Arial"/>
                <w:sz w:val="18"/>
                <w:szCs w:val="18"/>
                <w:color w:val="auto"/>
              </w:rPr>
              <w:t>Common stock, $0.001 par value; 100,000,000 shares authorized; 36,123,833 and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33,601,373 issued and outstanding at March 31, 2023 and December 31, 2022,</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50"/>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474,630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473,596</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(471,990 )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(467,185 )</w:t>
            </w:r>
          </w:p>
        </w:tc>
      </w:tr>
      <w:tr>
        <w:trPr>
          <w:trHeight w:val="237"/>
        </w:trPr>
        <w:tc>
          <w:tcPr>
            <w:tcW w:w="6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-4191000</wp:posOffset>
            </wp:positionV>
            <wp:extent cx="603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-4191000</wp:posOffset>
            </wp:positionV>
            <wp:extent cx="603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-2296795</wp:posOffset>
            </wp:positionV>
            <wp:extent cx="603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-2296795</wp:posOffset>
            </wp:positionV>
            <wp:extent cx="603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169"/>
        </w:trPr>
        <w:tc>
          <w:tcPr>
            <w:tcW w:w="6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Grant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FF0FC"/>
          </w:tcPr>
          <w:p>
            <w:pPr>
              <w:spacing w:after="0"/>
              <w:rPr>
                <w:sz w:val="21"/>
                <w:szCs w:val="21"/>
                <w:color w:val="auto"/>
              </w:rPr>
            </w:pPr>
          </w:p>
        </w:tc>
      </w:tr>
      <w:tr>
        <w:trPr>
          <w:trHeight w:val="230"/>
        </w:trPr>
        <w:tc>
          <w:tcPr>
            <w:tcW w:w="69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r>
      <w:tr>
        <w:trPr>
          <w:trHeight w:val="236"/>
        </w:trPr>
        <w:tc>
          <w:tcPr>
            <w:tcW w:w="69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(134 )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(198 )</w:t>
            </w: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Change in fair value of liability instruments</w:t>
            </w:r>
          </w:p>
        </w:tc>
        <w:tc>
          <w:tcPr>
            <w:tcW w:w="20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40" w:type="dxa"/>
            <w:vAlign w:val="bottom"/>
          </w:tcPr>
          <w:p>
            <w:pPr>
              <w:ind w:left="540"/>
              <w:spacing w:after="0"/>
              <w:rPr>
                <w:sz w:val="20"/>
                <w:szCs w:val="20"/>
                <w:color w:val="auto"/>
              </w:rPr>
            </w:pPr>
            <w:r>
              <w:rPr>
                <w:rFonts w:ascii="Arial" w:cs="Arial" w:eastAsia="Arial" w:hAnsi="Arial"/>
                <w:sz w:val="18"/>
                <w:szCs w:val="18"/>
                <w:color w:val="auto"/>
              </w:rPr>
              <w:t>Total other expense</w:t>
            </w:r>
          </w:p>
        </w:tc>
        <w:tc>
          <w:tcPr>
            <w:tcW w:w="200" w:type="dxa"/>
            <w:vAlign w:val="bottom"/>
          </w:tcPr>
          <w:p>
            <w:pPr>
              <w:spacing w:after="0"/>
              <w:rPr>
                <w:sz w:val="20"/>
                <w:szCs w:val="20"/>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(85 )</w:t>
            </w:r>
          </w:p>
        </w:tc>
        <w:tc>
          <w:tcPr>
            <w:tcW w:w="3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(190 )</w:t>
            </w:r>
          </w:p>
        </w:tc>
      </w:tr>
      <w:tr>
        <w:trPr>
          <w:trHeight w:val="276"/>
        </w:trPr>
        <w:tc>
          <w:tcPr>
            <w:tcW w:w="6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(0.14 )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(0.19 )</w:t>
            </w:r>
          </w:p>
        </w:tc>
      </w:tr>
      <w:tr>
        <w:trPr>
          <w:trHeight w:val="243"/>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weighted average shares used in calculating net loss per share</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34,800,260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21,507,061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-2378075</wp:posOffset>
            </wp:positionV>
            <wp:extent cx="113157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1570" cy="1968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-2039620</wp:posOffset>
            </wp:positionV>
            <wp:extent cx="603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-2039620</wp:posOffset>
            </wp:positionV>
            <wp:extent cx="603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-1105535</wp:posOffset>
            </wp:positionV>
            <wp:extent cx="603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-1105535</wp:posOffset>
            </wp:positionV>
            <wp:extent cx="603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-779145</wp:posOffset>
            </wp:positionV>
            <wp:extent cx="110617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179705"/>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6"/>
                <w:szCs w:val="16"/>
                <w:color w:val="auto"/>
              </w:rPr>
            </w:pPr>
          </w:p>
        </w:tc>
        <w:tc>
          <w:tcPr>
            <w:tcW w:w="10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5"/>
              </w:rPr>
              <w:t>Amoun</w:t>
            </w:r>
          </w:p>
        </w:tc>
        <w:tc>
          <w:tcPr>
            <w:tcW w:w="120" w:type="dxa"/>
            <w:vAlign w:val="bottom"/>
          </w:tcPr>
          <w:p>
            <w:pPr>
              <w:spacing w:after="0"/>
              <w:rPr>
                <w:sz w:val="11"/>
                <w:szCs w:val="1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1"/>
                <w:szCs w:val="11"/>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1"/>
                <w:szCs w:val="11"/>
                <w:color w:val="auto"/>
              </w:rPr>
            </w:pPr>
          </w:p>
        </w:tc>
        <w:tc>
          <w:tcPr>
            <w:tcW w:w="1060" w:type="dxa"/>
            <w:vAlign w:val="bottom"/>
            <w:gridSpan w:val="2"/>
            <w:vMerge w:val="restart"/>
          </w:tcPr>
          <w:p>
            <w:pPr>
              <w:jc w:val="right"/>
              <w:ind w:right="397"/>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ind w:left="220"/>
              <w:spacing w:after="0"/>
              <w:rPr>
                <w:sz w:val="20"/>
                <w:szCs w:val="20"/>
                <w:color w:val="auto"/>
              </w:rPr>
            </w:pPr>
            <w:r>
              <w:rPr>
                <w:rFonts w:ascii="Arial" w:cs="Arial" w:eastAsia="Arial" w:hAnsi="Arial"/>
                <w:sz w:val="14"/>
                <w:szCs w:val="14"/>
                <w:b w:val="1"/>
                <w:bCs w:val="1"/>
                <w:color w:val="auto"/>
              </w:rPr>
              <w:t>t</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15,510,025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457,730</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(446,910</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15"/>
                <w:szCs w:val="15"/>
                <w:color w:val="auto"/>
              </w:rPr>
            </w:pPr>
          </w:p>
        </w:tc>
        <w:tc>
          <w:tcPr>
            <w:tcW w:w="1060" w:type="dxa"/>
            <w:vAlign w:val="bottom"/>
            <w:gridSpan w:val="2"/>
          </w:tcPr>
          <w:p>
            <w:pPr>
              <w:jc w:val="right"/>
              <w:ind w:right="177"/>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6,687,610</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7,736</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77"/>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97"/>
              <w:spacing w:after="0"/>
              <w:rPr>
                <w:sz w:val="20"/>
                <w:szCs w:val="20"/>
                <w:color w:val="auto"/>
              </w:rPr>
            </w:pPr>
            <w:r>
              <w:rPr>
                <w:rFonts w:ascii="Arial" w:cs="Arial" w:eastAsia="Arial" w:hAnsi="Arial"/>
                <w:sz w:val="14"/>
                <w:szCs w:val="14"/>
                <w:color w:val="auto"/>
              </w:rPr>
              <w:t>(4,116 )</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(4,116 )</w:t>
            </w:r>
          </w:p>
        </w:tc>
        <w:tc>
          <w:tcPr>
            <w:tcW w:w="0" w:type="dxa"/>
            <w:vAlign w:val="bottom"/>
          </w:tcPr>
          <w:p>
            <w:pPr>
              <w:spacing w:after="0"/>
              <w:rPr>
                <w:sz w:val="1"/>
                <w:szCs w:val="1"/>
                <w:color w:val="auto"/>
              </w:rPr>
            </w:pPr>
          </w:p>
        </w:tc>
      </w:tr>
      <w:tr>
        <w:trPr>
          <w:trHeight w:val="209"/>
        </w:trPr>
        <w:tc>
          <w:tcPr>
            <w:tcW w:w="26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March 31, 2022</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22,197,635</w:t>
            </w:r>
          </w:p>
        </w:tc>
        <w:tc>
          <w:tcPr>
            <w:tcW w:w="2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465,646</w:t>
            </w:r>
          </w:p>
        </w:tc>
        <w:tc>
          <w:tcPr>
            <w:tcW w:w="2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(451,026</w:t>
            </w:r>
          </w:p>
        </w:tc>
        <w:tc>
          <w:tcPr>
            <w:tcW w:w="22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33,601,373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473,596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(467,185 ) $</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w:t>
            </w:r>
          </w:p>
        </w:tc>
        <w:tc>
          <w:tcPr>
            <w:tcW w:w="220" w:type="dxa"/>
            <w:vAlign w:val="bottom"/>
          </w:tcPr>
          <w:p>
            <w:pPr>
              <w:spacing w:after="0"/>
              <w:rPr>
                <w:sz w:val="15"/>
                <w:szCs w:val="15"/>
                <w:color w:val="auto"/>
              </w:rPr>
            </w:pPr>
          </w:p>
        </w:tc>
        <w:tc>
          <w:tcPr>
            <w:tcW w:w="1060" w:type="dxa"/>
            <w:vAlign w:val="bottom"/>
            <w:gridSpan w:val="2"/>
          </w:tcPr>
          <w:p>
            <w:pPr>
              <w:jc w:val="right"/>
              <w:ind w:right="177"/>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2,522,460</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77"/>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Issuance of Series F preferred stock</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060" w:type="dxa"/>
            <w:vAlign w:val="bottom"/>
            <w:gridSpan w:val="2"/>
          </w:tcPr>
          <w:p>
            <w:pPr>
              <w:jc w:val="right"/>
              <w:ind w:right="177"/>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(4,805 )</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(4,805 )</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ind w:left="20"/>
              <w:spacing w:after="0" w:line="155" w:lineRule="exact"/>
              <w:rPr>
                <w:sz w:val="20"/>
                <w:szCs w:val="20"/>
                <w:color w:val="auto"/>
              </w:rPr>
            </w:pPr>
            <w:r>
              <w:rPr>
                <w:rFonts w:ascii="Arial" w:cs="Arial" w:eastAsia="Arial" w:hAnsi="Arial"/>
                <w:sz w:val="14"/>
                <w:szCs w:val="14"/>
                <w:color w:val="auto"/>
              </w:rPr>
              <w:t>Balance at March 31, 2023</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1,952</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36,123,833</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36</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474,630</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 xml:space="preserve">(471,990 </w:t>
            </w:r>
            <w:r>
              <w:rPr>
                <w:rFonts w:ascii="Arial" w:cs="Arial" w:eastAsia="Arial" w:hAnsi="Arial"/>
                <w:sz w:val="11"/>
                <w:szCs w:val="11"/>
                <w:color w:val="auto"/>
                <w:highlight w:val="white"/>
              </w:rPr>
              <w:t>)</w:t>
            </w: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2,676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-839470</wp:posOffset>
            </wp:positionV>
            <wp:extent cx="49206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0615" cy="13716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-144780</wp:posOffset>
            </wp:positionV>
            <wp:extent cx="7683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-144780</wp:posOffset>
            </wp:positionV>
            <wp:extent cx="768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-144780</wp:posOffset>
            </wp:positionV>
            <wp:extent cx="7747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-144780</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-144780</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-144780</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-144780</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-144780</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69"/>
        </w:trPr>
        <w:tc>
          <w:tcPr>
            <w:tcW w:w="69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used in operating activities: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(4,805 )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(4,116 )</w:t>
            </w:r>
          </w:p>
        </w:tc>
      </w:tr>
      <w:tr>
        <w:trPr>
          <w:trHeight w:val="23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deferred financing costs and debt discount</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Arial" w:cs="Arial" w:eastAsia="Arial" w:hAnsi="Arial"/>
                <w:sz w:val="16"/>
                <w:szCs w:val="16"/>
                <w:color w:val="auto"/>
              </w:rPr>
              <w:t>Change in fair value of liability instruments</w:t>
            </w:r>
          </w:p>
        </w:tc>
        <w:tc>
          <w:tcPr>
            <w:tcW w:w="9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39"/>
        </w:trPr>
        <w:tc>
          <w:tcPr>
            <w:tcW w:w="6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Share-based compensation expense</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Arial" w:cs="Arial" w:eastAsia="Arial" w:hAnsi="Arial"/>
                <w:sz w:val="16"/>
                <w:szCs w:val="16"/>
                <w:color w:val="auto"/>
              </w:rPr>
              <w:t>Amortization of operating lease right-of-use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940" w:type="dxa"/>
            <w:vAlign w:val="bottom"/>
          </w:tcPr>
          <w:p>
            <w:pPr>
              <w:ind w:left="180"/>
              <w:spacing w:after="0"/>
              <w:rPr>
                <w:sz w:val="20"/>
                <w:szCs w:val="20"/>
                <w:color w:val="auto"/>
              </w:rPr>
            </w:pPr>
            <w:r>
              <w:rPr>
                <w:rFonts w:ascii="Arial" w:cs="Arial" w:eastAsia="Arial" w:hAnsi="Arial"/>
                <w:sz w:val="16"/>
                <w:szCs w:val="16"/>
                <w:color w:val="auto"/>
              </w:rPr>
              <w:t>Increases (decreases) in cash caused by changes in operating assets and liabilities: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 current assets</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(3,639 )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(650 )</w:t>
            </w:r>
          </w:p>
        </w:tc>
      </w:tr>
      <w:tr>
        <w:trPr>
          <w:trHeight w:val="239"/>
        </w:trPr>
        <w:tc>
          <w:tcPr>
            <w:tcW w:w="69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Change in operating lease liabilities</w:t>
            </w:r>
          </w:p>
        </w:tc>
        <w:tc>
          <w:tcPr>
            <w:tcW w:w="9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(35 )</w:t>
            </w:r>
          </w:p>
        </w:tc>
      </w:tr>
      <w:tr>
        <w:trPr>
          <w:trHeight w:val="220"/>
        </w:trPr>
        <w:tc>
          <w:tcPr>
            <w:tcW w:w="694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(506 )</w:t>
            </w: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6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Net cash used in operating activities</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(5,793 )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(3,876 )</w:t>
            </w:r>
          </w:p>
        </w:tc>
      </w:tr>
      <w:tr>
        <w:trPr>
          <w:trHeight w:val="229"/>
        </w:trPr>
        <w:tc>
          <w:tcPr>
            <w:tcW w:w="694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(97 )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(210 )</w:t>
            </w:r>
          </w:p>
        </w:tc>
      </w:tr>
      <w:tr>
        <w:trPr>
          <w:trHeight w:val="23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Purchase of intangible assets</w:t>
            </w:r>
          </w:p>
        </w:tc>
        <w:tc>
          <w:tcPr>
            <w:tcW w:w="9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(117 )</w:t>
            </w:r>
          </w:p>
        </w:tc>
      </w:tr>
      <w:tr>
        <w:trPr>
          <w:trHeight w:val="220"/>
        </w:trPr>
        <w:tc>
          <w:tcPr>
            <w:tcW w:w="6940" w:type="dxa"/>
            <w:vAlign w:val="bottom"/>
          </w:tcPr>
          <w:p>
            <w:pPr>
              <w:spacing w:after="0"/>
              <w:rPr>
                <w:sz w:val="20"/>
                <w:szCs w:val="20"/>
                <w:color w:val="auto"/>
              </w:rPr>
            </w:pPr>
            <w:r>
              <w:rPr>
                <w:rFonts w:ascii="Arial" w:cs="Arial" w:eastAsia="Arial" w:hAnsi="Arial"/>
                <w:sz w:val="16"/>
                <w:szCs w:val="16"/>
                <w:color w:val="auto"/>
              </w:rPr>
              <w:t>In process research and development acquired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(250 )</w:t>
            </w:r>
          </w:p>
        </w:tc>
      </w:tr>
      <w:tr>
        <w:trPr>
          <w:trHeight w:val="23"/>
        </w:trPr>
        <w:tc>
          <w:tcPr>
            <w:tcW w:w="6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(97 )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(577 )</w:t>
            </w:r>
          </w:p>
        </w:tc>
      </w:tr>
      <w:tr>
        <w:trPr>
          <w:trHeight w:val="229"/>
        </w:trPr>
        <w:tc>
          <w:tcPr>
            <w:tcW w:w="694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6"/>
                <w:szCs w:val="16"/>
                <w:color w:val="auto"/>
              </w:rPr>
              <w:t>Principal payments of term loan obligation</w:t>
            </w: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(402 )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(402 )</w:t>
            </w:r>
          </w:p>
        </w:tc>
      </w:tr>
      <w:tr>
        <w:trPr>
          <w:trHeight w:val="23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Proceeds from sale of common stock, net</w:t>
            </w:r>
          </w:p>
        </w:tc>
        <w:tc>
          <w:tcPr>
            <w:tcW w:w="9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940" w:type="dxa"/>
            <w:vAlign w:val="bottom"/>
          </w:tcPr>
          <w:p>
            <w:pPr>
              <w:ind w:left="54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Net (decrease) increase in cash and cash equivalents</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(5,397 )</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18,120</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18,400</w:t>
            </w:r>
          </w:p>
        </w:tc>
        <w:tc>
          <w:tcPr>
            <w:tcW w:w="10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12,723</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ind w:left="180"/>
              <w:spacing w:after="0"/>
              <w:rPr>
                <w:sz w:val="20"/>
                <w:szCs w:val="20"/>
                <w:color w:val="auto"/>
              </w:rPr>
            </w:pPr>
            <w:r>
              <w:rPr>
                <w:rFonts w:ascii="Arial" w:cs="Arial" w:eastAsia="Arial" w:hAnsi="Arial"/>
                <w:sz w:val="16"/>
                <w:szCs w:val="16"/>
                <w:color w:val="auto"/>
              </w:rPr>
              <w:t>Cash paid during period for:</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Interest</w:t>
            </w:r>
          </w:p>
        </w:tc>
        <w:tc>
          <w:tcPr>
            <w:tcW w:w="900" w:type="dxa"/>
            <w:vAlign w:val="bottom"/>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Unpaid offering cost</w:t>
            </w:r>
          </w:p>
        </w:tc>
        <w:tc>
          <w:tcPr>
            <w:tcW w:w="900" w:type="dxa"/>
            <w:vAlign w:val="bottom"/>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FF0FC"/>
          </w:tcPr>
          <w:p>
            <w:pPr>
              <w:spacing w:after="0"/>
              <w:rPr>
                <w:sz w:val="20"/>
                <w:szCs w:val="20"/>
                <w:color w:val="auto"/>
              </w:rPr>
            </w:pPr>
          </w:p>
        </w:tc>
      </w:tr>
      <w:tr>
        <w:trPr>
          <w:trHeight w:val="224"/>
        </w:trPr>
        <w:tc>
          <w:tcPr>
            <w:tcW w:w="6940" w:type="dxa"/>
            <w:vAlign w:val="bottom"/>
          </w:tcPr>
          <w:p>
            <w:pPr>
              <w:ind w:left="380"/>
              <w:spacing w:after="0"/>
              <w:rPr>
                <w:sz w:val="20"/>
                <w:szCs w:val="20"/>
                <w:color w:val="auto"/>
              </w:rPr>
            </w:pPr>
            <w:r>
              <w:rPr>
                <w:rFonts w:ascii="Arial" w:cs="Arial" w:eastAsia="Arial" w:hAnsi="Arial"/>
                <w:sz w:val="16"/>
                <w:szCs w:val="16"/>
                <w:color w:val="auto"/>
              </w:rPr>
              <w:t>Right-of-use assets obtained in exchange for operating lease liability</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-3133090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-3133090</wp:posOffset>
            </wp:positionV>
            <wp:extent cx="6032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-2241550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-2241550</wp:posOffset>
            </wp:positionV>
            <wp:extent cx="6032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-1650365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-1650365</wp:posOffset>
            </wp:positionV>
            <wp:extent cx="60325"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-1041400</wp:posOffset>
            </wp:positionV>
            <wp:extent cx="110617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900" w:hanging="892"/>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69" w:lineRule="auto"/>
        <w:rPr>
          <w:sz w:val="20"/>
          <w:szCs w:val="20"/>
          <w:color w:val="auto"/>
        </w:rPr>
      </w:pPr>
      <w:r>
        <w:rPr>
          <w:rFonts w:ascii="Arial" w:cs="Arial" w:eastAsia="Arial" w:hAnsi="Arial"/>
          <w:sz w:val="17"/>
          <w:szCs w:val="17"/>
          <w:color w:val="auto"/>
        </w:rPr>
        <w:t>The accompanying unaudited condensed financial statements for the three months ended March 31, 2023 and 2022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2022 has been derived from the audited financial statements at December 31, 2022,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and its subsidiaries (collectively, the “Company”) have been included. Operating results for the three months ended March 31, 2023 are not necessarily indicative of the results that may be expected for the year ending December 31, 2023. These financial statements should be read in conjunction with the financial statements and notes therein included in the Company’s Annual Report on Form 10-K for the year ended December 31, 2022, filed with the Securities and Exchange Commission on February 23, 2023.</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Grant Receivable and Revenue Recognition</w:t>
      </w:r>
    </w:p>
    <w:p>
      <w:pPr>
        <w:spacing w:after="0" w:line="121"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has a collaboration in accordance with ASC Topic 808, Collaborative Arrangements (“ASC 808”). For grants outside the scope of ASC 808, the Company applies ASC 606 or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The Company also considers the guidance in ASC Topic 730, Research and Development,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63"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Deferred grant liability represents grant funds received or receivable for which the allowable expenses have not yet been incurred as of the balance sheet date.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is permitted beginning in 2019. The Company has adopted the new guidance as of January 1, 2023, and it did not have a material impact on its financial statements and related disclosures.</w:t>
      </w:r>
    </w:p>
    <w:p>
      <w:pPr>
        <w:spacing w:after="0" w:line="215" w:lineRule="exact"/>
        <w:rPr>
          <w:sz w:val="20"/>
          <w:szCs w:val="20"/>
          <w:color w:val="auto"/>
        </w:rPr>
      </w:pPr>
    </w:p>
    <w:p>
      <w:pPr>
        <w:ind w:left="900" w:hanging="891"/>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grant revenue recognition, reviewing assets for impairment, and determining the assumptions used in measuring stock-based compensation expense.</w:t>
      </w:r>
    </w:p>
    <w:p>
      <w:pPr>
        <w:spacing w:after="0" w:line="8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As discussed in more detail in Note 7, on September 19, 2022, the Company entered into a Cancer Research Grant Contract (the “CPRIT Contract”), effective as of August 31, 2022, with the Cancer Prevention and Research Institute of Texas (“CPRIT”), pursuant to which the Company will receive up to $17.6 million to fund a portion of the clinical trials. The Company estimates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spacing w:after="0" w:line="277" w:lineRule="auto"/>
        <w:rPr>
          <w:sz w:val="20"/>
          <w:szCs w:val="20"/>
          <w:color w:val="auto"/>
        </w:rPr>
      </w:pPr>
      <w:r>
        <w:rPr>
          <w:rFonts w:ascii="Arial" w:cs="Arial" w:eastAsia="Arial" w:hAnsi="Arial"/>
          <w:sz w:val="18"/>
          <w:szCs w:val="18"/>
          <w:color w:val="auto"/>
        </w:rPr>
        <w:t>the amount of clinical trial costs that should be borne by CPRIT in accordance with the CPRIT Contract, based on the actual costs incurred and progress of the trial.</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Actual results could differ from these estimates. Management’s estimates and assumptions are reviewed regularly, and the effects of revisions are reflected in the financial statements in the periods they are determined to be necessary.</w:t>
      </w:r>
    </w:p>
    <w:p>
      <w:pPr>
        <w:spacing w:after="0" w:line="220" w:lineRule="exact"/>
        <w:rPr>
          <w:sz w:val="20"/>
          <w:szCs w:val="20"/>
          <w:color w:val="auto"/>
        </w:rPr>
      </w:pPr>
    </w:p>
    <w:p>
      <w:pPr>
        <w:ind w:left="900" w:hanging="892"/>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The Company incurred a net loss of $4.8 million for the three months ended March 31, 2023. The Company had an accumulated deficit of $472.0 million as of March 31, 2023. Additionally, the Company used net cash of $5.8 million to fund its operating activities for the three months ended March 31, 2023. These factors raise substantial doubt about the Company’s ability to continue as a going concern.</w:t>
      </w:r>
    </w:p>
    <w:p>
      <w:pPr>
        <w:spacing w:after="0" w:line="57"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To date, the Company's operating losses have been funded primarily from outside sources of invested capital from issuance of its common and preferred stocks, proceeds from its term loan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would cause the Company to default on it term loan.</w:t>
      </w:r>
    </w:p>
    <w:p>
      <w:pPr>
        <w:spacing w:after="0" w:line="176"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18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Nasdaq’s notice had no immediate effect on the listing or trading of the Company’s common stock. On November 22, 2022, the Company received a second letter from Nasdaq advising that the Company had been granted an additional 180 calendar days, or to May 22, 2023, to regain compliance with the Minimum Bid Requirement, in accordance with Nasdaq Listing Rule 5810(c)(3)(A).</w:t>
      </w:r>
    </w:p>
    <w:p>
      <w:pPr>
        <w:spacing w:after="0" w:line="184" w:lineRule="exact"/>
        <w:rPr>
          <w:sz w:val="20"/>
          <w:szCs w:val="20"/>
          <w:color w:val="auto"/>
        </w:rPr>
      </w:pPr>
    </w:p>
    <w:p>
      <w:pPr>
        <w:jc w:val="both"/>
        <w:ind w:left="520"/>
        <w:spacing w:after="0" w:line="288" w:lineRule="auto"/>
        <w:rPr>
          <w:sz w:val="20"/>
          <w:szCs w:val="20"/>
          <w:color w:val="auto"/>
        </w:rPr>
      </w:pPr>
      <w:r>
        <w:rPr>
          <w:rFonts w:ascii="Arial" w:cs="Arial" w:eastAsia="Arial" w:hAnsi="Arial"/>
          <w:sz w:val="16"/>
          <w:szCs w:val="16"/>
          <w:color w:val="auto"/>
        </w:rPr>
        <w:t>The Company intends to continue to actively monitor the closing bid price of its common stock and will evaluate available options to regain compliance with the Minimum Bid Requirement. Specifically, the Company has confirmed to Nasdaq that, if necessary, it will implement a reverse stock split of its outstanding common stock (if approved by the Company’s stockholders) to attempt to regain compliance. The Company is scheduled to hold its annual meeting of stockholders on April 20, 2023 and one of the proposals for approval is an amendment to the Company’s Amended and Restated Certificate of Incorporation, as amended (the “Charter”), to effect a reverse stock split of its issued and outstanding shares of common stock, at a specific ratio, ranging from one-for-three (1:3) to one-for-fifteen (1:15). If the stockholders do not approve the amendment to the Charter to effect a reverse stock split, or if the Company does not otherwise regain compliance within the additional compliance period, Nasdaq will provide notice that the Company’s common stock will be subject to delisting. The Company would then be entitled to appeal that determination to a Nasdaq hearings panel. There can be no assurance that the Company will regain compliance with the Minimum Bid Requirement during the 180-day additional compliance period or maintain compliance with the other Nasdaq listing requirements.</w:t>
      </w:r>
    </w:p>
    <w:p>
      <w:pPr>
        <w:spacing w:after="0" w:line="168"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continues to seek additional capital from other financing alternatives and other sources. Without additional capital, current working capital will not provide adequate funding for research and product development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the Company fail to raise additional cash from outside sources, this would have a material adverse impact on its operations.</w:t>
      </w:r>
    </w:p>
    <w:p>
      <w:pPr>
        <w:spacing w:after="0" w:line="22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3"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520"/>
        <w:spacing w:after="0" w:line="277" w:lineRule="auto"/>
        <w:rPr>
          <w:sz w:val="20"/>
          <w:szCs w:val="20"/>
          <w:color w:val="auto"/>
        </w:rPr>
      </w:pPr>
      <w:r>
        <w:rPr>
          <w:rFonts w:ascii="Arial" w:cs="Arial" w:eastAsia="Arial" w:hAnsi="Arial"/>
          <w:sz w:val="18"/>
          <w:szCs w:val="18"/>
          <w:color w:val="auto"/>
        </w:rPr>
        <w:t>a three-level hierarchy to prioritize the inputs used in the valuation techniques to derive fair values. The basis for fair value measurements for each level within the hierarchy is described below:</w:t>
      </w:r>
    </w:p>
    <w:p>
      <w:pPr>
        <w:spacing w:after="0" w:line="62"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30"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Certain warrants issued in an underwritten public offering in September 2019 (the “Series U Warrants”) are classified as liability instruments. The Company estimated the fair value of the Series U Warrants with the Black Scholes model. Because some of the 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8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March 31, 2023, the fair value of the Series U Warrants was immaterial, and the change in the fair value of liability classified Series U Warrants during the three months ended March 31, 2023 and 2022 was immaterial.</w:t>
      </w:r>
    </w:p>
    <w:p>
      <w:pPr>
        <w:spacing w:after="0" w:line="183"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Obligations</w:t>
      </w:r>
    </w:p>
    <w:p>
      <w:pPr>
        <w:spacing w:after="0" w:line="243" w:lineRule="exact"/>
        <w:rPr>
          <w:sz w:val="20"/>
          <w:szCs w:val="20"/>
          <w:color w:val="auto"/>
        </w:rPr>
      </w:pPr>
    </w:p>
    <w:p>
      <w:pPr>
        <w:jc w:val="both"/>
        <w:ind w:left="520"/>
        <w:spacing w:after="0" w:line="269" w:lineRule="auto"/>
        <w:rPr>
          <w:sz w:val="20"/>
          <w:szCs w:val="20"/>
          <w:color w:val="auto"/>
        </w:rPr>
      </w:pPr>
      <w:r>
        <w:rPr>
          <w:rFonts w:ascii="Arial" w:cs="Arial" w:eastAsia="Arial" w:hAnsi="Arial"/>
          <w:sz w:val="17"/>
          <w:szCs w:val="17"/>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 In connection with the Term Loan, on May 29, 2015, the Company issued to Oxford warrants to purchase an aggregate of 188 shares of the Company’s common stock at an exercise price of $5,175 per share. These warrants became exercisable as of November 30, 2015, and will expire on May 29, 2025 and, following authoritative accounting guidance, are equity classified and their respective fair value was recorded as a discount to the debt.</w:t>
      </w:r>
    </w:p>
    <w:p>
      <w:pPr>
        <w:spacing w:after="0" w:line="7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From September 2017 to July 2019, the Company entered into a total of eight amendments to the Term Loan that, among other things, extended the interest only period, required repayment of $3.1 million using the proceeds received from sale of the Company’s former UK and Japan subsidiaries in April 2019, increased the final payment, increased the final payment fee upon maturity or early repayment of the Term Loan, and increased the minimum liquidity covenant level to $2.0 million.</w:t>
      </w:r>
    </w:p>
    <w:p>
      <w:pPr>
        <w:spacing w:after="0" w:line="79"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March 29, 2020, the Company entered into the Ninth Amendment of the Loan and Security Agreement (the “Ninth Amendment”), pursuant to which Oxford agreed to defer the start date of principal repayment from May 1, 2020 to May 1, 2021 and extended the term of the Term Loan from September 1, 2021 to June 1, 2024.</w:t>
      </w:r>
    </w:p>
    <w:p>
      <w:pPr>
        <w:spacing w:after="0" w:line="8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Under authoritative guidance, the Ninth Amendment did not meet the criteria to be accounted for as a troubled debt restructuring. In addition, the Company performed a quantitative analysis and determined that the terms of the new debt and original debt instrument are not substantially different. Accordingly, the Ninth Amendment is accounted for as a debt modification. A new effective interest rate that equates the revised cash flows to the carrying amount of the original debt is computed and applied prospectively.</w:t>
      </w:r>
    </w:p>
    <w:p>
      <w:pPr>
        <w:spacing w:after="0" w:line="79"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March 31, 2023, there was $2.0 million principal amount outstanding under the Term Loan, excluding the $3.2 million final payment fee, and the Company was in compliance with all of the debt covenants under the Loan and Security Agreement.</w:t>
      </w:r>
    </w:p>
    <w:p>
      <w:pPr>
        <w:spacing w:after="0" w:line="8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Company’s interest expense for the three months ended March 31, 2023 and 2022 was $0.1 million and $0.2 million, respectively. Interest expense is calculated using the effective interest method; therefore it is inclusive of non-cash amortization in the amount of $0.1 million for each of the three months ended March 31, 2023 and 2022, related to the amortization of the debt discount, capitalized loan costs, and accretion of final payment.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left="520"/>
        <w:spacing w:after="0" w:line="288" w:lineRule="auto"/>
        <w:rPr>
          <w:sz w:val="20"/>
          <w:szCs w:val="20"/>
          <w:color w:val="auto"/>
        </w:rPr>
      </w:pPr>
      <w:r>
        <w:rPr>
          <w:rFonts w:ascii="Arial" w:cs="Arial" w:eastAsia="Arial" w:hAnsi="Arial"/>
          <w:sz w:val="16"/>
          <w:szCs w:val="16"/>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March 31, 2023, the Company has not received any notification or indication from Oxford that it intends to invoke the material adverse change clause. However, due to the Company’s current cash flow position and the substantial doubt about its ability to continue as a going concern, the entire principal amount of the Term Loan is presented as short-term. The Company will continue to evaluate the debt classification on a quarterly basis and evaluate for reclassification in the future should its financial condition improve.</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Loss per Share</w:t>
      </w:r>
    </w:p>
    <w:p>
      <w:pPr>
        <w:spacing w:after="0" w:line="121"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were excluded from the diluted loss per share calculation for the periods presented because their effect would be anti-dilutive:</w:t>
      </w:r>
    </w:p>
    <w:p>
      <w:pPr>
        <w:spacing w:after="0" w:line="39" w:lineRule="exact"/>
        <w:rPr>
          <w:sz w:val="20"/>
          <w:szCs w:val="20"/>
          <w:color w:val="auto"/>
        </w:rPr>
      </w:pPr>
    </w:p>
    <w:tbl>
      <w:tblPr>
        <w:tblLayout w:type="fixed"/>
        <w:tblInd w:w="580" w:type="dxa"/>
        <w:tblCellMar>
          <w:top w:w="0" w:type="dxa"/>
          <w:left w:w="0" w:type="dxa"/>
          <w:bottom w:w="0" w:type="dxa"/>
          <w:right w:w="0" w:type="dxa"/>
        </w:tblCellMar>
      </w:tblPr>
      <w:tr>
        <w:trPr>
          <w:trHeight w:val="219"/>
        </w:trPr>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As of March 31,</w:t>
            </w:r>
          </w:p>
        </w:tc>
        <w:tc>
          <w:tcPr>
            <w:tcW w:w="1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1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2,014,245</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1,170,873</w:t>
            </w:r>
          </w:p>
        </w:tc>
        <w:tc>
          <w:tcPr>
            <w:tcW w:w="100" w:type="dxa"/>
            <w:vAlign w:val="bottom"/>
            <w:shd w:val="clear" w:color="auto" w:fill="CFF0FC"/>
          </w:tcPr>
          <w:p>
            <w:pPr>
              <w:spacing w:after="0"/>
              <w:rPr>
                <w:sz w:val="21"/>
                <w:szCs w:val="21"/>
                <w:color w:val="auto"/>
              </w:rPr>
            </w:pPr>
          </w:p>
        </w:tc>
      </w:tr>
      <w:tr>
        <w:trPr>
          <w:trHeight w:val="237"/>
        </w:trPr>
        <w:tc>
          <w:tcPr>
            <w:tcW w:w="6320" w:type="dxa"/>
            <w:vAlign w:val="bottom"/>
            <w:gridSpan w:val="3"/>
          </w:tcPr>
          <w:p>
            <w:pPr>
              <w:spacing w:after="0"/>
              <w:rPr>
                <w:sz w:val="20"/>
                <w:szCs w:val="20"/>
                <w:color w:val="auto"/>
              </w:rPr>
            </w:pPr>
            <w:r>
              <w:rPr>
                <w:rFonts w:ascii="Arial" w:cs="Arial" w:eastAsia="Arial" w:hAnsi="Arial"/>
                <w:sz w:val="18"/>
                <w:szCs w:val="18"/>
                <w:color w:val="auto"/>
              </w:rPr>
              <w:t>Preferred stock</w:t>
            </w:r>
          </w:p>
        </w:tc>
        <w:tc>
          <w:tcPr>
            <w:tcW w:w="980" w:type="dxa"/>
            <w:vAlign w:val="bottom"/>
          </w:tcPr>
          <w:p>
            <w:pPr>
              <w:jc w:val="right"/>
              <w:spacing w:after="0"/>
              <w:rPr>
                <w:sz w:val="20"/>
                <w:szCs w:val="20"/>
                <w:color w:val="auto"/>
              </w:rPr>
            </w:pPr>
            <w:r>
              <w:rPr>
                <w:rFonts w:ascii="Arial" w:cs="Arial" w:eastAsia="Arial" w:hAnsi="Arial"/>
                <w:sz w:val="18"/>
                <w:szCs w:val="18"/>
                <w:color w:val="auto"/>
              </w:rPr>
              <w:t>422,867</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422,867</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warrants</w:t>
            </w:r>
          </w:p>
        </w:tc>
        <w:tc>
          <w:tcPr>
            <w:tcW w:w="13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2,141,189</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2,141,378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4,578,301</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3,735,118</w:t>
            </w:r>
          </w:p>
        </w:tc>
        <w:tc>
          <w:tcPr>
            <w:tcW w:w="10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-187960</wp:posOffset>
            </wp:positionV>
            <wp:extent cx="603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Grant Revenue</w:t>
      </w:r>
    </w:p>
    <w:p>
      <w:pPr>
        <w:spacing w:after="0" w:line="121" w:lineRule="exact"/>
        <w:rPr>
          <w:sz w:val="20"/>
          <w:szCs w:val="20"/>
          <w:color w:val="auto"/>
        </w:rPr>
      </w:pPr>
    </w:p>
    <w:p>
      <w:pPr>
        <w:jc w:val="both"/>
        <w:ind w:left="520"/>
        <w:spacing w:after="0" w:line="234" w:lineRule="auto"/>
        <w:rPr>
          <w:sz w:val="20"/>
          <w:szCs w:val="20"/>
          <w:color w:val="auto"/>
        </w:rPr>
      </w:pPr>
      <w:r>
        <w:rPr>
          <w:rFonts w:ascii="Arial" w:cs="Arial" w:eastAsia="Arial" w:hAnsi="Arial"/>
          <w:sz w:val="18"/>
          <w:szCs w:val="18"/>
          <w:color w:val="auto"/>
        </w:rPr>
        <w:t>On September 19, 2022, the Company entered into the CPRIT Contract, effective as of August 31, 2022, with CPRIT, pursuant to which CPRIT will provide the Company a grant of up to $17.6 million (the “CPRIT Grant”) over a three-year period to fund the continued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Re) obisbemeda (previously known as </w:t>
      </w:r>
      <w:r>
        <w:rPr>
          <w:rFonts w:ascii="Arial" w:cs="Arial" w:eastAsia="Arial" w:hAnsi="Arial"/>
          <w:sz w:val="24"/>
          <w:szCs w:val="24"/>
          <w:color w:val="auto"/>
          <w:vertAlign w:val="superscript"/>
        </w:rPr>
        <w:t>186</w:t>
      </w:r>
      <w:r>
        <w:rPr>
          <w:rFonts w:ascii="Arial" w:cs="Arial" w:eastAsia="Arial" w:hAnsi="Arial"/>
          <w:sz w:val="18"/>
          <w:szCs w:val="18"/>
          <w:color w:val="auto"/>
        </w:rPr>
        <w:t>RNL)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based on specific dollar thresholds and tiered low single digit royalty rates until CPRIT receives the aggregate amount of 400% of the proceeds awarded under the CPRIT Grant, and certain reporting requirements.</w:t>
      </w:r>
    </w:p>
    <w:p>
      <w:pPr>
        <w:spacing w:after="0" w:line="100"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w:t>
      </w:r>
    </w:p>
    <w:p>
      <w:pPr>
        <w:spacing w:after="0" w:line="53"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retains ownership over any intellectual property developed under the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88"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determined that the CPRIT Contract is not in the scope of ASC 808 or ASC 606. Applying ASC 606 by analogy, the Company recognizes proceeds received under the CPRIT Contract as grant revenue on the statement of operations when related costs are incurred. The Company recognized $0.5 million and $0 in grant revenue from the CPRIT Contract during the three months ended March 31, 2023 and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w:t>
      </w:r>
    </w:p>
    <w:p>
      <w:pPr>
        <w:spacing w:after="0" w:line="53"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operating lease right-of-use assets as long-term assets. Right-of-use assets for finance leases are recorded within property and equipment, net in the condensed balance sheets. Leases with an initial term of 12 months or less are not recorded on the condensed balance sheets. Instead, the Company recognizes lease expense for these leases on a straight-line basis over the lease term in the condensed statements of operations.</w:t>
      </w:r>
    </w:p>
    <w:p>
      <w:pPr>
        <w:spacing w:after="0" w:line="80"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The Charlottesville Lease is currently set to expire on March 31, 2024, and is renewable twice for twelve months each time. As of March 31, 2023, the Company believed that it was reasonably certain that the Charlottesville Lease will be renewed through March 31, 2026, and as a result, it remeasured the related lease liability as of March 31, 2023 to be $80,000 using the then-in-effect discount rate of 12.76%.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spacing w:after="0" w:line="88"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spacing w:after="0" w:line="89"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The Company’s operating lease liabilities and corresponding right-of-use assets are included in the condensed balance sheets. As of March 31, 2023, the weighted average discount rate used to measure operating lease liabilities and the operating leases remaining term were 9.0% and 2.27 years, respectively.</w:t>
      </w:r>
    </w:p>
    <w:p>
      <w:pPr>
        <w:spacing w:after="0" w:line="89"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color w:val="auto"/>
        </w:rPr>
        <w:t>The table below summarizes the Company’s lease costs from its unaudited condensed statements of operations, and cash payments from its unaudited condensed statements of cash flows during the three months ended March 31, 2023 and 2022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Three Months Ended March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47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7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lease expense</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2000" w:type="dxa"/>
            <w:vAlign w:val="bottom"/>
            <w:gridSpan w:val="2"/>
          </w:tcPr>
          <w:p>
            <w:pPr>
              <w:jc w:val="right"/>
              <w:ind w:right="18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payment information:</w:t>
            </w:r>
          </w:p>
        </w:tc>
        <w:tc>
          <w:tcPr>
            <w:tcW w:w="7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4740" w:type="dxa"/>
            <w:vAlign w:val="bottom"/>
          </w:tcPr>
          <w:p>
            <w:pPr>
              <w:ind w:left="100"/>
              <w:spacing w:after="0"/>
              <w:rPr>
                <w:sz w:val="20"/>
                <w:szCs w:val="20"/>
                <w:color w:val="auto"/>
              </w:rPr>
            </w:pPr>
            <w:r>
              <w:rPr>
                <w:rFonts w:ascii="Arial" w:cs="Arial" w:eastAsia="Arial" w:hAnsi="Arial"/>
                <w:sz w:val="18"/>
                <w:szCs w:val="18"/>
                <w:color w:val="auto"/>
              </w:rPr>
              <w:t>Operating cash used for operating leases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2000" w:type="dxa"/>
            <w:vAlign w:val="bottom"/>
            <w:gridSpan w:val="2"/>
          </w:tcPr>
          <w:p>
            <w:pPr>
              <w:jc w:val="right"/>
              <w:ind w:right="18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7"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Total rent expenses for the three months ended March 31, 2023 and 2022 were $47,000 and $60,000, respectively, which includes leases in the table above, month-to-month operating leases, and common area maintenance charges.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future minimum annual lease payments under operating leases at March 31, 2023 are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2023</w:t>
            </w:r>
          </w:p>
        </w:tc>
        <w:tc>
          <w:tcPr>
            <w:tcW w:w="340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CFF0FC"/>
          </w:tcPr>
          <w:p>
            <w:pPr>
              <w:spacing w:after="0"/>
              <w:rPr>
                <w:sz w:val="21"/>
                <w:szCs w:val="21"/>
                <w:color w:val="auto"/>
              </w:rPr>
            </w:pPr>
          </w:p>
        </w:tc>
        <w:tc>
          <w:tcPr>
            <w:tcW w:w="2440" w:type="dxa"/>
            <w:vAlign w:val="bottom"/>
            <w:shd w:val="clear" w:color="auto" w:fill="CFF0FC"/>
          </w:tcPr>
          <w:p>
            <w:pPr>
              <w:spacing w:after="0"/>
              <w:rPr>
                <w:sz w:val="21"/>
                <w:szCs w:val="21"/>
                <w:color w:val="auto"/>
              </w:rPr>
            </w:pP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2026</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FF0FC"/>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spacing w:after="0"/>
              <w:rPr>
                <w:sz w:val="21"/>
                <w:szCs w:val="21"/>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96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960" w:type="dxa"/>
            <w:vAlign w:val="bottom"/>
            <w:tcBorders>
              <w:bottom w:val="single" w:sz="8" w:color="CFF0FC"/>
            </w:tcBorders>
            <w:shd w:val="clear" w:color="auto" w:fill="CFF0FC"/>
          </w:tcPr>
          <w:p>
            <w:pPr>
              <w:spacing w:after="0"/>
              <w:rPr>
                <w:sz w:val="20"/>
                <w:szCs w:val="20"/>
                <w:color w:val="auto"/>
              </w:rPr>
            </w:pPr>
          </w:p>
        </w:tc>
        <w:tc>
          <w:tcPr>
            <w:tcW w:w="2440" w:type="dxa"/>
            <w:vAlign w:val="bottom"/>
            <w:tcBorders>
              <w:bottom w:val="single" w:sz="8" w:color="auto"/>
            </w:tcBorders>
            <w:shd w:val="clear" w:color="auto" w:fill="CFF0FC"/>
          </w:tcPr>
          <w:p>
            <w:pPr>
              <w:spacing w:after="0"/>
              <w:rPr>
                <w:sz w:val="20"/>
                <w:szCs w:val="20"/>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Present value of obligations under leases</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960" w:type="dxa"/>
            <w:vAlign w:val="bottom"/>
            <w:shd w:val="clear" w:color="auto" w:fill="CFF0FC"/>
          </w:tcPr>
          <w:p>
            <w:pPr>
              <w:spacing w:after="0"/>
              <w:rPr>
                <w:sz w:val="21"/>
                <w:szCs w:val="21"/>
                <w:color w:val="auto"/>
              </w:rPr>
            </w:pPr>
          </w:p>
        </w:tc>
        <w:tc>
          <w:tcPr>
            <w:tcW w:w="2440" w:type="dxa"/>
            <w:vAlign w:val="bottom"/>
            <w:shd w:val="clear" w:color="auto" w:fill="CFF0FC"/>
          </w:tcPr>
          <w:p>
            <w:pPr>
              <w:spacing w:after="0"/>
              <w:rPr>
                <w:sz w:val="21"/>
                <w:szCs w:val="21"/>
                <w:color w:val="auto"/>
              </w:rPr>
            </w:pP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(107 )</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00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Noncurrent lease obligations</w:t>
            </w:r>
          </w:p>
        </w:tc>
        <w:tc>
          <w:tcPr>
            <w:tcW w:w="960" w:type="dxa"/>
            <w:vAlign w:val="bottom"/>
            <w:tcBorders>
              <w:top w:val="single" w:sz="8" w:color="CFF0FC"/>
            </w:tcBorders>
          </w:tcPr>
          <w:p>
            <w:pPr>
              <w:spacing w:after="0"/>
              <w:rPr>
                <w:sz w:val="21"/>
                <w:szCs w:val="21"/>
                <w:color w:val="auto"/>
              </w:rPr>
            </w:pPr>
          </w:p>
        </w:tc>
        <w:tc>
          <w:tcPr>
            <w:tcW w:w="2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0" w:type="dxa"/>
            <w:vAlign w:val="bottom"/>
            <w:gridSpan w:val="2"/>
          </w:tcPr>
          <w:p>
            <w:pPr>
              <w:ind w:left="960"/>
              <w:spacing w:after="0"/>
              <w:rPr>
                <w:sz w:val="20"/>
                <w:szCs w:val="20"/>
                <w:color w:val="auto"/>
              </w:rPr>
            </w:pPr>
            <w:r>
              <w:rPr>
                <w:rFonts w:ascii="Arial" w:cs="Arial" w:eastAsia="Arial" w:hAnsi="Arial"/>
                <w:sz w:val="18"/>
                <w:szCs w:val="18"/>
                <w:color w:val="auto"/>
              </w:rPr>
              <w:t>12</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-1310640</wp:posOffset>
            </wp:positionV>
            <wp:extent cx="603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i w:val="1"/>
          <w:iCs w:val="1"/>
          <w:color w:val="auto"/>
        </w:rPr>
        <w:t>Services Agreement and Sales Order with Medidata</w:t>
      </w:r>
    </w:p>
    <w:p>
      <w:pPr>
        <w:spacing w:after="0" w:line="117"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On March 31, 2022, the Company and Medidata Solutions, Inc. (“Medidata”) entered into a Sales Order (the “Sales Order”), pursuant to which Medidata will build a Synthetic Control Arm</w:t>
      </w:r>
      <w:r>
        <w:rPr>
          <w:rFonts w:ascii="Arial" w:cs="Arial" w:eastAsia="Arial" w:hAnsi="Arial"/>
          <w:sz w:val="20"/>
          <w:szCs w:val="20"/>
          <w:color w:val="auto"/>
          <w:vertAlign w:val="superscript"/>
        </w:rPr>
        <w:t>®</w:t>
      </w:r>
      <w:r>
        <w:rPr>
          <w:rFonts w:ascii="Arial" w:cs="Arial" w:eastAsia="Arial" w:hAnsi="Arial"/>
          <w:sz w:val="18"/>
          <w:szCs w:val="18"/>
          <w:color w:val="auto"/>
        </w:rPr>
        <w:t xml:space="preserve"> (“SCA”) platform that facilitates the use of historical clinical data to incorporate into the Company’s Phase 2 clinical trial of rhenium (</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 recurrent glioblastoma (“GBM”). The Sales Order is governed under the terms of a services agreement (the “Services Agreement”), dated November 5, 2021.</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Sales Order had a term of six months, and work under the Sales Order has been completed.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Piramal Master Services Agreement</w:t>
      </w:r>
    </w:p>
    <w:p>
      <w:pPr>
        <w:spacing w:after="0" w:line="117"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 xml:space="preserve">On January 8, 2021, the Company entered into a Master Services Agreement (the “MSA”) with Piramal Pharma Solutions, Inc. (“Piramal”), for Piramal to perform certain services related to the development, manufacture, and supply of the Company’s rhenium </w:t>
      </w:r>
      <w:r>
        <w:rPr>
          <w:rFonts w:ascii="Arial" w:cs="Arial" w:eastAsia="Arial" w:hAnsi="Arial"/>
          <w:sz w:val="21"/>
          <w:szCs w:val="21"/>
          <w:color w:val="auto"/>
        </w:rPr>
        <w:t>(</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83"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March 31, 2023, the Company did not have any clinical research study obligations.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left="520"/>
        <w:spacing w:after="0" w:line="268" w:lineRule="auto"/>
        <w:rPr>
          <w:sz w:val="20"/>
          <w:szCs w:val="20"/>
          <w:color w:val="auto"/>
        </w:rPr>
      </w:pPr>
      <w:r>
        <w:rPr>
          <w:rFonts w:ascii="Arial" w:cs="Arial" w:eastAsia="Arial" w:hAnsi="Arial"/>
          <w:sz w:val="17"/>
          <w:szCs w:val="17"/>
          <w:color w:val="auto"/>
        </w:rPr>
        <w:t>On June 22, 2021, the Company was named as a defendant in an action brought by Lorem Vascular, Pte. Ltd. (“Lorem”) in the District Court for the District of Delaware. The complaint alleged false representations were made to Lorem regarding the manufacturing facility in the United Kingdom (the “UK Facility”) that Lorem purchased from the Company under the Asset and Equity Purchase Agreement, dated March 29, 2019, between the Company and Lorem (the “Lorem Agreement”). Lorem also claimed that false representations were made regarding the UK Facility’s certification to sell and distribute devices in the European Union and export such devices to China. In connection with these allegations, Lorem claimed entitlement to at least $6,000,000 in compensatory damages and operational costs and expenses (collectively, the “Lorem Claim”). On December 9, 2022, the Company entered into a settlement agreement (the “Settlement Agreement”) with Lorem to settle the Lorem Claim. Under the terms of the Settlement Agreement, the Company made a payment to Lorem, and Lorem moved to dismiss the lawsuit with prejudice. The Settlement Agreement released the Company from all claims made by Lorem. The parties to the Settlement Agreement recognized that it did not constitute an admission of liability, wrongdoing, or any matter of fact or law. The Settlement was conditioned on the customary terms contained in the Settlement Agreement and was approved by the Court and the case was dismissed on January 17, 2023. As of December 31, 2022, the Company accrued the settlement amount, as well as the accounts that the Company has confirmed to be recoverable under its insurance claims on the matter. The net amount of $1.4 million that was not recoverable under the Company's insurance has been reflected as an expense in the condensed statement of operations for the year ended December 31, 2022. The full settlement amount was paid in January 2023. All legal costs related to the Lorem Claim were expensed as incurred.</w:t>
      </w:r>
    </w:p>
    <w:p>
      <w:pPr>
        <w:spacing w:after="0" w:line="87"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6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UT Health Science Center at San Antonio (“UTHSCSA”)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3" w:name="page14"/>
    <w:bookmarkEnd w:id="13"/>
    <w:p>
      <w:pPr>
        <w:jc w:val="both"/>
        <w:ind w:left="520"/>
        <w:spacing w:after="0" w:line="257" w:lineRule="auto"/>
        <w:rPr>
          <w:sz w:val="20"/>
          <w:szCs w:val="20"/>
          <w:color w:val="auto"/>
        </w:rPr>
      </w:pPr>
      <w:r>
        <w:rPr>
          <w:rFonts w:ascii="Arial" w:cs="Arial" w:eastAsia="Arial" w:hAnsi="Arial"/>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8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Pursuant to the UTHSCSA License Agreement, the Company was required to make an upfront payment, which was recorded as in-process research and development acquired in the condensed statement of operations for the year ended December 31, 2021. The upfront payment of $0.3 million was paid in cash in January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NanoTx License Agreement</w:t>
      </w:r>
    </w:p>
    <w:p>
      <w:pPr>
        <w:spacing w:after="0" w:line="11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8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March 31, 2023, the Company accrued $1.0 million of payments due to NanoTx as a result of the CPRIT grant received (Note 7).</w:t>
      </w:r>
    </w:p>
    <w:p>
      <w:pPr>
        <w:spacing w:after="0" w:line="184" w:lineRule="exact"/>
        <w:rPr>
          <w:sz w:val="20"/>
          <w:szCs w:val="20"/>
          <w:color w:val="auto"/>
        </w:rPr>
      </w:pPr>
    </w:p>
    <w:p>
      <w:pPr>
        <w:ind w:left="520" w:right="9240" w:hanging="512"/>
        <w:spacing w:after="0" w:line="425" w:lineRule="auto"/>
        <w:tabs>
          <w:tab w:leader="none" w:pos="37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Preferred Stock</w:t>
      </w:r>
    </w:p>
    <w:p>
      <w:pPr>
        <w:jc w:val="both"/>
        <w:ind w:left="520"/>
        <w:spacing w:after="0" w:line="342" w:lineRule="auto"/>
        <w:rPr>
          <w:sz w:val="20"/>
          <w:szCs w:val="20"/>
          <w:color w:val="auto"/>
        </w:rPr>
      </w:pPr>
      <w:r>
        <w:rPr>
          <w:rFonts w:ascii="Arial" w:cs="Arial" w:eastAsia="Arial" w:hAnsi="Arial"/>
          <w:sz w:val="16"/>
          <w:szCs w:val="16"/>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Series F Preferred Stock</w:t>
      </w:r>
    </w:p>
    <w:p>
      <w:pPr>
        <w:spacing w:after="0" w:line="117"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1 share of Series F Preferred Stock. The Certificate of Designation provides that the share of Series F Preferred Stock will have 50,000,000 votes per share of Series F Preferred Stock and will vote together with the Company’s common stock, $0.001 par value (the “Common Stock”) as a single class exclusively with respect to any proposal to amend the Company’s Charter to effect a reverse stock split of the Common Stock (the “Reverse Stock Split”). The Series F Preferred Stock will be voted, without action by the holder, on any such proposal in the same proportion as shares of Common Stock are voted on such proposal. The Series F Preferred Stock otherwise has no voting rights except as otherwise required by the General Corporation Law of the State of Delaware.</w:t>
      </w:r>
    </w:p>
    <w:p>
      <w:pPr>
        <w:spacing w:after="0" w:line="70"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Series F Preferred Stock is not convertible into, or exchangeable for, shares of any other class or series of stock or other securities of the Company. The Series F Preferred Stock has no rights with respect to any distribution of assets of the Company, including upon a liquidation, bankruptcy, reorganization, merger, acquisition, sale, dissolution or winding up of the Company, whether voluntarily or involuntarily. The holder of the Series F Preferred Stock will not be entitled to receive dividends of any kind.</w:t>
      </w:r>
    </w:p>
    <w:p>
      <w:pPr>
        <w:spacing w:after="0" w:line="79" w:lineRule="exact"/>
        <w:rPr>
          <w:sz w:val="20"/>
          <w:szCs w:val="20"/>
          <w:color w:val="auto"/>
        </w:rPr>
      </w:pPr>
    </w:p>
    <w:p>
      <w:pPr>
        <w:jc w:val="both"/>
        <w:ind w:left="520" w:right="20"/>
        <w:spacing w:after="0" w:line="286" w:lineRule="auto"/>
        <w:rPr>
          <w:sz w:val="20"/>
          <w:szCs w:val="20"/>
          <w:color w:val="auto"/>
        </w:rPr>
      </w:pPr>
      <w:r>
        <w:rPr>
          <w:rFonts w:ascii="Arial" w:cs="Arial" w:eastAsia="Arial" w:hAnsi="Arial"/>
          <w:sz w:val="17"/>
          <w:szCs w:val="17"/>
          <w:color w:val="auto"/>
        </w:rPr>
        <w:t>The outstanding share of Series F Preferred Stock shall be redeemed in whole, but not in part, at any time: (i) if such redemption is approved by the board of directors in its sole discretion or (ii) automatically and effective upon the approval by the Company’s stockholders of a Reverse Stock Split. Upon such redemption, the holder of the Series F Preferred Stock will receive consideration of $1,000 in cash.</w:t>
      </w:r>
    </w:p>
    <w:p>
      <w:pPr>
        <w:spacing w:after="0" w:line="5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3, 2023, the Company entered into a Subscription and Investment Representation Agreement (the “Subscription Agreement”) with Richard J. Hawkins, Chairman of the board of directors of the Company, who is an accredited investor (the “Purchaser”), pursuant to which the Company agreed to issue and sell one (1) share of the Company’s Series F Preferred Stock, par value $0.001 per share (the “Preferred Stock”), to the Purchaser for $1,000 in cash. The sale closed on March 3, 2023.</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Series B and C Preferred Stock</w:t>
      </w:r>
    </w:p>
    <w:p>
      <w:pPr>
        <w:spacing w:after="0" w:line="11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There were 1,014 shares of Series B Convertible Preferred Stock outstanding as of March 31, 2023 and December 31, 2022. There were 938 shares of Series C Preferred Stock outstanding as of March 31, 2023 and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spacing w:after="0" w:line="342" w:lineRule="auto"/>
        <w:rPr>
          <w:sz w:val="20"/>
          <w:szCs w:val="20"/>
          <w:color w:val="auto"/>
        </w:rPr>
      </w:pPr>
      <w:r>
        <w:rPr>
          <w:rFonts w:ascii="Arial" w:cs="Arial" w:eastAsia="Arial" w:hAnsi="Arial"/>
          <w:sz w:val="16"/>
          <w:szCs w:val="16"/>
          <w:color w:val="auto"/>
        </w:rPr>
        <w:t>As of March 31, 2023, there were 938 outstanding shares of Series C Preferred Stock that can be converted into an aggregate of 416,889 shares of common stock, and 1,014 shares of Series B Convertible Preferred Stock that can be converted into an aggregate of 5,978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25, 2019, the Company completed an underwritten public offering. The Company issued 289,000 shares of its common stock, along with pre-funded warrants to purchase 2,711,000 shares of its common stock and Series U Warrants to purchase 3,450,000 shares of its common stock at $5.00 per share. The Series U Warrants have a term of five years from the issuance date. In addition, the Company issued warrants to H.C. Wainwright &amp; Co., LLC, as representatives of the underwriters, to purchase 75,000 shares of its common stock at $6.25 per share with a term of 5 years from the issuance date, in the form of Series U Warrants (the “Representative Warrants”).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authoritative guidance, the pre-funded warrants are classified as equity. The Series U Warrants and the Representative Warrants were initially classified at issuance as liabilities due to a contingent obligation for the Company to settle the Series U Warrants with cash upon certain change in control events. In 2020, all but 2,500 Series U Warrants were amended and met the requirements to be classified within stockholder’s equity.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2023, there were 2,141,000 outstanding Series U Warrants which can be exercised into an aggregate of 2,141,000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execution of the 2022 Purchase Agreement, the Company paid $125,000 in cash as the initial commitment fee, and issued 492,698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17, 2022, a registration statement was declared effective to cover the resale of up to 9,500,000 shares of the Company's common stock comprised of (i) the 492,698 initial commitment shares, and (ii) up to 9,007,302 that the Company has reserved for issuance and sale to Lincoln Park under the Purchase Agreement from time to time from and after the date of this prospectus. The Company cannot sell more shares under the 2022 Purchase Agreement without registering additional shares.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period from August 17, 2022 to December 31, 2022, the Company issued 4,000,000 shares under the 2022 Purchase Agreement for net proceeds of approximately $3.2 million. No shares were issued under the 2022 Purchase Agreement subsequent to December 31, 2022.</w:t>
      </w:r>
    </w:p>
    <w:p>
      <w:pPr>
        <w:spacing w:after="0" w:line="34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9"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2021, the Company issued 5,685,186 shares of its common stock under the 2020 Purchase Agreement for net proceeds of approximately $12.5 million. During the year issued December 31, 2022, the Company issued 5,665,000 shares of its common stock under the 2020 Purchase Agreement for net proceeds of approximately $7.0 million. The Company no longer has any additional shares of common stock registered to sell under the 2020 Purchase Agreement and has terminated the 2020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9, 2022, the Company entered into an Equity Distribution Agreement (the “September 2022 Distribution Agreement”) with Canaccord Genuity LLC (“Canaccord”), pursuant to which the Company may issue and sell, from time to time, shares of its common stock having an aggregate offering price of up to $5,000,000, depending on market demand, with Canaccord acting as an agent for sales. Sales of the Company's common stock may be made by any method permitted by law deemed to be an “at-the-market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The Company has no obligation to sell any of its common stock. The Company may instruct Canaccord not to sell any common stock if the sales cannot be effected at or above the price designated by the Company from time to time and the Company may at any time suspend sales pursuant to the September 2022 Distribution Agreement. During the period from September 9, 2022 to December 31, 2022, the Company issued 1,031,371 shares of its common stock under the September 2022 Distribution Agreement for net proceeds of approximately $0.6 million. From January 1, 2023 through April 18, 2023, the Company issued 3,136,058 shares under the September 2022 Distribution Agreement for net proceeds of approximately $1.1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pay Canaccord a commission of up to 3.0% of the gross proceeds from the sale of its common stock under the September 2022 Distribution Agreement. The Company has also agreed to reimburse Canaccord for its reasonable documented out-of-pocket expenses, including fees and disbursements of its counsel, in the amount of $50,000. In addition, the Company has agreed to provide customary indemnification rights to Canaccord.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Offering will terminate upon the earlier of (1) the issuance and sale of all shares of the Company’s common stock subject to the September 2022 Distribution Agreement, or (2) the termination of the Distribution Agreement as permitted therein, including by either party at any time without liability of any party.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shares,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2022, the Company issued 6,902,279 shares under the January 2022 Distribution Agreement for net proceeds of approximately $4.8 million. The January 2022 Distribution Agreement has been terminated after all available registered shares were fully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15, 2022, the Company announced that its Board of Directors has approved a share repurchase program pursuant to which the Company is authorized to repurchase up to $2.0 million of the Company’s outstanding common stock. The timing and amount of any shares repurchased will be determined based on the Company’s evaluation of market conditions and other factors, including consent of Oxford. Repurchases may be made from time to time on the open market over the course of 12 months. The Company is not obligated to acquire any shares and the program may be discontinued or suspended at any time. Through the date of filing of this Form 10-Q, the Company has not repurchased any of its common stock under this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Stock-based Compensation</w:t>
      </w:r>
    </w:p>
    <w:p>
      <w:pPr>
        <w:spacing w:after="0" w:line="13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March 31, 2023, there were 90,389 shares of common stock remaining and available for future issuances under the 2015 Plan.</w:t>
      </w:r>
    </w:p>
    <w:p>
      <w:pPr>
        <w:spacing w:after="0" w:line="187"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3,550,000 shares of common stock, plus the number of shares available for issuance is increased to the extent that awards granted under the 2020 Plan and the Company’s 2014 Equity Incentive Plan are forfeited or expire (except as otherwise provided in the 2020 Plan). As of March 31, 2023, there were 1,796,451 shares remaining and available for future issuances under the 2020 Plan.</w:t>
      </w:r>
    </w:p>
    <w:p>
      <w:pPr>
        <w:spacing w:after="0" w:line="16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the three months ended March 31, 2023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7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9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220" w:type="dxa"/>
            <w:vAlign w:val="bottom"/>
          </w:tcPr>
          <w:p>
            <w:pPr>
              <w:spacing w:after="0"/>
              <w:rPr>
                <w:sz w:val="16"/>
                <w:szCs w:val="16"/>
                <w:color w:val="auto"/>
              </w:rPr>
            </w:pPr>
          </w:p>
        </w:tc>
        <w:tc>
          <w:tcPr>
            <w:tcW w:w="740" w:type="dxa"/>
            <w:vAlign w:val="bottom"/>
          </w:tcPr>
          <w:p>
            <w:pPr>
              <w:jc w:val="center"/>
              <w:ind w:left="1"/>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1,175,016</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839,266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26,059.46</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March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2,014,245</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FF0FC"/>
            </w:tcBorders>
          </w:tcPr>
          <w:p>
            <w:pPr>
              <w:spacing w:after="0"/>
              <w:rPr>
                <w:sz w:val="20"/>
                <w:szCs w:val="20"/>
                <w:color w:val="auto"/>
              </w:rPr>
            </w:pPr>
          </w:p>
        </w:tc>
        <w:tc>
          <w:tcPr>
            <w:tcW w:w="9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top w:val="single" w:sz="8" w:color="CFF0FC"/>
            </w:tcBorders>
          </w:tcPr>
          <w:p>
            <w:pPr>
              <w:spacing w:after="0"/>
              <w:rPr>
                <w:sz w:val="20"/>
                <w:szCs w:val="20"/>
                <w:color w:val="auto"/>
              </w:rPr>
            </w:pPr>
          </w:p>
        </w:tc>
        <w:tc>
          <w:tcPr>
            <w:tcW w:w="740" w:type="dxa"/>
            <w:vAlign w:val="bottom"/>
            <w:tcBorders>
              <w:top w:val="single" w:sz="8" w:color="CFF0FC"/>
              <w:bottom w:val="single" w:sz="8" w:color="auto"/>
            </w:tcBorders>
          </w:tcPr>
          <w:p>
            <w:pPr>
              <w:jc w:val="right"/>
              <w:ind w:right="56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March 31,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1,886,155</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jc w:val="right"/>
              <w:ind w:right="56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756,581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960" w:type="dxa"/>
            <w:vAlign w:val="bottom"/>
            <w:gridSpan w:val="2"/>
          </w:tcPr>
          <w:p>
            <w:pPr>
              <w:jc w:val="right"/>
              <w:ind w:right="56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-548005</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-205105</wp:posOffset>
            </wp:positionV>
            <wp:extent cx="227203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72030" cy="205740"/>
                    </a:xfrm>
                    <a:prstGeom prst="rect">
                      <a:avLst/>
                    </a:prstGeom>
                    <a:noFill/>
                  </pic:spPr>
                </pic:pic>
              </a:graphicData>
            </a:graphic>
          </wp:anchor>
        </w:drawing>
      </w:r>
    </w:p>
    <w:p>
      <w:pPr>
        <w:spacing w:after="0" w:line="182"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As of March 31, 2023, the total compensation cost related to non-vested stock options not yet recognized for all the Company’s plans is approximately $1.1 million, which is expected to be recognized as a result of vesting under service conditions over a weighted average period of 2.3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2022, as filed on February 23,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2022,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right="3680"/>
        <w:spacing w:after="0" w:line="422" w:lineRule="auto"/>
        <w:rPr>
          <w:sz w:val="20"/>
          <w:szCs w:val="20"/>
          <w:color w:val="auto"/>
        </w:rPr>
      </w:pPr>
      <w:r>
        <w:rPr>
          <w:rFonts w:ascii="Arial" w:cs="Arial" w:eastAsia="Arial" w:hAnsi="Arial"/>
          <w:sz w:val="16"/>
          <w:szCs w:val="16"/>
          <w:color w:val="auto"/>
        </w:rPr>
        <w:t>Overview that discusses our operating results and some of the trends that affect our business. Results of Operations that includes a more detailed discussion of our revenue and expenses.</w:t>
      </w:r>
    </w:p>
    <w:p>
      <w:pPr>
        <w:ind w:left="900" w:hanging="15"/>
        <w:spacing w:after="0" w:line="277" w:lineRule="auto"/>
        <w:rPr>
          <w:sz w:val="20"/>
          <w:szCs w:val="20"/>
          <w:color w:val="auto"/>
        </w:rPr>
      </w:pPr>
      <w:r>
        <w:rPr>
          <w:rFonts w:ascii="Arial" w:cs="Arial" w:eastAsia="Arial" w:hAnsi="Arial"/>
          <w:sz w:val="18"/>
          <w:szCs w:val="18"/>
          <w:color w:val="auto"/>
        </w:rPr>
        <w:t>Liquidity and Capital Resources that discusses key aspects of our statements of cash flows, changes in our financial position and our financial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3"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18"/>
          <w:szCs w:val="18"/>
          <w:color w:val="auto"/>
        </w:rPr>
        <w:t>Our lead radiotherapeutic candidate,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(formerly, “</w:t>
      </w:r>
      <w:r>
        <w:rPr>
          <w:rFonts w:ascii="Arial" w:cs="Arial" w:eastAsia="Arial" w:hAnsi="Arial"/>
          <w:sz w:val="24"/>
          <w:szCs w:val="24"/>
          <w:color w:val="auto"/>
          <w:vertAlign w:val="superscript"/>
        </w:rPr>
        <w:t>186</w:t>
      </w:r>
      <w:r>
        <w:rPr>
          <w:rFonts w:ascii="Arial" w:cs="Arial" w:eastAsia="Arial" w:hAnsi="Arial"/>
          <w:sz w:val="18"/>
          <w:szCs w:val="18"/>
          <w:color w:val="auto"/>
        </w:rPr>
        <w:t>RNL”),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recently acquired radiotherapeutic candidate, Rhenium-188 NanoLiposome Biodegradable Alginate Microsphere (“</w:t>
      </w:r>
      <w:r>
        <w:rPr>
          <w:rFonts w:ascii="Arial" w:cs="Arial" w:eastAsia="Arial" w:hAnsi="Arial"/>
          <w:sz w:val="24"/>
          <w:szCs w:val="24"/>
          <w:color w:val="auto"/>
          <w:vertAlign w:val="superscript"/>
        </w:rPr>
        <w:t>188</w:t>
      </w:r>
      <w:r>
        <w:rPr>
          <w:rFonts w:ascii="Arial" w:cs="Arial" w:eastAsia="Arial" w:hAnsi="Arial"/>
          <w:sz w:val="18"/>
          <w:szCs w:val="18"/>
          <w:color w:val="auto"/>
        </w:rPr>
        <w:t>RNL-BAM”) is designed to treat many solid organ cancers including primary and secondary liver cancers by intra-arterial injection.</w:t>
      </w:r>
    </w:p>
    <w:p>
      <w:pPr>
        <w:spacing w:after="0" w:line="2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 addition to our headquarters in Austin, we have an established, GMP-validated research and development and manufacturing facility in San Antonio, Texas, tailored to produce cGMP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ongoing and planned Phase 2 and Phase 3 clinical trials in patients with GBM, LM and PBC.</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Pipeline</w:t>
      </w:r>
    </w:p>
    <w:p>
      <w:pPr>
        <w:spacing w:after="0" w:line="166" w:lineRule="exact"/>
        <w:rPr>
          <w:sz w:val="20"/>
          <w:szCs w:val="20"/>
          <w:color w:val="auto"/>
        </w:rPr>
      </w:pPr>
    </w:p>
    <w:p>
      <w:pPr>
        <w:jc w:val="both"/>
        <w:ind w:firstLine="749"/>
        <w:spacing w:after="0" w:line="221" w:lineRule="auto"/>
        <w:rPr>
          <w:sz w:val="20"/>
          <w:szCs w:val="20"/>
          <w:color w:val="auto"/>
        </w:rPr>
      </w:pPr>
      <w:r>
        <w:rPr>
          <w:rFonts w:ascii="Arial" w:cs="Arial" w:eastAsia="Arial" w:hAnsi="Arial"/>
          <w:sz w:val="17"/>
          <w:szCs w:val="17"/>
          <w:color w:val="auto"/>
        </w:rPr>
        <w:t>Our most advanced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a patented radiotherapy potentially useful for patients with CNS and other cancers. Preclinical study data describing the use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several cancer targets have been published in peer-reviewed journals and reported at a variety of medical society peer-reviewed meetings. Besides GBM, LM and PBC,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been reported to have potential applications for head and neck cancer, ovarian cancer, breast cancer and peritoneal metastases.</w:t>
      </w:r>
    </w:p>
    <w:p>
      <w:pPr>
        <w:spacing w:after="0" w:line="10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The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technology was part of a licensed radiotherapeutic portfolio that we acquired from NanoTx, Corp.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recurrent GBM through the completion of a Phase 2 clinical trial, including enrollment of up to 55 patients.</w:t>
      </w:r>
    </w:p>
    <w:p>
      <w:pPr>
        <w:spacing w:after="0" w:line="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August 29, 2022, we announced feedback from a Type C meeting with the FDA regarding Chemistry, Manufacturing and Controls (“CMC”) practices. The meeting focused on our Current Good Manufacturing Practice (“cGMP”) clinical and commercial manufacturing process for our lead investigational targeted radiotherapeutic, BMEDA-chelated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recurrent GBM.</w:t>
      </w:r>
    </w:p>
    <w:p>
      <w:pPr>
        <w:spacing w:after="0" w:line="86"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The FDA indicated agreement with our proposed application of cGMP guidance for radiotherapeutics, small molecule drug products and liposome drug products for our novel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used in other clinical development programs, including LM and PBC.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 (</w:t>
      </w:r>
      <w:r>
        <w:rPr>
          <w:rFonts w:ascii="Arial" w:cs="Arial" w:eastAsia="Arial" w:hAnsi="Arial"/>
          <w:sz w:val="24"/>
          <w:szCs w:val="24"/>
          <w:i w:val="1"/>
          <w:iCs w:val="1"/>
          <w:color w:val="auto"/>
          <w:vertAlign w:val="superscript"/>
        </w:rPr>
        <w:t>186</w:t>
      </w:r>
      <w:r>
        <w:rPr>
          <w:rFonts w:ascii="Arial" w:cs="Arial" w:eastAsia="Arial" w:hAnsi="Arial"/>
          <w:sz w:val="18"/>
          <w:szCs w:val="18"/>
          <w:i w:val="1"/>
          <w:iCs w:val="1"/>
          <w:color w:val="auto"/>
        </w:rPr>
        <w:t>Re) obisbemeda versus External Beam Radiation Therapy for Recurrent GBM</w:t>
      </w:r>
    </w:p>
    <w:p>
      <w:pPr>
        <w:spacing w:after="0" w:line="6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a novel injectable radiotherapy designed to deliver targeted, high dose radiation directly into GBM tumors in a safe, effective, and convenient manner that may ultimately prolong patient survival.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compared to standard external beam radiotherapy or EBRT include:</w:t>
      </w:r>
    </w:p>
    <w:p>
      <w:pPr>
        <w:spacing w:after="0" w:line="6" w:lineRule="exact"/>
        <w:rPr>
          <w:sz w:val="20"/>
          <w:szCs w:val="20"/>
          <w:color w:val="auto"/>
        </w:rPr>
      </w:pPr>
    </w:p>
    <w:p>
      <w:pPr>
        <w:jc w:val="both"/>
        <w:ind w:left="1140" w:hanging="519"/>
        <w:spacing w:after="0" w:line="23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ind w:left="1140" w:hanging="519"/>
        <w:spacing w:after="0" w:line="22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can be visualized in real-time during administration, possibly giving clinicians better control of radiation dosing, distribution and retention.</w:t>
      </w:r>
    </w:p>
    <w:p>
      <w:pPr>
        <w:ind w:left="1140" w:right="20" w:hanging="519"/>
        <w:spacing w:after="0" w:line="22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potentially more effectively treats a bulk tumor and microscopic disease that has already invaded healthy tissue.</w:t>
      </w:r>
    </w:p>
    <w:p>
      <w:pPr>
        <w:jc w:val="both"/>
        <w:ind w:left="1140" w:hanging="519"/>
        <w:spacing w:after="0" w:line="251"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Arial" w:cs="Arial" w:eastAsia="Arial" w:hAnsi="Arial"/>
          <w:sz w:val="17"/>
          <w:szCs w:val="17"/>
          <w:color w:val="auto"/>
        </w:rPr>
      </w:pPr>
    </w:p>
    <w:p>
      <w:pPr>
        <w:ind w:left="1140" w:hanging="519"/>
        <w:spacing w:after="0" w:line="239"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ReSPECT-GBM Trial for Recurrent GBM</w:t>
      </w:r>
    </w:p>
    <w:p>
      <w:pPr>
        <w:spacing w:after="0" w:line="2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varies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7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7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designed for and provides patient tolerability and safety. Though no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head-to-head trial with chemo, immune, EBRT or systemic radiopharmaceutical products have been conducted, patient tolerability and safety considerations have been reported as expected.</w:t>
      </w:r>
    </w:p>
    <w:p>
      <w:pPr>
        <w:spacing w:after="0" w:line="19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Interim results from our ongoing Phase 1/2a ReSPECT-GBM trial (ClinicalTrials.gov NCT01906385) show that the beta particle energy from our lead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19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In September 2020, the FDA granted both Orphan Drug designation and Fast Track designations to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patients with GBM. In November 2021, the FDA granted Fast Track designation for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LM.</w:t>
      </w:r>
    </w:p>
    <w:p>
      <w:pPr>
        <w:spacing w:after="0" w:line="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under clinical investigation in a multicenter, sequential cohort, open-label, volume and dose escalation study of the safety, tolerability, and distribution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dose and will expand exploring higher radiation doses in larger volumes to treat larger tumors. Additionally, two or more rhenium</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24"/>
          <w:szCs w:val="24"/>
          <w:color w:val="auto"/>
          <w:vertAlign w:val="superscript"/>
        </w:rPr>
        <w:t>186</w:t>
      </w:r>
      <w:r>
        <w:rPr>
          <w:rFonts w:ascii="Arial" w:cs="Arial" w:eastAsia="Arial" w:hAnsi="Arial"/>
          <w:sz w:val="18"/>
          <w:szCs w:val="18"/>
          <w:color w:val="auto"/>
        </w:rPr>
        <w:t>Re) obisbemeda administrations, if indicated, will be evaluated, and reviewed with the FDA, as well as expanded safety, imaging and efficacy data to support a planned future registrational trial. This in turn will provide a path to a registration trial.</w:t>
      </w:r>
    </w:p>
    <w:p>
      <w:pPr>
        <w:spacing w:after="0" w:line="20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6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At the European Society for Medical Oncology Congress, held September 9 to 13, 2022, we presented updated data from the ReSPECT-GBM trial, which evaluated 23 adult patients with recurrent GBM across eight cohorts and treated over a seven-year period. Key findings include:</w:t>
      </w:r>
    </w:p>
    <w:p>
      <w:pPr>
        <w:spacing w:after="0" w:line="38" w:lineRule="exact"/>
        <w:rPr>
          <w:sz w:val="20"/>
          <w:szCs w:val="20"/>
          <w:color w:val="auto"/>
        </w:rPr>
      </w:pPr>
    </w:p>
    <w:p>
      <w:pPr>
        <w:ind w:left="1020" w:hanging="503"/>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DLTs have been observed and the procedure was very well tolerated with a strong safety profile. Minimal systemic radiation has been observed and the majority of adverse events have been mild or moderate and considered causally unrelated to rhenium (186Re) obisbemeda.</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median OS rates correlated with the absorbed radiation tumor dose. When patients were stratified based on receipt of either a therapeutic or a subtherapeutic absorbed dose of radiation to the tumor, a statistically significant improvement in survival was observed. Specifically, patients receiving a therapeutic absorbed radiation dose (&gt;100 Gray) had a median OS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1020"/>
        <w:spacing w:after="0" w:line="277" w:lineRule="auto"/>
        <w:rPr>
          <w:sz w:val="20"/>
          <w:szCs w:val="20"/>
          <w:color w:val="auto"/>
        </w:rPr>
      </w:pPr>
      <w:r>
        <w:rPr>
          <w:rFonts w:ascii="Arial" w:cs="Arial" w:eastAsia="Arial" w:hAnsi="Arial"/>
          <w:sz w:val="18"/>
          <w:szCs w:val="18"/>
          <w:color w:val="auto"/>
        </w:rPr>
        <w:t>of 22.9 months (95% CI of 8.8-42.3) compared to those receiving a subtherapeutic absorbed radiation dose (&lt;100 Gray) whose median OS was 5.6 months (95% CI of 1.6-9.4).</w:t>
      </w:r>
    </w:p>
    <w:p>
      <w:pPr>
        <w:spacing w:after="0" w:line="62" w:lineRule="exact"/>
        <w:rPr>
          <w:sz w:val="20"/>
          <w:szCs w:val="20"/>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Feasibility to deliver up to at least 20 times more radiation to the tumor than the standard of care, EBRT. A maximum of 32.2 mCi in 12.3 mL of volume has been delivered in and near the tumors, and a maximum average absorbed dose of radiation of 740 Gray was successfully administered in a single procedure.</w:t>
      </w:r>
    </w:p>
    <w:p>
      <w:pPr>
        <w:spacing w:after="0" w:line="80"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absorbed radiation dose to the tumor increased in latter dosing cohorts with greater administered doses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β-particle radiation, larger drug CED infusate volumes, more catheters used (up to four versus one), and higher convection flow rates. In cohorts five and later, 82% of patients received a therapeutic radiation dose of &gt;100Gray.</w:t>
      </w:r>
    </w:p>
    <w:p>
      <w:pPr>
        <w:spacing w:after="0" w:line="93"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Single-photon emission computerized tomography (“SPECT”)/CT scanning was used during treatment to confirm treatment planning delivery during product infusion via CED and to compute tumor coverage and dosimetry. Post treatment imaging analyses, including MRI, relative cerebral blood volume analysis and treatment response assessment maps correlated with a positive tumor response and confirmed the presence of pseudo progression in patients with positive tumor responses.</w:t>
      </w:r>
    </w:p>
    <w:p>
      <w:pPr>
        <w:spacing w:after="0" w:line="18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7"/>
          <w:szCs w:val="17"/>
          <w:color w:val="auto"/>
        </w:rPr>
        <w:t>At the Society for Neuro-Oncology Annual Meeting in November 2022, we presented patient data, which at that time included the results for 24 patients treated in the ReSPECT-GBM trial. As of the date of this SNO Annual Meeting,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given by CED in recurrent GBM patients was observed in the trial to be feasible and well tolerated. Across all subjects in the first eight dosed cohorts (n=24), the median absorbed dose to the tumor volume increased as evaluated cohorts progressed, with patients receiving &gt;100 Gy absorbed dose showing significant survival benefit versus patients receiving &lt;100 Gy absorbed dose. Importantly, in a subset of patients where tumor coverage was greater than or equal to 75%, the median absorbed dose was 405 Gy (range 146-593). By contrast, given the protocol dose escalation design where early cohorts had protocol and prospectively defined lower doses, the absorbed doses were often therapeutically adequate for small tumors even with lower dose escalation administered doses. Small, absorbed doses to specific organs and whole body, are expected and well-tolerated. Based on observed and reported patient protocol observations and reporting and all available adverse event (“AE”) data,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been, and continues to be, well-tolerated with AEs related to CED insertion that were limited and fully recovered. No AEs with an outcome of death, study discontinuation or study drug-related serious AEs have been reported.</w:t>
      </w:r>
    </w:p>
    <w:p>
      <w:pPr>
        <w:spacing w:after="0" w:line="19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Providing further information on medical society presentations in 2022, in the 24 subjects with recurrent GBM receiving a single administration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the median OS for all 24 patients as of November 2022 was 8.8 months reflecting recent trial enrollment in the last half of 2022 and the impact of shorter OS in the subtherapeutic &lt;100Gy, with four patients alive representing recent enrollment in the ongoing GBM development. Importantly, as noted above, earlier analyses showed in a subset of 13 patients receiving a presumed therapeutic absorbed radiation dose to the tumor (&gt;100 Gy), the mean OS was 22.9 months, respectively, with seven of 13 patients alive. In contrast, in nine patients receiving a presumed sub-therapeutic absorbed radiation dose to the tumor (&lt;100 Gy), the mean and median OS was 23.9 and 22.3 weeks, respectively. A Kaplan-Meier curve comparing patients with presumed therapeutic (&gt;100 Gy) versus sub-therapeutic (&lt;100 Gy) radiation dose to the tumor showed a statistically significant difference between the groups (p=.0003). It is hypothesized that targeted infusion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into the tumor by CED, which exposure and potential toxicity and concentrates radiation to the tumor and surrounding region of interest. 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in approximately 24 months.</w:t>
      </w:r>
    </w:p>
    <w:p>
      <w:pPr>
        <w:spacing w:after="0" w:line="17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On March 31, 2022, we entered into a Sales Order (the “Sales Order”) with Medidata Solutions, Inc. (“Medidata”), pursuant to which Medidata built a Synthetic Control Arm® (“SCA”) platform that facilitates the use of historical clinical data to incorporate into our Phase 2 clinical trial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GBM. The Sales Order had a term of six (6) months. Work under this Sales Order has been completed. As part of this collaboration, we jointly submitted with Medidata a historical clinical trials control arm methodology abstract (HCA) to ASCO which was accepted for publication, further strengthening this collaboration and allowing applications to advance GBM development. We plan to use the HCA for breakthrough therapy designation and Phase 2 and/or a pivotal or registrational Phase 3 trial.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ReSPECT-LM Clinical Trial for LM</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jc w:val="both"/>
        <w:ind w:firstLine="749"/>
        <w:spacing w:after="0" w:line="235" w:lineRule="auto"/>
        <w:rPr>
          <w:sz w:val="20"/>
          <w:szCs w:val="20"/>
          <w:color w:val="auto"/>
        </w:rPr>
      </w:pPr>
      <w:r>
        <w:rPr>
          <w:rFonts w:ascii="Arial" w:cs="Arial" w:eastAsia="Arial" w:hAnsi="Arial"/>
          <w:sz w:val="18"/>
          <w:szCs w:val="18"/>
          <w:color w:val="auto"/>
        </w:rPr>
        <w:t>The ReSPECT-LM Phase 1 clinical trial (ClinicalTrials.gov NCT05034497) was preceded with preclinical studies in which tolerance to doses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7"/>
          <w:szCs w:val="17"/>
          <w:color w:val="auto"/>
        </w:rPr>
        <w:t>Upon receiving acceptance of our Investigational New Drug application and Fast Track designation by the FDA for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LM, we initiated the trial and began screening patients for the ReSPECT-LM Phase 1 clinical trial in Q4 2021.</w:t>
      </w:r>
    </w:p>
    <w:p>
      <w:pPr>
        <w:spacing w:after="0" w:line="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ReSPECT-LM is a multi-center, sequential cohort, open-label, dose escalation study evaluating the safety, tolerability, and efficacy of a single-dose application of rhenium (186Re) obisbemeda administered through intrathecal infusion to the ventricle of patients with LM after standard surgical, radiation, and/or chemotherapy treatment. The primary endpoint of the study is the incidence and severity of adverse events and dose limiting toxicities.</w:t>
      </w:r>
    </w:p>
    <w:p>
      <w:pPr>
        <w:spacing w:after="0" w:line="7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7"/>
          <w:szCs w:val="17"/>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based on specific dollar thresholds until CPRIT receives the aggregate amount of 400% of the proceeds awarded under the CPRIT Grant, and certain reporting requirements.</w:t>
      </w:r>
    </w:p>
    <w:p>
      <w:pPr>
        <w:spacing w:after="0" w:line="200" w:lineRule="exact"/>
        <w:rPr>
          <w:sz w:val="20"/>
          <w:szCs w:val="20"/>
          <w:color w:val="auto"/>
        </w:rPr>
      </w:pPr>
    </w:p>
    <w:p>
      <w:pPr>
        <w:jc w:val="both"/>
        <w:ind w:firstLine="749"/>
        <w:spacing w:after="0" w:line="222" w:lineRule="auto"/>
        <w:rPr>
          <w:sz w:val="20"/>
          <w:szCs w:val="20"/>
          <w:color w:val="auto"/>
        </w:rPr>
      </w:pPr>
      <w:r>
        <w:rPr>
          <w:rFonts w:ascii="Arial" w:cs="Arial" w:eastAsia="Arial" w:hAnsi="Arial"/>
          <w:sz w:val="18"/>
          <w:szCs w:val="18"/>
          <w:color w:val="auto"/>
        </w:rPr>
        <w:t>Interim results showed that a single treatment with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showed a consistent decreased CSF tumor cell count/ml and was very well tolerated by all LM patients.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distribution throughout the subarachnoid space. Cohort 3 is currently enrolling, with protocol defined FDA review to allow proceeding with Cohort 4-7 expansion after the protocol defined observation period and independent DSMB review.</w:t>
      </w:r>
    </w:p>
    <w:p>
      <w:pPr>
        <w:spacing w:after="0" w:line="21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18"/>
          <w:szCs w:val="18"/>
          <w:color w:val="auto"/>
        </w:rPr>
        <w:t>A single dose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at 6.6 millicurie (“mCi”) in 5.0 mL, in Cohort 1, achieved absorbed doses of 18.7 to 29.0 Gy to the ventricles and cranial subarachnoid spaces, respectively. Cohort 2 has also completed with a 13.2 mCi administered dose in 5ml and was also well tolerated. Cohort 3 enrolled three patients through early April 2023 with a 26.4 mCi administered dose.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ReSPECT-PBC Clinical Trial for Pediatric Brain Cancer</w:t>
      </w:r>
    </w:p>
    <w:p>
      <w:pPr>
        <w:spacing w:after="0" w:line="22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8" w:lineRule="exact"/>
        <w:rPr>
          <w:sz w:val="20"/>
          <w:szCs w:val="20"/>
          <w:color w:val="auto"/>
        </w:rPr>
      </w:pPr>
    </w:p>
    <w:p>
      <w:pPr>
        <w:jc w:val="both"/>
        <w:ind w:firstLine="749"/>
        <w:spacing w:after="0" w:line="216" w:lineRule="auto"/>
        <w:rPr>
          <w:sz w:val="20"/>
          <w:szCs w:val="20"/>
          <w:color w:val="auto"/>
        </w:rPr>
      </w:pPr>
      <w:r>
        <w:rPr>
          <w:rFonts w:ascii="Arial" w:cs="Arial" w:eastAsia="Arial" w:hAnsi="Arial"/>
          <w:sz w:val="18"/>
          <w:szCs w:val="18"/>
          <w:color w:val="auto"/>
        </w:rPr>
        <w:t>Since the initial FDA feedback and receiving important adult GBM data and experience with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and follow-up communications with the FDA, we plan to submit a pediatric brain tumor IND to investigate the use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two pediatric brain cancers, high-grade glioma and ependymoma, in the second or third quarter of 2023.</w:t>
      </w:r>
    </w:p>
    <w:p>
      <w:pPr>
        <w:spacing w:after="0" w:line="203"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 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6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Overall, pediatric HGG and ependymoma are extremely difficult-to-treat pediatric brain tumors, frequently aggressive, and in recurrent settings, carry an extremely poor prognosis.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Rhenium-188 NanoLiposome Biodegradable Alginate Microsphere Technology</w:t>
      </w:r>
    </w:p>
    <w:p>
      <w:pPr>
        <w:spacing w:after="0" w:line="22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 xml:space="preserve">In January 2022, we announced that we licensed Biodegradable Alginate Microsphere (“BAM”) patents and technology from The University of Texas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Arial" w:cs="Arial" w:eastAsia="Arial" w:hAnsi="Arial"/>
          <w:sz w:val="19"/>
          <w:szCs w:val="19"/>
          <w:color w:val="auto"/>
          <w:vertAlign w:val="superscript"/>
        </w:rPr>
        <w:t>188</w:t>
      </w:r>
      <w:r>
        <w:rPr>
          <w:rFonts w:ascii="Arial" w:cs="Arial" w:eastAsia="Arial" w:hAnsi="Arial"/>
          <w:sz w:val="17"/>
          <w:szCs w:val="17"/>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Preclinical data from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embolization experiment in which Technetium99m-BAM was intra-arterially delivered to a bovine kidney perfusion model was presented at the recent 2021 Society of Interventional Radiology Annual Scientific Meeting. The study concluded that the technology required for radiolabeling BAM could successfully deliver, embolize and retain radiation in the target organ. </w:t>
      </w:r>
      <w:r>
        <w:rPr>
          <w:rFonts w:ascii="Arial" w:cs="Arial" w:eastAsia="Arial" w:hAnsi="Arial"/>
          <w:sz w:val="24"/>
          <w:szCs w:val="24"/>
          <w:color w:val="auto"/>
          <w:vertAlign w:val="superscript"/>
        </w:rPr>
        <w:t>188</w:t>
      </w:r>
      <w:r>
        <w:rPr>
          <w:rFonts w:ascii="Arial" w:cs="Arial" w:eastAsia="Arial" w:hAnsi="Arial"/>
          <w:sz w:val="18"/>
          <w:szCs w:val="18"/>
          <w:color w:val="auto"/>
        </w:rPr>
        <w:t>RNL-BAM is a preclinical investigational drug we intend to further develop and move into clinical trials. Specifically, in 2022 we transferred the 188RNL-BAM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Agreement with CPRIT</w:t>
      </w:r>
    </w:p>
    <w:p>
      <w:pPr>
        <w:spacing w:after="0" w:line="11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As noted above in the LM development discussion, on September 19, 2022, we entered into a Cancer Research Grant Contract (the “CPRIT Contract”), effective as of August 31, 2022, with CPRIT, pursuant to which CPRIT will provide us a grant of up to $17.6 million (the “CPRIT Grant”) over a three-year period to fund the continued development of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RNL for the treatment of patients with LM. The CPRIT Grant is subject to customary CPRIT funding conditions, including, but not limited to, a matching fund requirement (one dollar from Plus Therapeutics for every two dollars awarded by CPRIT), revenue sharing obligations upon commercialization of </w:t>
      </w:r>
      <w:r>
        <w:rPr>
          <w:rFonts w:ascii="Arial" w:cs="Arial" w:eastAsia="Arial" w:hAnsi="Arial"/>
          <w:sz w:val="24"/>
          <w:szCs w:val="24"/>
          <w:color w:val="auto"/>
          <w:vertAlign w:val="superscript"/>
        </w:rPr>
        <w:t>186</w:t>
      </w:r>
      <w:r>
        <w:rPr>
          <w:rFonts w:ascii="Arial" w:cs="Arial" w:eastAsia="Arial" w:hAnsi="Arial"/>
          <w:sz w:val="18"/>
          <w:szCs w:val="18"/>
          <w:color w:val="auto"/>
        </w:rPr>
        <w:t>RNL based on specific dollar thresholds until CPRIT receives the aggregate amount of 400% of the proceeds awarded under the CPRIT Grant, and certain reporting requirements.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the “Liquidity and Capital Resources” section below for information on our recent financings.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We recognized $0.5 million of grant revenue during the three months ended March 31, 2023, which represents CPRIT's share of the costs incurred for our </w:t>
      </w:r>
      <w:r>
        <w:rPr>
          <w:rFonts w:ascii="Arial" w:cs="Arial" w:eastAsia="Arial" w:hAnsi="Arial"/>
          <w:sz w:val="24"/>
          <w:szCs w:val="24"/>
          <w:color w:val="auto"/>
          <w:vertAlign w:val="superscript"/>
        </w:rPr>
        <w:t>186</w:t>
      </w:r>
      <w:r>
        <w:rPr>
          <w:rFonts w:ascii="Arial" w:cs="Arial" w:eastAsia="Arial" w:hAnsi="Arial"/>
          <w:sz w:val="18"/>
          <w:szCs w:val="18"/>
          <w:color w:val="auto"/>
        </w:rPr>
        <w:t>RNL development for the treatment of patients with LM.</w:t>
      </w: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our research and development expenses for the three months ended March 31,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1,760</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77"/>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increase of $1.2 million in research and development expenses for the three months ended March 31, 2023 as compared to the same period in 2022 was due primarily to a license agreement payment of $0.8 million to NanoTx resulting from the first patient treated in the GBM phase 2 trial, $0.9 million from treatment of 10 patients in Q1 2023 compared to 0 treated in Q1 2022 and a net decrease of $0.5 million in the costs related to the development of cGMP </w:t>
      </w:r>
      <w:r>
        <w:rPr>
          <w:rFonts w:ascii="Arial" w:cs="Arial" w:eastAsia="Arial" w:hAnsi="Arial"/>
          <w:sz w:val="24"/>
          <w:szCs w:val="24"/>
          <w:color w:val="auto"/>
          <w:vertAlign w:val="superscript"/>
        </w:rPr>
        <w:t>186</w:t>
      </w:r>
      <w:r>
        <w:rPr>
          <w:rFonts w:ascii="Arial" w:cs="Arial" w:eastAsia="Arial" w:hAnsi="Arial"/>
          <w:sz w:val="18"/>
          <w:szCs w:val="18"/>
          <w:color w:val="auto"/>
        </w:rPr>
        <w:t>RNL. In addition, there was an increase of $0.2 million related to personnel expenses offset by a decrease of $0.2 million related to legal and other professional expenses.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We expect aggregate research and development expenditures to remain consistent during the remainder of 2023 as compared to the corresponding comparable period ended December 31, 2022, due to an increase in licensing payments and an increase in patients treated offset by reduced research and development spend on the cGMP development.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include costs for administrative personnel, legal and other professional expenses, and general corporate expenses. The following table summarizes the general and administrative expenses for the three months ended March 31, 2023 and 2022 (in thousands):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1,986</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approximately $0.1 million during the three months ended March 31, 2023, as compared to the same period in 2022. The increase was due primarily due to an increase of professional services of $0.4 million offset by a decrease in legal expenses of $0.3 million.</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general and administrative expenditures to remain generally consistent during the remainder of 2023 as compared with the corresponding comparable period ended December 31, 2022, exclusive of the impact of the one-time legal settlement costs and settlement related legal expenses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components of our stock-based compensation expenses for the three months ended March 31,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w:t>
            </w: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share-based compensation expenses, which are impacted by grants of share-based options, vesting schedule of such grants, as well as grant-date fair value of share-based awards, remained consistent for the three months ended March 31,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items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interest income, interest expense, and other income and expense for the three months ended March 31,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0"/>
                <w:szCs w:val="20"/>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rPr>
              <w:t>(134 )</w:t>
            </w:r>
          </w:p>
        </w:tc>
        <w:tc>
          <w:tcPr>
            <w:tcW w:w="9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liability instruments</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tcPr>
          <w:p>
            <w:pPr>
              <w:spacing w:after="0"/>
              <w:rPr>
                <w:sz w:val="20"/>
                <w:szCs w:val="20"/>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rPr>
              <w:t>(2 )</w:t>
            </w:r>
          </w:p>
        </w:tc>
        <w:tc>
          <w:tcPr>
            <w:tcW w:w="96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decrease in interest expense for the three months ended March 31, 2023 as compared to the same period in 2022 was primarily due to the repayment of debt principal of $1.6 million during the year ended December 31, 2022, and $0.4 million for the three months ended March 31, 2023,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in 2023 to decrease as compared with 2022 due to scheduled debt principal repayments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key liquidity measures at March 31, 2023 and December 31, 2022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March 31, 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31, 2022</w:t>
            </w:r>
          </w:p>
        </w:tc>
        <w:tc>
          <w:tcPr>
            <w:tcW w:w="100" w:type="dxa"/>
            <w:vAlign w:val="bottom"/>
          </w:tcPr>
          <w:p>
            <w:pPr>
              <w:spacing w:after="0"/>
              <w:rPr>
                <w:sz w:val="16"/>
                <w:szCs w:val="16"/>
                <w:color w:val="auto"/>
              </w:rPr>
            </w:pPr>
          </w:p>
        </w:tc>
      </w:tr>
      <w:tr>
        <w:trPr>
          <w:trHeight w:val="23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20"/>
                <w:szCs w:val="20"/>
                <w:color w:val="auto"/>
              </w:rPr>
            </w:pP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-659765</wp:posOffset>
            </wp:positionV>
            <wp:extent cx="6032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incurred net losses of $4.8 million for the three months ended March 31, 2023. We have an accumulated deficit of $472.0 million as of March 31, 2023. Additionally, we used net cash of $5.8 million to fund our operating activities for the three months ended March 31, 2023. These factors raise substantial doubt about our ability to continue as a going concern.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our operating losses have been funded primarily from outside sources of invested capital from issuance of our common and preferred stocks, proceeds from our term loan with Oxford and grant funding. However,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would cause us to default on our term loan.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On September 19, 2022, we entered into the CPRIT Contract, pursuant to which CPRIT will provide us with the CPRIT Grant of $17.6 million subject to the terms of the CPRIT Contract, to fund approximately two-thirds of the continued development of </w:t>
      </w:r>
      <w:r>
        <w:rPr>
          <w:rFonts w:ascii="Arial" w:cs="Arial" w:eastAsia="Arial" w:hAnsi="Arial"/>
          <w:sz w:val="23"/>
          <w:szCs w:val="23"/>
          <w:color w:val="auto"/>
          <w:vertAlign w:val="superscript"/>
        </w:rPr>
        <w:t>186</w:t>
      </w:r>
      <w:r>
        <w:rPr>
          <w:rFonts w:ascii="Arial" w:cs="Arial" w:eastAsia="Arial" w:hAnsi="Arial"/>
          <w:sz w:val="17"/>
          <w:szCs w:val="17"/>
          <w:color w:val="auto"/>
        </w:rPr>
        <w:t>RNL for the treatment of patients with LM.</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We have no obligation to sell any of our common stock. We may instruct Canaccord not to sell any common stock if the sales cannot be effected at or above the price designated by us from time to time and we may at any time suspend sales pursuant to the September 2022 Distribution Agreement. During the period from September 9, 2022 to December 31, 2022, we issued 1,031,371 shares under the September 2022 Distribution Agreement for net proceeds of approximately $0.6 million. From January 1, 2023 through April 18, 2023, we issued 3,136,058 shares under the September 2022 Distribution Agreement for net proceeds of approximately $1.1 million.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2, 2022, we entered into a purchase agreement (the “2022 Purchase Agreement”) and registration rights agreement pursuant to which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As consideration for Lincoln Park’s irrevocable commitment to purchase shares of our common stock upon the terms of and subject to satisfaction of the conditions set forth in the Purchase Agreement, we paid $0.1 million in cash as an Initial Commitment Fee and issued 492,698 as the initial commitment shares to Lincoln Park in consideration for its commitment to purchase shares of our common stock at our direction under the Purchase Agreement.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17, 2022, a registration statement was declared effective covering the resale of up to 9,500,000 shares of our common stock comprised of (i) the 492,698 initial commitment shares, and (ii) up to 9,007,302 shares that we have reserved for issuance and sale to Lincoln Park under the Purchase Agreement. An additional commitment fee equal to 2.5% of the remainder of the $50 million will be paid if and when we sell over $25.0 million of our common stock under the 2022 Purchase Agreement. The additional commitment fee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may be paid in cash, common stock, or a combination thereof. We cannot sell more shares under the 2022 Purchase Agreement without registering additional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August 17, 2022 to December 31, 2022, the Company issued 4,000,000 shares under the 2022 Purchase Agreement for net proceeds of approximately $3.2 million. From January 1, 2023 to the date of filing of this Form 10-Q, we did not issue any shares under the 2022 Purchase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$5,000,000, depending on market demand, with Canaccord acting as an agent for sales. During the year ended December 31, 2022, we issued 6,902,279 shares under the January 2022 Distribution Agreement for net proceeds of approximately $4.8 million. The January 2022 Distribution Agreement was terminated after all available registered shares were fully utilized.</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seek additional capital through strategic transactions and from other financing alternatives. Without additional capital, current working capital and cash generated from sales will not provide adequate funding for research, sales and marketing efforts and product development activities at their current levels. If sufficient capital is not raised, we will at a minimum need to significantly reduce or curtail our research and development and other operations, and this would negatively affect our ability to achieve corporate growth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Should we be unable to raise additional cash from outside sources, this would have a material adverse impact on our operations.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provided by operating, investing, and financing activities for the three months ended March 31, 2023 and 2022 is summarized as follows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(5,793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(3,876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0"/>
                <w:szCs w:val="20"/>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(97 )</w:t>
            </w:r>
          </w:p>
        </w:tc>
        <w:tc>
          <w:tcPr>
            <w:tcW w:w="8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(577 )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w w:val="90"/>
              </w:rPr>
              <w:t>(5,397 )</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Obligations</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September 19, 2022, we entered into the CPRIT Contract, effective as of August 31, 2022, pursuant to which we will continue the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 with CPRIT providing matching funds for approximately two-thirds of the total development costs, subject to various funding conditions. The CPRIT contract is effective for three years, unless otherwise terminated per terms of the contract. CPRIT may require us to repay some or all of the disbursed CPRIT grant proceeds (with interest not to exceed 5% annually) in the event of the early termination of the CPRIT Contract.</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On March 31, 2022, we entered into the Sales Order with Medidata pursuant to which Medidata will build the SCA platform that facilitates the use of historical clinical data to incorporate into the Company’s Phase 2 clinical trial of </w:t>
      </w:r>
      <w:r>
        <w:rPr>
          <w:rFonts w:ascii="Arial" w:cs="Arial" w:eastAsia="Arial" w:hAnsi="Arial"/>
          <w:sz w:val="24"/>
          <w:szCs w:val="24"/>
          <w:color w:val="auto"/>
          <w:vertAlign w:val="superscript"/>
        </w:rPr>
        <w:t>186</w:t>
      </w:r>
      <w:r>
        <w:rPr>
          <w:rFonts w:ascii="Arial" w:cs="Arial" w:eastAsia="Arial" w:hAnsi="Arial"/>
          <w:sz w:val="18"/>
          <w:szCs w:val="18"/>
          <w:color w:val="auto"/>
        </w:rPr>
        <w:t>RNL in GBM.</w:t>
      </w:r>
    </w:p>
    <w:p>
      <w:pPr>
        <w:spacing w:after="0" w:line="16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are also obligated to make ongoing payments against the remaining principal, interest and final payments of approximately $5.2 million in total under the Term Loan with Oxford through the maturity date of June 1, 2024 (See Note 5 of the accompanying condensed financial statements for more information). In addition, as described in more detail in Note 8 of the accompanying condensed financial statements, we are obligated to make operating lease payments for our office and laboratory space and we may be required to make payments under certain of our other contractual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for the three months ended March 31, 2023 was $5.8 million compared to $3.9 million in the same period of 2022. Our operational cash use increased during the three months ended March 31, 2023 as compared to the same period in 2022, due primarily to increased expenditures for our research and development activities and payments and a net decrease in accounts payable and accrued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2023 was related to purchases of fixed assets of $0.1 million. Net cash used in investing activities for the three months ended March 31, 2022 was related to cash payments of $0.3 million made for in process research and development assets from UTHSCSA and purchases of fixed assets and intangible assets of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2023 was primarily related to sales of common stock of $0.9 million, net of offering cost through the September 2022 Distribution Agreement with Canaccord.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2022 was primarily related to sales of common stock of $7.7 million, net of offering cost through the 2022 Distribution Agreement with Canaccord and the 2020 Purchase Agreement with Lincoln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liability classified warrants using an option pricing model. Following the authoritative accounting guidance, warrants with potential cash settlement outside control of the Company are accounted for as liabilities, with changes in the fair value included in operating expenses.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it is important for you to understand our most critical accounting policies. Our critical accounting policies and estimates are discussed in our Annual Report on Form 10-K for the fiscal year ended December 31, 2022 and there have been no material changes during the three months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in our reports that we file or furnish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Arial" w:cs="Arial" w:eastAsia="Arial" w:hAnsi="Arial"/>
          <w:sz w:val="18"/>
          <w:szCs w:val="18"/>
          <w:color w:val="333333"/>
        </w:rPr>
        <w:t>as defined in Rules 13a-15(e) and 15d-15(e) under the Exchange Act)</w:t>
      </w:r>
      <w:r>
        <w:rPr>
          <w:rFonts w:ascii="Arial" w:cs="Arial" w:eastAsia="Arial" w:hAnsi="Arial"/>
          <w:sz w:val="18"/>
          <w:szCs w:val="18"/>
          <w:color w:val="auto"/>
        </w:rPr>
        <w:t xml:space="preserve"> were effective at the reasonable assurance level as of the end of the period covered by this Quarterly Report.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2023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color w:val="auto"/>
        </w:rPr>
        <w:t>.</w:t>
      </w:r>
      <w:r>
        <w:rPr>
          <w:rFonts w:ascii="Arial" w:cs="Arial" w:eastAsia="Arial" w:hAnsi="Arial"/>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a discussion of certain factors that could materially affect our business, financial condition, and operating results or that could cause actual results to differ materially from the results described in or implied by the forward-looking statements in this Quarterly Report on Form 10-Q, in addition to the information in the section entitled “Cautionary Statement Regarding Forward-Looking Statements,” you should carefully review and consider the information under “Part I, Item 1A- Risk Factors” in our Annual Report on Form 10-K for the year ended December 31, 2022. The risk factors below are in addition to and supplement (and with respect to certain matters, update) the risk factors discussed in our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By way of example, the FDIC took control of Silicon Valley Bank (“SVB”) on March 10, 2023. On March 12, 2023, in a joint statement by the Department of the Treasury, Federal Reserve, and FDIC, it was announced that all depositors will be fully protected and will have access to all of their money starting on March 13, 2023. We do not hold cash deposits with SVB and do not otherwise have a business relationship with SVB. However,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Uncertainties relating to our ability to fund our operations for at least the next 12 months raises substantial doubt about our ability to continue as a going concern.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2023, we had an accumulated shareholders’ deficit of approximately $472.0 million and approximately $12.7 million of cash and cash equivalents and $0.8 million of positive working capital available for use to fund our operations and capital requirements. We do not currently have sufficient available liquidity to fund our operations for at least the next 12 months. Consequently, absent further actions, these matters raise substantial doubt about our ability to continue as a going concern within one year after the date that the condensed financial statements in this Quarterly Report on Form 10-Q are issued.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history of generating losses and negative cash flows from operations. Our unaudited financial statements have been prepared under the assumption that we will continue as a going concern for the next twelve months. Our ability to continue as a going concern is dependent upon our ability to obtain additional debt, equity or other financing. If we are not able to resolve the going concern prior to the issuance of our financial statements for the fiscal year ending December 31, 2023, the reaction of investors to the inclusion of a going concern statement by our auditors, and our potential inability to continue as a going concern in future years could materially adversely affect our share price and our ability to raise new capital or enter into strategic alliances. Furthermore, we also could be required to seek funds through arrangements with collaborative partners or otherwise that may require us to relinquish rights to some of our intellectual property or product candidates or otherwise agree to terms unfavorable to us.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 2023, we entered into a Subscription and Investment Representation Agreement (the “Subscription Agreement”) with Richard J. Hawkins, Chairman of the board of directors, who is an accredited investor (the “Purchaser”), pursuant to which we issued and sold one share of our Series F Preferred Stock, par value $0.001 per share (the “Preferred Stock”), to the Purchaser for $1,000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cash. The sale closed on March 3, 2023. The sale of one share of Series F Preferred Stock was exempt from registration under the exemption provided by Rule 506 of Regulation D, as promulgated under the Securities Act.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3, 2023, we filed a certificate of designation (the “Certificate of Designation”) with the Secretary of State of the State of Delaware, effective as of the time of filing, designating the rights, preferences, privileges and restrictions of the Preferred Stock. The Certificate of Designation provides that the Preferred Stock will have 50,000,000 votes per share of Preferred Stock and will vote together with our common stock, $0.001 par value (the “Common Stock”) as a single class exclusively with respect to any proposal to amend our Amended and Restated Certificate of Incorporation (as may be amended and/or restated from time to time, the “Amended Certificate”) to effect a reverse stock split of the Common Stock (“Reverse Stock Split”). The Preferred Stock will be voted, without action by the holder, on any such proposal in the same proportion as shares of Common Stock are voted on such proposal. The Preferred Stock otherwise has no voting rights except as otherwise required by the General Corporation Law of the State of Delaware.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Preferred Stock is not convertible into, or exchangeable for, shares of any other class or series of stock or other securities. The Preferred Stock has no rights with respect to any distribution of our assets, including upon a liquidation, bankruptcy, reorganization, merger, acquisition, sale, dissolution or winding up, whether voluntarily or involuntarily. The holder of the Preferred Stock will not be entitled to receive dividends of any kind.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share of Preferred Stock shall be redeemed in whole, but not in part, at any time: (i) if such redemption is approved by the board of directors in its sole discretion or (ii) automatically and effective upon the approval by our stockholders of a Reverse Stock Split. Upon such redemption, the holder of the Preferred Stock will receive consideration of $1,000 in cash.</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Subscription Agreement contains customary representations and warranties and certain indemnification rights and obligations of the parties.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right"/>
        <w:ind w:right="3820"/>
        <w:spacing w:after="0"/>
        <w:rPr>
          <w:sz w:val="20"/>
          <w:szCs w:val="20"/>
          <w:color w:val="auto"/>
        </w:rPr>
      </w:pPr>
      <w:r>
        <w:rPr>
          <w:rFonts w:ascii="Arial" w:cs="Arial" w:eastAsia="Arial" w:hAnsi="Arial"/>
          <w:sz w:val="18"/>
          <w:szCs w:val="18"/>
          <w:b w:val="1"/>
          <w:bCs w:val="1"/>
          <w:color w:val="auto"/>
        </w:rPr>
        <w:t>PLUS THERAPEUTICS, INC.</w:t>
      </w:r>
    </w:p>
    <w:p>
      <w:pPr>
        <w:sectPr>
          <w:pgSz w:w="11900" w:h="16838" w:orient="portrait"/>
          <w:cols w:equalWidth="0" w:num="1">
            <w:col w:w="10640"/>
          </w:cols>
          <w:pgMar w:left="320" w:top="337" w:right="939" w:bottom="1440" w:gutter="0" w:footer="0" w:header="0"/>
        </w:sectPr>
      </w:pP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gridSpan w:val="13"/>
          </w:tcPr>
          <w:p>
            <w:pPr>
              <w:ind w:left="880"/>
              <w:spacing w:after="0"/>
              <w:rPr>
                <w:sz w:val="20"/>
                <w:szCs w:val="20"/>
                <w:color w:val="auto"/>
              </w:rPr>
            </w:pPr>
            <w:r>
              <w:rPr>
                <w:rFonts w:ascii="Arial" w:cs="Arial" w:eastAsia="Arial" w:hAnsi="Arial"/>
                <w:sz w:val="16"/>
                <w:szCs w:val="16"/>
                <w:b w:val="1"/>
                <w:bCs w:val="1"/>
                <w:color w:val="auto"/>
              </w:rPr>
              <w:t>Exhibit Title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Filed with</w:t>
            </w:r>
          </w:p>
        </w:tc>
      </w:tr>
      <w:tr>
        <w:trPr>
          <w:trHeight w:val="203"/>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left="15"/>
              <w:spacing w:after="0"/>
              <w:rPr>
                <w:sz w:val="20"/>
                <w:szCs w:val="20"/>
                <w:color w:val="auto"/>
              </w:rPr>
            </w:pPr>
            <w:r>
              <w:rPr>
                <w:rFonts w:ascii="Arial" w:cs="Arial" w:eastAsia="Arial" w:hAnsi="Arial"/>
                <w:sz w:val="16"/>
                <w:szCs w:val="16"/>
                <w:b w:val="1"/>
                <w:bCs w:val="1"/>
                <w:color w:val="auto"/>
                <w:w w:val="93"/>
              </w:rPr>
              <w:t>this Form 10-</w:t>
            </w:r>
          </w:p>
        </w:tc>
      </w:tr>
      <w:tr>
        <w:trPr>
          <w:trHeight w:val="210"/>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Q</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2860" w:type="dxa"/>
            <w:vAlign w:val="bottom"/>
            <w:tcBorders>
              <w:bottom w:val="single" w:sz="8" w:color="0000EE"/>
            </w:tcBorders>
            <w:gridSpan w:val="5"/>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Composite Certificate of Incorporation</w:t>
              </w:r>
            </w:hyperlink>
          </w:p>
        </w:tc>
        <w:tc>
          <w:tcPr>
            <w:tcW w:w="2220" w:type="dxa"/>
            <w:vAlign w:val="bottom"/>
            <w:gridSpan w:val="11"/>
          </w:tcPr>
          <w:p>
            <w:pPr>
              <w:spacing w:after="0"/>
              <w:rPr>
                <w:sz w:val="18"/>
                <w:szCs w:val="18"/>
                <w:color w:val="auto"/>
              </w:rPr>
            </w:pPr>
          </w:p>
        </w:tc>
        <w:tc>
          <w:tcPr>
            <w:tcW w:w="1040" w:type="dxa"/>
            <w:vAlign w:val="bottom"/>
          </w:tcPr>
          <w:p>
            <w:pPr>
              <w:spacing w:after="0"/>
              <w:rPr>
                <w:sz w:val="18"/>
                <w:szCs w:val="18"/>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FF"/>
            </w:tcBorders>
            <w:gridSpan w:val="9"/>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4600" w:type="dxa"/>
            <w:vAlign w:val="bottom"/>
            <w:tcBorders>
              <w:bottom w:val="single" w:sz="8" w:color="0000FF"/>
            </w:tcBorders>
            <w:gridSpan w:val="9"/>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4600" w:type="dxa"/>
            <w:vAlign w:val="bottom"/>
            <w:tcBorders>
              <w:bottom w:val="single" w:sz="8" w:color="0000FF"/>
            </w:tcBorders>
            <w:gridSpan w:val="9"/>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4600" w:type="dxa"/>
            <w:vAlign w:val="bottom"/>
            <w:tcBorders>
              <w:bottom w:val="single" w:sz="8" w:color="0000FF"/>
            </w:tcBorders>
            <w:gridSpan w:val="9"/>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Certificate of Amendment to Amended and Restated Certificate</w:t>
              </w:r>
            </w:hyperlink>
          </w:p>
        </w:tc>
        <w:tc>
          <w:tcPr>
            <w:tcW w:w="48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5080" w:type="dxa"/>
            <w:vAlign w:val="bottom"/>
            <w:gridSpan w:val="1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Bylaws of Plus Therapeutics, Inc.</w:t>
              </w:r>
            </w:hyperlink>
          </w:p>
        </w:tc>
        <w:tc>
          <w:tcPr>
            <w:tcW w:w="10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82"/>
        </w:trPr>
        <w:tc>
          <w:tcPr>
            <w:tcW w:w="1020" w:type="dxa"/>
            <w:vAlign w:val="bottom"/>
          </w:tcPr>
          <w:p>
            <w:pPr>
              <w:spacing w:after="0"/>
              <w:rPr>
                <w:sz w:val="20"/>
                <w:szCs w:val="20"/>
                <w:color w:val="auto"/>
              </w:rPr>
            </w:pPr>
            <w:r>
              <w:rPr>
                <w:rFonts w:ascii="Arial" w:cs="Arial" w:eastAsia="Arial" w:hAnsi="Arial"/>
                <w:sz w:val="18"/>
                <w:szCs w:val="18"/>
                <w:color w:val="auto"/>
              </w:rPr>
              <w:t>3.7</w:t>
            </w:r>
          </w:p>
        </w:tc>
        <w:tc>
          <w:tcPr>
            <w:tcW w:w="5080" w:type="dxa"/>
            <w:vAlign w:val="bottom"/>
            <w:tcBorders>
              <w:bottom w:val="single" w:sz="8" w:color="0000FF"/>
            </w:tcBorders>
            <w:gridSpan w:val="16"/>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Certificate of Designation of Series F Preferred Stock, dated March 3,</w:t>
              </w:r>
            </w:hyperlink>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113">
              <w:r>
                <w:rPr>
                  <w:rFonts w:ascii="Arial" w:cs="Arial" w:eastAsia="Arial" w:hAnsi="Arial"/>
                  <w:sz w:val="18"/>
                  <w:szCs w:val="18"/>
                  <w:color w:val="0000FF"/>
                  <w:w w:val="84"/>
                </w:rPr>
                <w:t>2023</w:t>
              </w:r>
            </w:hyperlink>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tcBorders>
              <w:bottom w:val="single" w:sz="8" w:color="0000FF"/>
            </w:tcBorders>
            <w:gridSpan w:val="16"/>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Subscription and Investment Representation Agreement, dated March</w:t>
              </w:r>
            </w:hyperlink>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3, 2023, by and between Plus Therapeutics, Inc. and the purchaser</w:t>
              </w:r>
            </w:hyperlink>
          </w:p>
        </w:tc>
        <w:tc>
          <w:tcPr>
            <w:tcW w:w="26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signatory thereto</w:t>
              </w:r>
            </w:hyperlink>
          </w:p>
        </w:tc>
        <w:tc>
          <w:tcPr>
            <w:tcW w:w="20" w:type="dxa"/>
            <w:vAlign w:val="bottom"/>
            <w:tcBorders>
              <w:bottom w:val="single" w:sz="8" w:color="0000EE"/>
            </w:tcBorders>
          </w:tcPr>
          <w:p>
            <w:pPr>
              <w:spacing w:after="0"/>
              <w:rPr>
                <w:sz w:val="17"/>
                <w:szCs w:val="17"/>
                <w:color w:val="auto"/>
              </w:rPr>
            </w:pPr>
          </w:p>
        </w:tc>
        <w:tc>
          <w:tcPr>
            <w:tcW w:w="384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Principal Executive Officer Pursuant to Securities</w:t>
            </w:r>
          </w:p>
        </w:tc>
        <w:tc>
          <w:tcPr>
            <w:tcW w:w="300" w:type="dxa"/>
            <w:vAlign w:val="bottom"/>
            <w:gridSpan w:val="5"/>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Exchange Act Rule 13a-14(a), as adopted pursuant to Section 302 of</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80" w:type="dxa"/>
            <w:vAlign w:val="bottom"/>
            <w:gridSpan w:val="16"/>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40" w:type="dxa"/>
            <w:vAlign w:val="bottom"/>
            <w:tcBorders>
              <w:right w:val="single" w:sz="8" w:color="0000EE"/>
            </w:tcBorders>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3"/>
              </w:rPr>
              <w:t>Certification of Principal Financial and Accounting Officer Pursuant</w:t>
            </w:r>
          </w:p>
        </w:tc>
        <w:tc>
          <w:tcPr>
            <w:tcW w:w="100" w:type="dxa"/>
            <w:vAlign w:val="bottom"/>
            <w:gridSpan w:val="2"/>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484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0"/>
              </w:rPr>
              <w:t>to Securities Exchange Act Rule 13a-14(a), as adopted pursuant to</w:t>
            </w:r>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64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80645</wp:posOffset>
            </wp:positionV>
            <wp:extent cx="20656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0" w:lineRule="exact"/>
        <w:rPr>
          <w:sz w:val="20"/>
          <w:szCs w:val="20"/>
          <w:color w:val="auto"/>
        </w:rPr>
      </w:pPr>
    </w:p>
    <w:p>
      <w:pPr>
        <w:spacing w:after="0"/>
        <w:tabs>
          <w:tab w:leader="none" w:pos="820" w:val="left"/>
          <w:tab w:leader="none" w:pos="20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5"/>
          <w:szCs w:val="15"/>
          <w:b w:val="1"/>
          <w:bCs w:val="1"/>
          <w:color w:val="auto"/>
        </w:rPr>
        <w:t>Date Filed</w:t>
      </w:r>
    </w:p>
    <w:p>
      <w:pPr>
        <w:spacing w:after="0" w:line="126" w:lineRule="exact"/>
        <w:rPr>
          <w:sz w:val="20"/>
          <w:szCs w:val="20"/>
          <w:color w:val="auto"/>
        </w:rPr>
      </w:pPr>
    </w:p>
    <w:p>
      <w:pPr>
        <w:ind w:left="720" w:right="80" w:hanging="738"/>
        <w:spacing w:after="0" w:line="277" w:lineRule="auto"/>
        <w:tabs>
          <w:tab w:leader="none" w:pos="7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001-34375 03/11/2016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05/10/2016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05/23/2018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07/29/2019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08/06/2019 Exhibit 3.1</w:t>
      </w:r>
    </w:p>
    <w:p>
      <w:pPr>
        <w:spacing w:after="0" w:line="130" w:lineRule="exact"/>
        <w:rPr>
          <w:sz w:val="20"/>
          <w:szCs w:val="20"/>
          <w:color w:val="auto"/>
        </w:rPr>
      </w:pPr>
    </w:p>
    <w:p>
      <w:pPr>
        <w:ind w:left="720" w:right="8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09/21/2021 Exhibit 3.1</w:t>
      </w:r>
    </w:p>
    <w:p>
      <w:pPr>
        <w:spacing w:after="0" w:line="224" w:lineRule="exact"/>
        <w:rPr>
          <w:sz w:val="20"/>
          <w:szCs w:val="20"/>
          <w:color w:val="auto"/>
        </w:rPr>
      </w:pPr>
    </w:p>
    <w:p>
      <w:pPr>
        <w:ind w:left="720" w:right="8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03/03/2023 Exhibit 3.1</w:t>
      </w:r>
    </w:p>
    <w:p>
      <w:pPr>
        <w:spacing w:after="0" w:line="224" w:lineRule="exact"/>
        <w:rPr>
          <w:sz w:val="20"/>
          <w:szCs w:val="20"/>
          <w:color w:val="auto"/>
        </w:rPr>
      </w:pPr>
    </w:p>
    <w:p>
      <w:pPr>
        <w:ind w:left="680" w:right="80" w:hanging="626"/>
        <w:spacing w:after="0" w:line="277"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03/03/2023 Exhibit 10.1</w:t>
      </w:r>
    </w:p>
    <w:p>
      <w:pPr>
        <w:spacing w:after="0" w:line="2070" w:lineRule="exact"/>
        <w:rPr>
          <w:sz w:val="20"/>
          <w:szCs w:val="20"/>
          <w:color w:val="auto"/>
        </w:rPr>
      </w:pPr>
    </w:p>
    <w:p>
      <w:pPr>
        <w:sectPr>
          <w:pgSz w:w="11900" w:h="16838" w:orient="portrait"/>
          <w:cols w:equalWidth="0" w:num="2">
            <w:col w:w="7560" w:space="160"/>
            <w:col w:w="2920"/>
          </w:cols>
          <w:pgMar w:left="320" w:top="337" w:right="939" w:bottom="1440" w:gutter="0" w:footer="0" w:header="0"/>
          <w:type w:val="continuous"/>
        </w:sectPr>
      </w:pPr>
    </w:p>
    <w:tbl>
      <w:tblPr>
        <w:tblLayout w:type="fixed"/>
        <w:tblInd w:w="4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Certifications Pursuant to 18 U.S.C. Section 1350/ Securities</w:t>
            </w:r>
          </w:p>
        </w:tc>
        <w:tc>
          <w:tcPr>
            <w:tcW w:w="56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Exchange Act Rule 13a-14(b), as adopted pursuant to Section 906 of</w:t>
            </w:r>
          </w:p>
        </w:tc>
        <w:tc>
          <w:tcPr>
            <w:tcW w:w="7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the Sarbanes - Oxley Act of 2002</w:t>
            </w:r>
          </w:p>
        </w:tc>
        <w:tc>
          <w:tcPr>
            <w:tcW w:w="25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r>
      <w:tr>
        <w:trPr>
          <w:trHeight w:val="39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000" w:type="dxa"/>
            <w:vAlign w:val="bottom"/>
            <w:gridSpan w:val="3"/>
          </w:tcPr>
          <w:p>
            <w:pPr>
              <w:spacing w:after="0"/>
              <w:rPr>
                <w:sz w:val="20"/>
                <w:szCs w:val="20"/>
                <w:color w:val="auto"/>
              </w:rPr>
            </w:pPr>
            <w:r>
              <w:rPr>
                <w:rFonts w:ascii="Arial" w:cs="Arial" w:eastAsia="Arial" w:hAnsi="Arial"/>
                <w:sz w:val="18"/>
                <w:szCs w:val="18"/>
                <w:color w:val="auto"/>
                <w:w w:val="93"/>
              </w:rPr>
              <w:t>Inline XBRL Instance Document – the instance document does not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10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7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700" w:type="dxa"/>
            <w:vAlign w:val="bottom"/>
          </w:tcPr>
          <w:p>
            <w:pPr>
              <w:spacing w:after="0"/>
              <w:rPr>
                <w:sz w:val="20"/>
                <w:szCs w:val="20"/>
                <w:color w:val="auto"/>
              </w:rPr>
            </w:pP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Label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000" w:type="dxa"/>
            <w:vAlign w:val="bottom"/>
            <w:gridSpan w:val="3"/>
          </w:tcPr>
          <w:p>
            <w:pPr>
              <w:spacing w:after="0"/>
              <w:rPr>
                <w:sz w:val="20"/>
                <w:szCs w:val="20"/>
                <w:color w:val="auto"/>
              </w:rPr>
            </w:pPr>
            <w:r>
              <w:rPr>
                <w:rFonts w:ascii="Arial" w:cs="Arial" w:eastAsia="Arial" w:hAnsi="Arial"/>
                <w:sz w:val="18"/>
                <w:szCs w:val="18"/>
                <w:color w:val="auto"/>
                <w:w w:val="98"/>
              </w:rPr>
              <w:t>Cover Page Interactive Data File (formatted as Inline XBRL and</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30"/>
        </w:trPr>
        <w:tc>
          <w:tcPr>
            <w:tcW w:w="10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0"/>
                <w:szCs w:val="20"/>
                <w:color w:val="auto"/>
              </w:rPr>
            </w:pPr>
          </w:p>
        </w:tc>
      </w:tr>
    </w:tbl>
    <w:p>
      <w:pPr>
        <w:spacing w:after="0" w:line="107" w:lineRule="exact"/>
        <w:rPr>
          <w:sz w:val="20"/>
          <w:szCs w:val="20"/>
          <w:color w:val="auto"/>
        </w:rPr>
      </w:pPr>
    </w:p>
    <w:p>
      <w:pPr>
        <w:ind w:left="520" w:hanging="512"/>
        <w:spacing w:after="0" w:line="223" w:lineRule="exact"/>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w:t>
      </w: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7" w:right="939" w:bottom="1440" w:gutter="0" w:footer="0" w:header="0"/>
          <w:type w:val="continuous"/>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840" w:top="449" w:right="7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April 20,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President &amp; Chief Executive Officer (Duly Authorized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 and Principal Executive Officer)</w:t>
      </w:r>
    </w:p>
    <w:p>
      <w:pPr>
        <w:spacing w:after="0" w:line="265"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April 20,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Chief Financial Officer (Duly Authorized Officer and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52" w:lineRule="exact"/>
        <w:rPr>
          <w:rFonts w:ascii="Arial" w:cs="Arial" w:eastAsia="Arial" w:hAnsi="Arial"/>
          <w:sz w:val="18"/>
          <w:szCs w:val="18"/>
          <w:color w:val="auto"/>
        </w:rPr>
      </w:pPr>
    </w:p>
    <w:p>
      <w:pPr>
        <w:ind w:left="520" w:right="280" w:hanging="512"/>
        <w:spacing w:after="0" w:line="263"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20" w:right="380" w:hanging="512"/>
        <w:spacing w:after="0" w:line="308" w:lineRule="auto"/>
        <w:tabs>
          <w:tab w:leader="none" w:pos="4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020" w:right="80" w:hanging="479"/>
        <w:spacing w:after="0" w:line="263"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020" w:right="480" w:hanging="479"/>
        <w:spacing w:after="0" w:line="342" w:lineRule="auto"/>
        <w:tabs>
          <w:tab w:leader="none" w:pos="96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020" w:right="100" w:hanging="479"/>
        <w:spacing w:after="0" w:line="263"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hanging="479"/>
        <w:spacing w:after="0" w:line="308" w:lineRule="auto"/>
        <w:tabs>
          <w:tab w:leader="none" w:pos="967"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020" w:right="520" w:hanging="479"/>
        <w:spacing w:after="0" w:line="277"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20,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 H. Hedrick,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25"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460" w:hanging="512"/>
        <w:spacing w:after="0" w:line="308" w:lineRule="auto"/>
        <w:tabs>
          <w:tab w:leader="none" w:pos="37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60" w:hanging="479"/>
        <w:spacing w:after="0" w:line="263" w:lineRule="auto"/>
        <w:tabs>
          <w:tab w:leader="none" w:pos="8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79"/>
        <w:spacing w:after="0" w:line="308" w:lineRule="auto"/>
        <w:tabs>
          <w:tab w:leader="none" w:pos="89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40" w:hanging="479"/>
        <w:spacing w:after="0" w:line="277" w:lineRule="auto"/>
        <w:tabs>
          <w:tab w:leader="none" w:pos="8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20,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Sims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CERTIFICATION PURSUANT TO 18 U.S.C. SECTION 1350/ SECURITIES EXCHANGE ACT RULE 13a-14(b), AS ADOPTED PURSUANT TO SECTION 906 OF THE SARBANES-OXLEY ACT OF 2002</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on Form 10-Q of Plus Therapeutics, Inc. for the quarterly period ended March 31, 2023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103" w:lineRule="exact"/>
        <w:rPr>
          <w:sz w:val="20"/>
          <w:szCs w:val="20"/>
          <w:color w:val="auto"/>
        </w:rPr>
      </w:pPr>
    </w:p>
    <w:p>
      <w:pPr>
        <w:ind w:left="520" w:right="440" w:hanging="512"/>
        <w:spacing w:after="0" w:line="277" w:lineRule="auto"/>
        <w:tabs>
          <w:tab w:leader="none" w:pos="4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report of Plus Therapeutics, Inc. that this certification accompanies fully complies with the requirements of Section 13(a) of the Securities Exchange Act of 1934.</w:t>
      </w:r>
    </w:p>
    <w:p>
      <w:pPr>
        <w:spacing w:after="0" w:line="89" w:lineRule="exact"/>
        <w:rPr>
          <w:rFonts w:ascii="Arial" w:cs="Arial" w:eastAsia="Arial" w:hAnsi="Arial"/>
          <w:sz w:val="18"/>
          <w:szCs w:val="18"/>
          <w:color w:val="auto"/>
        </w:rPr>
      </w:pPr>
    </w:p>
    <w:p>
      <w:pPr>
        <w:ind w:left="520" w:right="560" w:hanging="512"/>
        <w:spacing w:after="0" w:line="277" w:lineRule="auto"/>
        <w:tabs>
          <w:tab w:leader="none" w:pos="4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April 20,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3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April 20,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35"/>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 "/>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07" Type="http://schemas.openxmlformats.org/officeDocument/2006/relationships/hyperlink" Target="https://www.sec.gov/Archives/edgar/data/0001095981/000114036116057505/ex3_1.htm" TargetMode="External"/><Relationship Id="rId108" Type="http://schemas.openxmlformats.org/officeDocument/2006/relationships/hyperlink" Target="https://www.sec.gov/Archives/edgar/data/0001095981/000109598116000063/ex3_1.htm" TargetMode="External"/><Relationship Id="rId109" Type="http://schemas.openxmlformats.org/officeDocument/2006/relationships/hyperlink" Target="https://www.sec.gov/Archives/edgar/data/0001095981/000156459018014245/cytx-ex31_6.htm" TargetMode="External"/><Relationship Id="rId110" Type="http://schemas.openxmlformats.org/officeDocument/2006/relationships/hyperlink" Target="https://www.sec.gov/Archives/edgar/data/1095981/000156459019026454/cytx-ex31_6.htm" TargetMode="External"/><Relationship Id="rId111" Type="http://schemas.openxmlformats.org/officeDocument/2006/relationships/hyperlink" Target="https://www.sec.gov/Archives/edgar/data/0001095981/000156459019028996/pstv-ex31_18.htm" TargetMode="External"/><Relationship Id="rId112" Type="http://schemas.openxmlformats.org/officeDocument/2006/relationships/hyperlink" Target="https://www.sec.gov/Archives/edgar/data/0001095981/000119312521277718/d164672dex31.htm" TargetMode="External"/><Relationship Id="rId113" Type="http://schemas.openxmlformats.org/officeDocument/2006/relationships/hyperlink" Target="https://www.sec.gov/Archives/edgar/data/1095981/000119312523060090/d449434dex31.htm" TargetMode="External"/><Relationship Id="rId114" Type="http://schemas.openxmlformats.org/officeDocument/2006/relationships/hyperlink" Target="https://www.sec.gov/Archives/edgar/data/1095981/000119312523060090/d4494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2023-04-20T15:53:30Z</dcterms:created>
  <dcterms:modified xsi:type="dcterms:W3CDTF">2023-04-20T15:53:30Z</dcterms:modified>
</cp:coreProperties>
</file>