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-125095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01" w:lineRule="exact"/>
        <w:rPr>
          <w:sz w:val="24"/>
          <w:szCs w:val="24"/>
          <w:color w:val="auto"/>
        </w:rPr>
      </w:pPr>
    </w:p>
    <w:p>
      <w:pPr>
        <w:ind w:left="880" w:hanging="872"/>
        <w:spacing w:after="0"/>
        <w:tabs>
          <w:tab w:leader="none" w:pos="8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w:t>
      </w:r>
    </w:p>
    <w:p>
      <w:pPr>
        <w:spacing w:after="0" w:line="29" w:lineRule="exact"/>
        <w:rPr>
          <w:rFonts w:ascii="MS PGothic" w:cs="MS PGothic" w:eastAsia="MS PGothic" w:hAnsi="MS PGothic"/>
          <w:sz w:val="21"/>
          <w:szCs w:val="21"/>
          <w:color w:val="auto"/>
        </w:rPr>
      </w:pPr>
    </w:p>
    <w:p>
      <w:pPr>
        <w:spacing w:after="0"/>
        <w:rPr>
          <w:rFonts w:ascii="MS PGothic" w:cs="MS PGothic" w:eastAsia="MS PGothic" w:hAnsi="MS PGothic"/>
          <w:sz w:val="21"/>
          <w:szCs w:val="21"/>
          <w:color w:val="auto"/>
        </w:rPr>
      </w:pPr>
      <w:r>
        <w:rPr>
          <w:rFonts w:ascii="Times New Roman" w:cs="Times New Roman" w:eastAsia="Times New Roman" w:hAnsi="Times New Roman"/>
          <w:sz w:val="22"/>
          <w:szCs w:val="22"/>
          <w:b w:val="1"/>
          <w:bCs w:val="1"/>
          <w:color w:val="auto"/>
        </w:rPr>
        <w:t>OF 1934</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7" w:lineRule="exact"/>
        <w:rPr>
          <w:sz w:val="24"/>
          <w:szCs w:val="24"/>
          <w:color w:val="auto"/>
        </w:rPr>
      </w:pPr>
    </w:p>
    <w:p>
      <w:pPr>
        <w:spacing w:after="0"/>
        <w:tabs>
          <w:tab w:leader="none" w:pos="1740" w:val="left"/>
        </w:tabs>
        <w:rPr>
          <w:sz w:val="20"/>
          <w:szCs w:val="20"/>
          <w:color w:val="auto"/>
        </w:rPr>
      </w:pP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2"/>
          <w:szCs w:val="22"/>
          <w:b w:val="1"/>
          <w:bCs w:val="1"/>
          <w:color w:val="auto"/>
        </w:rPr>
        <w:t>TRANSITION REPORT PURSUANT TO SECTION 13 OR 15(d) OF THE SECURITIES</w:t>
      </w:r>
    </w:p>
    <w:p>
      <w:pPr>
        <w:spacing w:after="0" w:line="62"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22"/>
          <w:szCs w:val="22"/>
          <w:b w:val="1"/>
          <w:bCs w:val="1"/>
          <w:color w:val="auto"/>
        </w:rPr>
        <w:t>EXCHANGE ACT OF 1934</w:t>
      </w:r>
    </w:p>
    <w:p>
      <w:pPr>
        <w:spacing w:after="0" w:line="79" w:lineRule="exact"/>
        <w:rPr>
          <w:sz w:val="24"/>
          <w:szCs w:val="24"/>
          <w:color w:val="auto"/>
        </w:rPr>
      </w:pPr>
    </w:p>
    <w:p>
      <w:pPr>
        <w:ind w:left="362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001-34375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PLUS THERAPEUTICS,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8"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450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b w:val="1"/>
                <w:bCs w:val="1"/>
                <w:color w:val="auto"/>
                <w:w w:val="97"/>
              </w:rPr>
              <w:t>DELAWARE</w:t>
            </w:r>
          </w:p>
        </w:tc>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20" w:type="dxa"/>
            <w:vAlign w:val="bottom"/>
          </w:tcPr>
          <w:p>
            <w:pPr>
              <w:jc w:val="right"/>
              <w:ind w:right="2399"/>
              <w:spacing w:after="0"/>
              <w:rPr>
                <w:sz w:val="20"/>
                <w:szCs w:val="20"/>
                <w:color w:val="auto"/>
              </w:rPr>
            </w:pPr>
            <w:r>
              <w:rPr>
                <w:rFonts w:ascii="Times New Roman" w:cs="Times New Roman" w:eastAsia="Times New Roman" w:hAnsi="Times New Roman"/>
                <w:sz w:val="16"/>
                <w:szCs w:val="16"/>
                <w:b w:val="1"/>
                <w:bCs w:val="1"/>
                <w:color w:val="auto"/>
              </w:rPr>
              <w:t>33-0827593</w:t>
            </w:r>
          </w:p>
        </w:tc>
      </w:tr>
      <w:tr>
        <w:trPr>
          <w:trHeight w:val="220"/>
        </w:trPr>
        <w:tc>
          <w:tcPr>
            <w:tcW w:w="4500" w:type="dxa"/>
            <w:vAlign w:val="bottom"/>
            <w:gridSpan w:val="2"/>
          </w:tcPr>
          <w:p>
            <w:pPr>
              <w:jc w:val="center"/>
              <w:ind w:left="679"/>
              <w:spacing w:after="0"/>
              <w:rPr>
                <w:sz w:val="20"/>
                <w:szCs w:val="20"/>
                <w:color w:val="auto"/>
              </w:rPr>
            </w:pPr>
            <w:r>
              <w:rPr>
                <w:rFonts w:ascii="Times New Roman" w:cs="Times New Roman" w:eastAsia="Times New Roman" w:hAnsi="Times New Roman"/>
                <w:sz w:val="16"/>
                <w:szCs w:val="16"/>
                <w:b w:val="1"/>
                <w:bCs w:val="1"/>
                <w:color w:val="auto"/>
              </w:rPr>
              <w:t>(State or other jurisdiction</w:t>
            </w:r>
          </w:p>
        </w:tc>
        <w:tc>
          <w:tcPr>
            <w:tcW w:w="2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20" w:type="dxa"/>
            <w:vAlign w:val="bottom"/>
          </w:tcPr>
          <w:p>
            <w:pPr>
              <w:jc w:val="center"/>
              <w:ind w:right="203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4500" w:type="dxa"/>
            <w:vAlign w:val="bottom"/>
            <w:gridSpan w:val="2"/>
          </w:tcPr>
          <w:p>
            <w:pPr>
              <w:jc w:val="center"/>
              <w:ind w:left="679"/>
              <w:spacing w:after="0"/>
              <w:rPr>
                <w:sz w:val="20"/>
                <w:szCs w:val="20"/>
                <w:color w:val="auto"/>
              </w:rPr>
            </w:pPr>
            <w:r>
              <w:rPr>
                <w:rFonts w:ascii="Times New Roman" w:cs="Times New Roman" w:eastAsia="Times New Roman" w:hAnsi="Times New Roman"/>
                <w:sz w:val="16"/>
                <w:szCs w:val="16"/>
                <w:b w:val="1"/>
                <w:bCs w:val="1"/>
                <w:color w:val="auto"/>
              </w:rPr>
              <w:t>of incorporation or organization)</w:t>
            </w:r>
          </w:p>
        </w:tc>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20" w:type="dxa"/>
            <w:vAlign w:val="bottom"/>
          </w:tcPr>
          <w:p>
            <w:pPr>
              <w:jc w:val="center"/>
              <w:ind w:right="203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459"/>
        </w:trPr>
        <w:tc>
          <w:tcPr>
            <w:tcW w:w="4500" w:type="dxa"/>
            <w:vAlign w:val="bottom"/>
            <w:gridSpan w:val="2"/>
          </w:tcPr>
          <w:p>
            <w:pPr>
              <w:jc w:val="center"/>
              <w:ind w:left="679"/>
              <w:spacing w:after="0"/>
              <w:rPr>
                <w:sz w:val="20"/>
                <w:szCs w:val="20"/>
                <w:color w:val="auto"/>
              </w:rPr>
            </w:pPr>
            <w:r>
              <w:rPr>
                <w:rFonts w:ascii="Times New Roman" w:cs="Times New Roman" w:eastAsia="Times New Roman" w:hAnsi="Times New Roman"/>
                <w:sz w:val="16"/>
                <w:szCs w:val="16"/>
                <w:b w:val="1"/>
                <w:bCs w:val="1"/>
                <w:color w:val="auto"/>
              </w:rPr>
              <w:t>4200 MARATHON BLVD., SUITE 200, AUSTIN, TX</w:t>
            </w:r>
          </w:p>
        </w:tc>
        <w:tc>
          <w:tcPr>
            <w:tcW w:w="2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20" w:type="dxa"/>
            <w:vAlign w:val="bottom"/>
          </w:tcPr>
          <w:p>
            <w:pPr>
              <w:jc w:val="right"/>
              <w:ind w:right="2579"/>
              <w:spacing w:after="0"/>
              <w:rPr>
                <w:sz w:val="20"/>
                <w:szCs w:val="20"/>
                <w:color w:val="auto"/>
              </w:rPr>
            </w:pPr>
            <w:r>
              <w:rPr>
                <w:rFonts w:ascii="Times New Roman" w:cs="Times New Roman" w:eastAsia="Times New Roman" w:hAnsi="Times New Roman"/>
                <w:sz w:val="16"/>
                <w:szCs w:val="16"/>
                <w:b w:val="1"/>
                <w:bCs w:val="1"/>
                <w:color w:val="auto"/>
              </w:rPr>
              <w:t>78756</w:t>
            </w:r>
          </w:p>
        </w:tc>
      </w:tr>
      <w:tr>
        <w:trPr>
          <w:trHeight w:val="230"/>
        </w:trPr>
        <w:tc>
          <w:tcPr>
            <w:tcW w:w="450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20" w:type="dxa"/>
            <w:vAlign w:val="bottom"/>
          </w:tcPr>
          <w:p>
            <w:pPr>
              <w:jc w:val="center"/>
              <w:ind w:right="2039"/>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r>
        <w:trPr>
          <w:trHeight w:val="328"/>
        </w:trPr>
        <w:tc>
          <w:tcPr>
            <w:tcW w:w="4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(737) 255-7194</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12"/>
        </w:trPr>
        <w:tc>
          <w:tcPr>
            <w:tcW w:w="7620" w:type="dxa"/>
            <w:vAlign w:val="bottom"/>
            <w:gridSpan w:val="5"/>
          </w:tcPr>
          <w:p>
            <w:pPr>
              <w:jc w:val="center"/>
              <w:ind w:left="355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3620" w:type="dxa"/>
            <w:vAlign w:val="bottom"/>
          </w:tcPr>
          <w:p>
            <w:pPr>
              <w:spacing w:after="0"/>
              <w:rPr>
                <w:sz w:val="18"/>
                <w:szCs w:val="18"/>
                <w:color w:val="auto"/>
              </w:rPr>
            </w:pPr>
          </w:p>
        </w:tc>
      </w:tr>
      <w:tr>
        <w:trPr>
          <w:trHeight w:val="87"/>
        </w:trPr>
        <w:tc>
          <w:tcPr>
            <w:tcW w:w="4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20" w:type="dxa"/>
            <w:vAlign w:val="bottom"/>
          </w:tcPr>
          <w:p>
            <w:pPr>
              <w:spacing w:after="0"/>
              <w:rPr>
                <w:sz w:val="7"/>
                <w:szCs w:val="7"/>
                <w:color w:val="auto"/>
              </w:rPr>
            </w:pPr>
          </w:p>
        </w:tc>
      </w:tr>
      <w:tr>
        <w:trPr>
          <w:trHeight w:val="298"/>
        </w:trPr>
        <w:tc>
          <w:tcPr>
            <w:tcW w:w="7620" w:type="dxa"/>
            <w:vAlign w:val="bottom"/>
            <w:gridSpan w:val="5"/>
          </w:tcPr>
          <w:p>
            <w:pPr>
              <w:jc w:val="center"/>
              <w:ind w:left="353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3620" w:type="dxa"/>
            <w:vAlign w:val="bottom"/>
          </w:tcPr>
          <w:p>
            <w:pPr>
              <w:spacing w:after="0"/>
              <w:rPr>
                <w:sz w:val="24"/>
                <w:szCs w:val="24"/>
                <w:color w:val="auto"/>
              </w:rPr>
            </w:pPr>
          </w:p>
        </w:tc>
      </w:tr>
      <w:tr>
        <w:trPr>
          <w:trHeight w:val="225"/>
        </w:trPr>
        <w:tc>
          <w:tcPr>
            <w:tcW w:w="4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2"/>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tcPr>
          <w:p>
            <w:pPr>
              <w:spacing w:after="0"/>
              <w:rPr>
                <w:sz w:val="19"/>
                <w:szCs w:val="19"/>
                <w:color w:val="auto"/>
              </w:rPr>
            </w:pPr>
          </w:p>
        </w:tc>
      </w:tr>
      <w:tr>
        <w:trPr>
          <w:trHeight w:val="192"/>
        </w:trPr>
        <w:tc>
          <w:tcPr>
            <w:tcW w:w="42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00" w:type="dxa"/>
            <w:vAlign w:val="bottom"/>
          </w:tcPr>
          <w:p>
            <w:pPr>
              <w:spacing w:after="0"/>
              <w:rPr>
                <w:sz w:val="16"/>
                <w:szCs w:val="16"/>
                <w:color w:val="auto"/>
              </w:rPr>
            </w:pPr>
          </w:p>
        </w:tc>
        <w:tc>
          <w:tcPr>
            <w:tcW w:w="256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560" w:type="dxa"/>
            <w:vAlign w:val="bottom"/>
          </w:tcPr>
          <w:p>
            <w:pPr>
              <w:spacing w:after="0"/>
              <w:rPr>
                <w:sz w:val="16"/>
                <w:szCs w:val="16"/>
                <w:color w:val="auto"/>
              </w:rPr>
            </w:pPr>
          </w:p>
        </w:tc>
        <w:tc>
          <w:tcPr>
            <w:tcW w:w="3620" w:type="dxa"/>
            <w:vAlign w:val="bottom"/>
            <w:tcBorders>
              <w:right w:val="single" w:sz="8" w:color="auto"/>
            </w:tcBorders>
          </w:tcPr>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71"/>
        </w:trPr>
        <w:tc>
          <w:tcPr>
            <w:tcW w:w="4200" w:type="dxa"/>
            <w:vAlign w:val="bottom"/>
            <w:tcBorders>
              <w:left w:val="single" w:sz="8" w:color="auto"/>
              <w:bottom w:val="single" w:sz="8" w:color="auto"/>
              <w:right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gridSpan w:val="2"/>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190"/>
        </w:trPr>
        <w:tc>
          <w:tcPr>
            <w:tcW w:w="42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$0.001</w:t>
            </w:r>
          </w:p>
        </w:tc>
        <w:tc>
          <w:tcPr>
            <w:tcW w:w="300" w:type="dxa"/>
            <w:vAlign w:val="bottom"/>
          </w:tcPr>
          <w:p>
            <w:pPr>
              <w:spacing w:after="0"/>
              <w:rPr>
                <w:sz w:val="16"/>
                <w:szCs w:val="16"/>
                <w:color w:val="auto"/>
              </w:rPr>
            </w:pPr>
          </w:p>
        </w:tc>
        <w:tc>
          <w:tcPr>
            <w:tcW w:w="256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PSTV</w:t>
            </w:r>
          </w:p>
        </w:tc>
        <w:tc>
          <w:tcPr>
            <w:tcW w:w="560" w:type="dxa"/>
            <w:vAlign w:val="bottom"/>
          </w:tcPr>
          <w:p>
            <w:pPr>
              <w:spacing w:after="0"/>
              <w:rPr>
                <w:sz w:val="16"/>
                <w:szCs w:val="16"/>
                <w:color w:val="auto"/>
              </w:rPr>
            </w:pPr>
          </w:p>
        </w:tc>
        <w:tc>
          <w:tcPr>
            <w:tcW w:w="3620" w:type="dxa"/>
            <w:vAlign w:val="bottom"/>
            <w:tcBorders>
              <w:right w:val="single" w:sz="8" w:color="auto"/>
            </w:tcBorders>
          </w:tcPr>
          <w:p>
            <w:pPr>
              <w:jc w:val="center"/>
              <w:ind w:right="499"/>
              <w:spacing w:after="0"/>
              <w:rPr>
                <w:sz w:val="20"/>
                <w:szCs w:val="20"/>
                <w:color w:val="auto"/>
              </w:rPr>
            </w:pPr>
            <w:r>
              <w:rPr>
                <w:rFonts w:ascii="Times New Roman" w:cs="Times New Roman" w:eastAsia="Times New Roman" w:hAnsi="Times New Roman"/>
                <w:sz w:val="16"/>
                <w:szCs w:val="16"/>
                <w:color w:val="auto"/>
              </w:rPr>
              <w:t>Nasdaq Capital Market</w:t>
            </w:r>
          </w:p>
        </w:tc>
      </w:tr>
      <w:tr>
        <w:trPr>
          <w:trHeight w:val="56"/>
        </w:trPr>
        <w:tc>
          <w:tcPr>
            <w:tcW w:w="4200" w:type="dxa"/>
            <w:vAlign w:val="bottom"/>
            <w:tcBorders>
              <w:left w:val="single" w:sz="8" w:color="auto"/>
              <w:bottom w:val="single" w:sz="8" w:color="auto"/>
              <w:right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620" w:type="dxa"/>
            <w:vAlign w:val="bottom"/>
            <w:tcBorders>
              <w:bottom w:val="single" w:sz="8" w:color="auto"/>
              <w:right w:val="single" w:sz="8" w:color="auto"/>
            </w:tcBorders>
          </w:tcPr>
          <w:p>
            <w:pPr>
              <w:spacing w:after="0"/>
              <w:rPr>
                <w:sz w:val="4"/>
                <w:szCs w:val="4"/>
                <w:color w:val="auto"/>
              </w:rPr>
            </w:pPr>
          </w:p>
        </w:tc>
      </w:tr>
    </w:tbl>
    <w:p>
      <w:pPr>
        <w:spacing w:after="0" w:line="94"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1199" w:right="339" w:bottom="1440" w:gutter="0" w:footer="0" w:header="0"/>
        </w:sectPr>
      </w:pPr>
    </w:p>
    <w:p>
      <w:pPr>
        <w:spacing w:after="0" w:line="142" w:lineRule="exact"/>
        <w:rPr>
          <w:sz w:val="24"/>
          <w:szCs w:val="24"/>
          <w:color w:val="auto"/>
        </w:rPr>
      </w:pPr>
    </w:p>
    <w:p>
      <w:pPr>
        <w:ind w:left="20"/>
        <w:spacing w:after="0" w:line="184" w:lineRule="exact"/>
        <w:tabs>
          <w:tab w:leader="none" w:pos="2500" w:val="left"/>
          <w:tab w:leader="none" w:pos="8440" w:val="left"/>
        </w:tabs>
        <w:rPr>
          <w:sz w:val="20"/>
          <w:szCs w:val="20"/>
          <w:color w:val="auto"/>
        </w:rPr>
      </w:pPr>
      <w:r>
        <w:rPr>
          <w:rFonts w:ascii="Times New Roman" w:cs="Times New Roman" w:eastAsia="Times New Roman" w:hAnsi="Times New Roman"/>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Accelerated Filer</w:t>
      </w:r>
    </w:p>
    <w:p>
      <w:pPr>
        <w:spacing w:after="0" w:line="86" w:lineRule="exact"/>
        <w:rPr>
          <w:sz w:val="24"/>
          <w:szCs w:val="24"/>
          <w:color w:val="auto"/>
        </w:rPr>
      </w:pPr>
    </w:p>
    <w:p>
      <w:pPr>
        <w:ind w:left="20"/>
        <w:spacing w:after="0" w:line="184" w:lineRule="exact"/>
        <w:tabs>
          <w:tab w:leader="none" w:pos="2500" w:val="left"/>
          <w:tab w:leader="none" w:pos="8440" w:val="left"/>
        </w:tabs>
        <w:rPr>
          <w:sz w:val="20"/>
          <w:szCs w:val="20"/>
          <w:color w:val="auto"/>
        </w:rPr>
      </w:pPr>
      <w:r>
        <w:rPr>
          <w:rFonts w:ascii="Times New Roman" w:cs="Times New Roman" w:eastAsia="Times New Roman" w:hAnsi="Times New Roman"/>
          <w:sz w:val="16"/>
          <w:szCs w:val="16"/>
          <w:color w:val="auto"/>
        </w:rPr>
        <w:t>Non-Accelerated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Smaller reporting company</w:t>
      </w:r>
    </w:p>
    <w:p>
      <w:pPr>
        <w:spacing w:after="0" w:line="46" w:lineRule="exact"/>
        <w:rPr>
          <w:sz w:val="24"/>
          <w:szCs w:val="24"/>
          <w:color w:val="auto"/>
        </w:rPr>
      </w:pPr>
    </w:p>
    <w:p>
      <w:pPr>
        <w:ind w:left="8460"/>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17"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financing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right="208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August 9, 2024 , there were 5,896,333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805815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660" w:space="280"/>
            <w:col w:w="300"/>
          </w:cols>
          <w:pgMar w:left="320" w:top="1199"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w:t>
            </w:r>
          </w:p>
        </w:tc>
        <w:tc>
          <w:tcPr>
            <w:tcW w:w="24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20"/>
                <w:szCs w:val="20"/>
                <w:color w:val="0000FF"/>
                <w:w w:val="97"/>
              </w:rPr>
              <w:t>FINANCIAL INFORMATION</w:t>
            </w:r>
          </w:p>
        </w:tc>
        <w:tc>
          <w:tcPr>
            <w:tcW w:w="6920" w:type="dxa"/>
            <w:vAlign w:val="bottom"/>
            <w:gridSpan w:val="9"/>
          </w:tcPr>
          <w:p>
            <w:pPr>
              <w:spacing w:after="0"/>
              <w:rPr>
                <w:sz w:val="20"/>
                <w:szCs w:val="20"/>
                <w:color w:val="auto"/>
              </w:rPr>
            </w:pPr>
          </w:p>
        </w:tc>
        <w:tc>
          <w:tcPr>
            <w:tcW w:w="560" w:type="dxa"/>
            <w:vAlign w:val="bottom"/>
          </w:tcPr>
          <w:p>
            <w:pPr>
              <w:spacing w:after="0"/>
              <w:rPr>
                <w:sz w:val="20"/>
                <w:szCs w:val="20"/>
                <w:color w:val="auto"/>
              </w:rPr>
            </w:pPr>
          </w:p>
        </w:tc>
      </w:tr>
      <w:tr>
        <w:trPr>
          <w:trHeight w:val="453"/>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42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Financial Statements (Unaudited)</w:t>
            </w:r>
          </w:p>
        </w:tc>
        <w:tc>
          <w:tcPr>
            <w:tcW w:w="4140" w:type="dxa"/>
            <w:vAlign w:val="bottom"/>
            <w:gridSpan w:val="4"/>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8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7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4680" w:type="dxa"/>
            <w:vAlign w:val="bottom"/>
            <w:gridSpan w:val="6"/>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Deficit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4000" w:type="dxa"/>
            <w:vAlign w:val="bottom"/>
            <w:gridSpan w:val="2"/>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6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20" w:type="dxa"/>
            <w:vAlign w:val="bottom"/>
            <w:gridSpan w:val="3"/>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9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4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100" w:type="dxa"/>
            <w:vAlign w:val="bottom"/>
            <w:gridSpan w:val="3"/>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64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5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II.</w:t>
            </w:r>
          </w:p>
        </w:tc>
        <w:tc>
          <w:tcPr>
            <w:tcW w:w="9400" w:type="dxa"/>
            <w:vAlign w:val="bottom"/>
            <w:gridSpan w:val="15"/>
          </w:tcPr>
          <w:p>
            <w:pPr>
              <w:spacing w:after="0"/>
              <w:rPr>
                <w:sz w:val="20"/>
                <w:szCs w:val="20"/>
                <w:color w:val="auto"/>
              </w:rPr>
            </w:pPr>
            <w:r>
              <w:rPr>
                <w:rFonts w:ascii="Times New Roman" w:cs="Times New Roman" w:eastAsia="Times New Roman" w:hAnsi="Times New Roman"/>
                <w:sz w:val="20"/>
                <w:szCs w:val="20"/>
                <w:color w:val="0000FF"/>
              </w:rPr>
              <w:t>OTHER INFORMATION</w:t>
            </w:r>
          </w:p>
        </w:tc>
        <w:tc>
          <w:tcPr>
            <w:tcW w:w="56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8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53"/>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4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466"/>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080" w:type="dxa"/>
            <w:vAlign w:val="bottom"/>
            <w:gridSpan w:val="10"/>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300" w:type="dxa"/>
            <w:vAlign w:val="bottom"/>
            <w:tcBorders>
              <w:top w:val="single" w:sz="8" w:color="0000FF"/>
            </w:tcBorders>
          </w:tcPr>
          <w:p>
            <w:pPr>
              <w:spacing w:after="0"/>
              <w:rPr>
                <w:sz w:val="24"/>
                <w:szCs w:val="24"/>
                <w:color w:val="auto"/>
              </w:rPr>
            </w:pPr>
          </w:p>
        </w:tc>
        <w:tc>
          <w:tcPr>
            <w:tcW w:w="7500" w:type="dxa"/>
            <w:vAlign w:val="bottom"/>
            <w:gridSpan w:val="12"/>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682"/>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720" w:type="dxa"/>
            <w:vAlign w:val="bottom"/>
            <w:gridSpan w:val="8"/>
          </w:tcPr>
          <w:p>
            <w:pPr>
              <w:ind w:left="330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1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 REGARDING FORWARD-LOOKING STATEMENTS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This quarterly report on Form 10-Q and the exhibits incorporated herein by reference contain “forward-looking statements” which are made pursuant to the safe harbor provisions of Section 27A of the Securities Act of 1933, as amended, and Section 21E of the Securities Exchange Act of 1934, as amended. Statements other than statements of historical fact constitute “forward-looking statements.” These forward-looking statements do not constitute guarantees of future performance. These forward-looking statements may be identified by terms such as “intend,” “expect,” “project,” “believe,” “anticipate,” “initiate,” “will,” “should,” “would,” “could,” “may,” “designed,” “potential,” “evaluate,” “hypothesize,” “plan,” “progressing,” “proceeding,” “exploring,” “opportunity,” “hopes,” “suggest,” and similar expressions, or the negative of such expressions. Such statements are based upon certain assumptions and assessments made by our management in light of their experience and their perception of historical trends, current conditions, expected future developments and other factors they believe to be appropriate.</w:t>
      </w:r>
    </w:p>
    <w:p>
      <w:pPr>
        <w:spacing w:after="0" w:line="2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These statements include, without limitation, statements about our anticipated expenditures, including research and development, and general and administrative expenses; our strategic collaborations and license agreements, intellectual property, U.S. Food and Drug Administration and European Medicines Agency approvals and interactions and government regulation; the potential size of the market for our product candidates; our research and development efforts; results from our pre-clinical and clinical studies and the implications of such results regarding the efficacy or safety of our product candidates; the safety profile, pathways, and efficacy of our product candidates and formulations; anticipated advantages of our product candidates over other products available in the market and being developed; the populations that will most benefit from our product candidates and indications that will be pursued with each product candidate; anticipated progress in our current and future clinical trials; plans and strategies to create novel technologies; our IP strategy; competition; future development and/or expansion of our product candidates and therapies in our markets; sources of competition for any of our product candidates; our pipeline; our ability to generate product or development revenue and the sources of such revenue; our ability to effectively manage our gross profit margins; our ability to obtain and maintain regulatory approvals; expectations as to our future performance; portions of the “Liquidity and Capital Resources” section of this quarterly report on Form 10-Q, including our potential need for additional financing and the availability thereof; our ability to integrate into our business and operations, develop, fully utilize and monetize acquired assets; our ability to reclassify warrants as equity in our financial statements; our ability to continue as a going concern; our ability to remain listed on the Nasdaq Capital Market; our ability to repay or refinance some or all of our outstanding indebtedness and our ability to raise capital in the future; our ability to transfer the drug and medical device product manufacturing to a contract drug and medical device manufacturing organization; and the potential enhancement of our cash position through development, marketing, and licensing arrangements; and a material security breach or cybersecurity attack affecting our operations and property. The forward-looking statements included in this quarterly report on Form 10-Q are also subject to a number of additional material risks and uncertainties, including but not limited to the risks described under “Part I – Item 1A – Risk Factors” in our Annual Report on Form 10-K for the year ended December 31, 2023, in other subsequent filings with the Securities and Exchange Commission, and under “Part II – Item 1A – Risk Factors” in this quarterly report on Form 10-Q. These risks and uncertainties could cause actual results to differ materially from expectations or those expressed in these forward-looking statements.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Our actual results may differ, including materially, from those anticipated in these forward-looking statements as a result of various factors, including, but not limited to, the following: the early stage of our product candidates and therapies, the results of our research and development activities, including uncertainties relating to the clinical trials of our product candidates and therapies; our liquidity and capital resources and our ability to raise additional cash, the outcome of our partnering/licensing efforts, risks associated with laws or regulatory requirements applicable to us, market conditions, product performance, potential litigation, our ability to integrate into our business and operations, develop, fully utilize and monetize acquired assets, and competition within the radiotherapeutics, and more generally, oncological medicine fields, among others. The forward-looking statements included in this quarterly report on Form 10-Q are also subject to a number of additional material risks and uncertainties, including but not limited to the risks described under “Part I – Item 1A – Risk Factors” in our Annual Report on Form 10-K for the year ended December 31, 2023, and under “Part II – Item 1A – Risk Factors” in this quarterly report on Form 10-Q. These risks and uncertainties could cause actual results to differ materially from expectations or those expressed in these forward-looking statements.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We encourage you to read the risks described under “Part II – Item 1A – Risk Factors” in this quarterly report on Form 10-Q carefully. We caution you not to place undue reliance on the forward-looking statements contained in this quarterly report on Form 10-Q. These statements, like all statements in this quarterly report on Form 10-Q, speak only as of the date of this quarterly report on Form 10-Q (unless an earlier date is indicated) and the Company undertakes no obligation to update or revise the statements except as required by law. Such forward-looking statements are not guarantees of future performance.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03"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31"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 data)</w:t>
      </w:r>
    </w:p>
    <w:p>
      <w:pPr>
        <w:spacing w:after="0" w:line="173"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4,912</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8,554</w:t>
            </w: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9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9,834</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r>
      <w:tr>
        <w:trPr>
          <w:trHeight w:val="277"/>
        </w:trPr>
        <w:tc>
          <w:tcPr>
            <w:tcW w:w="69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11,212</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6,946</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grant liability</w:t>
            </w: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Line of credit</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Term loan obligation, current</w:t>
            </w:r>
          </w:p>
        </w:tc>
        <w:tc>
          <w:tcPr>
            <w:tcW w:w="20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100" w:type="dxa"/>
            <w:vAlign w:val="bottom"/>
            <w:shd w:val="clear" w:color="auto" w:fill="CFF0FC"/>
          </w:tcPr>
          <w:p>
            <w:pPr>
              <w:spacing w:after="0"/>
              <w:rPr>
                <w:sz w:val="21"/>
                <w:szCs w:val="21"/>
                <w:color w:val="auto"/>
              </w:rPr>
            </w:pPr>
          </w:p>
        </w:tc>
      </w:tr>
      <w:tr>
        <w:trPr>
          <w:trHeight w:val="236"/>
        </w:trPr>
        <w:tc>
          <w:tcPr>
            <w:tcW w:w="694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18,787</w:t>
            </w:r>
          </w:p>
        </w:tc>
        <w:tc>
          <w:tcPr>
            <w:tcW w:w="24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10,727</w:t>
            </w:r>
          </w:p>
        </w:tc>
        <w:tc>
          <w:tcPr>
            <w:tcW w:w="100" w:type="dxa"/>
            <w:vAlign w:val="bottom"/>
            <w:tcBorders>
              <w:top w:val="single" w:sz="8" w:color="CFF0FC"/>
            </w:tcBorders>
          </w:tcPr>
          <w:p>
            <w:pPr>
              <w:spacing w:after="0"/>
              <w:rPr>
                <w:sz w:val="20"/>
                <w:szCs w:val="20"/>
                <w:color w:val="auto"/>
              </w:rPr>
            </w:pPr>
          </w:p>
        </w:tc>
      </w:tr>
      <w:tr>
        <w:trPr>
          <w:trHeight w:val="247"/>
        </w:trPr>
        <w:tc>
          <w:tcPr>
            <w:tcW w:w="69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liability</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0"/>
                <w:szCs w:val="20"/>
                <w:color w:val="auto"/>
              </w:rPr>
            </w:pPr>
          </w:p>
        </w:tc>
      </w:tr>
      <w:tr>
        <w:trPr>
          <w:trHeight w:val="24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grant liability</w:t>
            </w:r>
          </w:p>
        </w:tc>
        <w:tc>
          <w:tcPr>
            <w:tcW w:w="20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shd w:val="clear" w:color="auto" w:fill="CFF0FC"/>
          </w:tcPr>
          <w:p>
            <w:pPr>
              <w:spacing w:after="0"/>
              <w:rPr>
                <w:sz w:val="21"/>
                <w:szCs w:val="21"/>
                <w:color w:val="auto"/>
              </w:rPr>
            </w:pPr>
          </w:p>
        </w:tc>
      </w:tr>
      <w:tr>
        <w:trPr>
          <w:trHeight w:val="236"/>
        </w:trPr>
        <w:tc>
          <w:tcPr>
            <w:tcW w:w="694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18,837</w:t>
            </w:r>
          </w:p>
        </w:tc>
        <w:tc>
          <w:tcPr>
            <w:tcW w:w="24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12,736</w:t>
            </w:r>
          </w:p>
        </w:tc>
        <w:tc>
          <w:tcPr>
            <w:tcW w:w="100" w:type="dxa"/>
            <w:vAlign w:val="bottom"/>
            <w:tcBorders>
              <w:top w:val="single" w:sz="8" w:color="CFF0FC"/>
            </w:tcBorders>
          </w:tcPr>
          <w:p>
            <w:pPr>
              <w:spacing w:after="0"/>
              <w:rPr>
                <w:sz w:val="20"/>
                <w:szCs w:val="20"/>
                <w:color w:val="auto"/>
              </w:rPr>
            </w:pPr>
          </w:p>
        </w:tc>
      </w:tr>
      <w:tr>
        <w:trPr>
          <w:trHeight w:val="247"/>
        </w:trPr>
        <w:tc>
          <w:tcPr>
            <w:tcW w:w="69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5,000,000 shares authorized; 1,952 shares issued and</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outstanding at June 30, 2024 and December 31, 2023, respectively</w:t>
            </w:r>
          </w:p>
        </w:tc>
        <w:tc>
          <w:tcPr>
            <w:tcW w:w="20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$0.001 par value; 100,000,000 shares authorized; 5,962,644 and</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5,704,219 issued and outstanding at June 30, 2024, and 4,522,656 issued and</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4,444,097 outstanding as of December 31, 2023, respectively</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r>
      <w:tr>
        <w:trPr>
          <w:trHeight w:val="218"/>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Treasury stock (at cost, 258,425 and 78,559 shares as of June 30, 2024 and December 31,</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2023, respectively)</w:t>
            </w:r>
          </w:p>
        </w:tc>
        <w:tc>
          <w:tcPr>
            <w:tcW w:w="20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(500 )</w:t>
            </w:r>
          </w:p>
        </w:tc>
        <w:tc>
          <w:tcPr>
            <w:tcW w:w="1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(126 )</w:t>
            </w:r>
          </w:p>
        </w:tc>
      </w:tr>
      <w:tr>
        <w:trPr>
          <w:trHeight w:val="239"/>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479,571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479,274</w:t>
            </w:r>
          </w:p>
        </w:tc>
        <w:tc>
          <w:tcPr>
            <w:tcW w:w="100" w:type="dxa"/>
            <w:vAlign w:val="bottom"/>
          </w:tcPr>
          <w:p>
            <w:pPr>
              <w:spacing w:after="0"/>
              <w:rPr>
                <w:sz w:val="20"/>
                <w:szCs w:val="20"/>
                <w:color w:val="auto"/>
              </w:rPr>
            </w:pPr>
          </w:p>
        </w:tc>
      </w:tr>
      <w:tr>
        <w:trPr>
          <w:trHeight w:val="243"/>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(486,702 )</w:t>
            </w:r>
          </w:p>
        </w:tc>
        <w:tc>
          <w:tcPr>
            <w:tcW w:w="1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(480,501 )</w:t>
            </w:r>
          </w:p>
        </w:tc>
      </w:tr>
      <w:tr>
        <w:trPr>
          <w:trHeight w:val="20"/>
        </w:trPr>
        <w:tc>
          <w:tcPr>
            <w:tcW w:w="69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0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(7,625 )</w:t>
            </w:r>
          </w:p>
        </w:tc>
        <w:tc>
          <w:tcPr>
            <w:tcW w:w="12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(1,348 )</w:t>
            </w:r>
          </w:p>
        </w:tc>
      </w:tr>
      <w:tr>
        <w:trPr>
          <w:trHeight w:val="276"/>
        </w:trPr>
        <w:tc>
          <w:tcPr>
            <w:tcW w:w="69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11,212</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-5588635</wp:posOffset>
            </wp:positionV>
            <wp:extent cx="603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-5588635</wp:posOffset>
            </wp:positionV>
            <wp:extent cx="603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-4337050</wp:posOffset>
            </wp:positionV>
            <wp:extent cx="603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-4319905</wp:posOffset>
            </wp:positionV>
            <wp:extent cx="60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-4337050</wp:posOffset>
            </wp:positionV>
            <wp:extent cx="603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-4319905</wp:posOffset>
            </wp:positionV>
            <wp:extent cx="603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-3076575</wp:posOffset>
            </wp:positionV>
            <wp:extent cx="603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-3076575</wp:posOffset>
            </wp:positionV>
            <wp:extent cx="603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-2451100</wp:posOffset>
            </wp:positionV>
            <wp:extent cx="603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-2451100</wp:posOffset>
            </wp:positionV>
            <wp:extent cx="603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-351155</wp:posOffset>
            </wp:positionV>
            <wp:extent cx="603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-351155</wp:posOffset>
            </wp:positionV>
            <wp:extent cx="603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-25400</wp:posOffset>
            </wp:positionV>
            <wp:extent cx="603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603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See Accompanying Notes to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981" w:right="89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60" w:type="dxa"/>
            <w:vAlign w:val="bottom"/>
          </w:tcPr>
          <w:p>
            <w:pPr>
              <w:spacing w:after="0"/>
              <w:rPr>
                <w:sz w:val="16"/>
                <w:szCs w:val="16"/>
                <w:color w:val="auto"/>
              </w:rPr>
            </w:pPr>
          </w:p>
        </w:tc>
        <w:tc>
          <w:tcPr>
            <w:tcW w:w="256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69"/>
        </w:trPr>
        <w:tc>
          <w:tcPr>
            <w:tcW w:w="55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 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00" w:type="dxa"/>
            <w:vAlign w:val="bottom"/>
            <w:shd w:val="clear" w:color="auto" w:fill="CFF0FC"/>
          </w:tcPr>
          <w:p>
            <w:pPr>
              <w:spacing w:after="0"/>
              <w:rPr>
                <w:sz w:val="20"/>
                <w:szCs w:val="20"/>
                <w:color w:val="auto"/>
              </w:rPr>
            </w:pPr>
          </w:p>
        </w:tc>
      </w:tr>
      <w:tr>
        <w:trPr>
          <w:trHeight w:val="243"/>
        </w:trPr>
        <w:tc>
          <w:tcPr>
            <w:tcW w:w="5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100" w:type="dxa"/>
            <w:vAlign w:val="bottom"/>
          </w:tcPr>
          <w:p>
            <w:pPr>
              <w:spacing w:after="0"/>
              <w:rPr>
                <w:sz w:val="20"/>
                <w:szCs w:val="20"/>
                <w:color w:val="auto"/>
              </w:rPr>
            </w:pPr>
          </w:p>
        </w:tc>
      </w:tr>
      <w:tr>
        <w:trPr>
          <w:trHeight w:val="243"/>
        </w:trPr>
        <w:tc>
          <w:tcPr>
            <w:tcW w:w="5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5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9,952</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8,572</w:t>
            </w:r>
          </w:p>
        </w:tc>
        <w:tc>
          <w:tcPr>
            <w:tcW w:w="100" w:type="dxa"/>
            <w:vAlign w:val="bottom"/>
          </w:tcPr>
          <w:p>
            <w:pPr>
              <w:spacing w:after="0"/>
              <w:rPr>
                <w:sz w:val="20"/>
                <w:szCs w:val="20"/>
                <w:color w:val="auto"/>
              </w:rPr>
            </w:pPr>
          </w:p>
        </w:tc>
      </w:tr>
      <w:tr>
        <w:trPr>
          <w:trHeight w:val="241"/>
        </w:trPr>
        <w:tc>
          <w:tcPr>
            <w:tcW w:w="55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(3,697 )</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(1,490 )</w:t>
            </w:r>
          </w:p>
        </w:tc>
        <w:tc>
          <w:tcPr>
            <w:tcW w:w="16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(6,996 )</w:t>
            </w:r>
          </w:p>
        </w:tc>
        <w:tc>
          <w:tcPr>
            <w:tcW w:w="2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(6,212 )</w:t>
            </w:r>
          </w:p>
        </w:tc>
      </w:tr>
      <w:tr>
        <w:trPr>
          <w:trHeight w:val="243"/>
        </w:trPr>
        <w:tc>
          <w:tcPr>
            <w:tcW w:w="5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expense</w:t>
            </w:r>
          </w:p>
        </w:tc>
        <w:tc>
          <w:tcPr>
            <w:tcW w:w="16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(3,545 )</w:t>
            </w:r>
          </w:p>
        </w:tc>
        <w:tc>
          <w:tcPr>
            <w:tcW w:w="2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(3,545 )</w:t>
            </w:r>
          </w:p>
        </w:tc>
        <w:tc>
          <w:tcPr>
            <w:tcW w:w="28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Warrant issuance costs</w:t>
            </w:r>
          </w:p>
        </w:tc>
        <w:tc>
          <w:tcPr>
            <w:tcW w:w="16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(432 )</w:t>
            </w:r>
          </w:p>
        </w:tc>
        <w:tc>
          <w:tcPr>
            <w:tcW w:w="2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(432 )</w:t>
            </w:r>
          </w:p>
        </w:tc>
        <w:tc>
          <w:tcPr>
            <w:tcW w:w="28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FF0FC"/>
          </w:tcPr>
          <w:p>
            <w:pPr>
              <w:spacing w:after="0"/>
              <w:rPr>
                <w:sz w:val="21"/>
                <w:szCs w:val="21"/>
                <w:color w:val="auto"/>
              </w:rPr>
            </w:pPr>
          </w:p>
        </w:tc>
      </w:tr>
      <w:tr>
        <w:trPr>
          <w:trHeight w:val="239"/>
        </w:trPr>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(27 )</w:t>
            </w:r>
          </w:p>
        </w:tc>
        <w:tc>
          <w:tcPr>
            <w:tcW w:w="2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(112 )</w:t>
            </w:r>
          </w:p>
        </w:tc>
        <w:tc>
          <w:tcPr>
            <w:tcW w:w="1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(61 )</w:t>
            </w:r>
          </w:p>
        </w:tc>
        <w:tc>
          <w:tcPr>
            <w:tcW w:w="28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(246 )</w:t>
            </w:r>
          </w:p>
        </w:tc>
      </w:tr>
      <w:tr>
        <w:trPr>
          <w:trHeight w:val="20"/>
        </w:trPr>
        <w:tc>
          <w:tcPr>
            <w:tcW w:w="5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5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(75 )</w:t>
            </w:r>
          </w:p>
        </w:tc>
      </w:tr>
      <w:tr>
        <w:trPr>
          <w:trHeight w:val="20"/>
        </w:trPr>
        <w:tc>
          <w:tcPr>
            <w:tcW w:w="55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(2,940 )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(1,482 )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(6,201 )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(6,287 )</w:t>
            </w:r>
          </w:p>
        </w:tc>
      </w:tr>
      <w:tr>
        <w:trPr>
          <w:trHeight w:val="20"/>
        </w:trPr>
        <w:tc>
          <w:tcPr>
            <w:tcW w:w="5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5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 share information:</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of common stock - basic</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(0.45 )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(0.59 )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(1.15 )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(2.60 )</w:t>
            </w:r>
          </w:p>
        </w:tc>
      </w:tr>
      <w:tr>
        <w:trPr>
          <w:trHeight w:val="23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of common stock outstanding - basic</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6,500,831</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2,509,378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5,411,382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2,415,221</w:t>
            </w:r>
          </w:p>
        </w:tc>
        <w:tc>
          <w:tcPr>
            <w:tcW w:w="100" w:type="dxa"/>
            <w:vAlign w:val="bottom"/>
          </w:tcPr>
          <w:p>
            <w:pPr>
              <w:spacing w:after="0"/>
              <w:rPr>
                <w:sz w:val="20"/>
                <w:szCs w:val="20"/>
                <w:color w:val="auto"/>
              </w:rPr>
            </w:pPr>
          </w:p>
        </w:tc>
      </w:tr>
      <w:tr>
        <w:trPr>
          <w:trHeight w:val="247"/>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of common stock - diluted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(0.71 )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(0.59 )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(1.45 )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(2.60 )</w:t>
            </w:r>
          </w:p>
        </w:tc>
      </w:tr>
      <w:tr>
        <w:trPr>
          <w:trHeight w:val="211"/>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of common stock outstanding -</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10,742,924</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2,509,378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7,532,428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2,415,221</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-2811145</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-2811145</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-2811145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-2811145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-1242695</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-1242695</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-1242695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-1242695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Convertible</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Additional</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87"/>
              </w:rPr>
              <w:t>Total</w:t>
            </w:r>
          </w:p>
        </w:tc>
      </w:tr>
      <w:tr>
        <w:trPr>
          <w:trHeight w:val="168"/>
        </w:trPr>
        <w:tc>
          <w:tcPr>
            <w:tcW w:w="1940" w:type="dxa"/>
            <w:vAlign w:val="bottom"/>
          </w:tcPr>
          <w:p>
            <w:pPr>
              <w:spacing w:after="0"/>
              <w:rPr>
                <w:sz w:val="14"/>
                <w:szCs w:val="14"/>
                <w:color w:val="auto"/>
              </w:rPr>
            </w:pPr>
          </w:p>
        </w:tc>
        <w:tc>
          <w:tcPr>
            <w:tcW w:w="122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Preferred stock</w:t>
            </w:r>
          </w:p>
        </w:tc>
        <w:tc>
          <w:tcPr>
            <w:tcW w:w="120" w:type="dxa"/>
            <w:vAlign w:val="bottom"/>
          </w:tcPr>
          <w:p>
            <w:pPr>
              <w:spacing w:after="0"/>
              <w:rPr>
                <w:sz w:val="14"/>
                <w:szCs w:val="14"/>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preferred stock</w:t>
            </w:r>
          </w:p>
        </w:tc>
        <w:tc>
          <w:tcPr>
            <w:tcW w:w="220" w:type="dxa"/>
            <w:vAlign w:val="bottom"/>
          </w:tcPr>
          <w:p>
            <w:pPr>
              <w:spacing w:after="0"/>
              <w:rPr>
                <w:sz w:val="14"/>
                <w:szCs w:val="14"/>
                <w:color w:val="auto"/>
              </w:rPr>
            </w:pPr>
          </w:p>
        </w:tc>
        <w:tc>
          <w:tcPr>
            <w:tcW w:w="1240" w:type="dxa"/>
            <w:vAlign w:val="bottom"/>
            <w:gridSpan w:val="4"/>
          </w:tcPr>
          <w:p>
            <w:pPr>
              <w:ind w:left="480"/>
              <w:spacing w:after="0"/>
              <w:rPr>
                <w:sz w:val="20"/>
                <w:szCs w:val="20"/>
                <w:color w:val="auto"/>
              </w:rPr>
            </w:pPr>
            <w:r>
              <w:rPr>
                <w:rFonts w:ascii="Times New Roman" w:cs="Times New Roman" w:eastAsia="Times New Roman" w:hAnsi="Times New Roman"/>
                <w:sz w:val="12"/>
                <w:szCs w:val="12"/>
                <w:b w:val="1"/>
                <w:bCs w:val="1"/>
                <w:color w:val="auto"/>
                <w:w w:val="96"/>
              </w:rPr>
              <w:t>Common stock</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5"/>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paid-in</w:t>
            </w:r>
          </w:p>
        </w:tc>
        <w:tc>
          <w:tcPr>
            <w:tcW w:w="2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2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stockholders’</w:t>
            </w:r>
          </w:p>
        </w:tc>
      </w:tr>
      <w:tr>
        <w:trPr>
          <w:trHeight w:val="132"/>
        </w:trPr>
        <w:tc>
          <w:tcPr>
            <w:tcW w:w="194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rPr>
              <w:t>Amou</w:t>
            </w:r>
          </w:p>
        </w:tc>
        <w:tc>
          <w:tcPr>
            <w:tcW w:w="22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5"/>
        </w:trPr>
        <w:tc>
          <w:tcPr>
            <w:tcW w:w="1940" w:type="dxa"/>
            <w:vAlign w:val="bottom"/>
          </w:tcPr>
          <w:p>
            <w:pPr>
              <w:spacing w:after="0"/>
              <w:rPr>
                <w:sz w:val="13"/>
                <w:szCs w:val="13"/>
                <w:color w:val="auto"/>
              </w:rPr>
            </w:pPr>
          </w:p>
        </w:tc>
        <w:tc>
          <w:tcPr>
            <w:tcW w:w="4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340" w:type="dxa"/>
            <w:vAlign w:val="bottom"/>
          </w:tcPr>
          <w:p>
            <w:pPr>
              <w:spacing w:after="0"/>
              <w:rPr>
                <w:sz w:val="13"/>
                <w:szCs w:val="13"/>
                <w:color w:val="auto"/>
              </w:rPr>
            </w:pPr>
          </w:p>
        </w:tc>
        <w:tc>
          <w:tcPr>
            <w:tcW w:w="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2"/>
                <w:szCs w:val="12"/>
                <w:b w:val="1"/>
                <w:bCs w:val="1"/>
                <w:color w:val="auto"/>
              </w:rPr>
              <w:t>nt</w:t>
            </w:r>
          </w:p>
        </w:tc>
        <w:tc>
          <w:tcPr>
            <w:tcW w:w="220" w:type="dxa"/>
            <w:vAlign w:val="bottom"/>
          </w:tcPr>
          <w:p>
            <w:pPr>
              <w:spacing w:after="0"/>
              <w:rPr>
                <w:sz w:val="13"/>
                <w:szCs w:val="13"/>
                <w:color w:val="auto"/>
              </w:rPr>
            </w:pPr>
          </w:p>
        </w:tc>
        <w:tc>
          <w:tcPr>
            <w:tcW w:w="9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w w:val="90"/>
              </w:rPr>
              <w:t>Amount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capital</w:t>
            </w:r>
          </w:p>
        </w:tc>
        <w:tc>
          <w:tcPr>
            <w:tcW w:w="200" w:type="dxa"/>
            <w:vAlign w:val="bottom"/>
          </w:tcPr>
          <w:p>
            <w:pPr>
              <w:spacing w:after="0"/>
              <w:rPr>
                <w:sz w:val="13"/>
                <w:szCs w:val="13"/>
                <w:color w:val="auto"/>
              </w:rPr>
            </w:pPr>
          </w:p>
        </w:tc>
        <w:tc>
          <w:tcPr>
            <w:tcW w:w="7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(deficit)/equity</w:t>
            </w:r>
          </w:p>
        </w:tc>
        <w:tc>
          <w:tcPr>
            <w:tcW w:w="120" w:type="dxa"/>
            <w:vAlign w:val="bottom"/>
          </w:tcPr>
          <w:p>
            <w:pPr>
              <w:spacing w:after="0"/>
              <w:rPr>
                <w:sz w:val="13"/>
                <w:szCs w:val="13"/>
                <w:color w:val="auto"/>
              </w:rPr>
            </w:pPr>
          </w:p>
        </w:tc>
      </w:tr>
      <w:tr>
        <w:trPr>
          <w:trHeight w:val="159"/>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Balance at December 31, 2022</w:t>
            </w:r>
          </w:p>
        </w:tc>
        <w:tc>
          <w:tcPr>
            <w:tcW w:w="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1,952</w:t>
            </w:r>
          </w:p>
        </w:tc>
        <w:tc>
          <w:tcPr>
            <w:tcW w:w="34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2,240,092</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473,628</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(467,185 )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6,445</w:t>
            </w:r>
          </w:p>
        </w:tc>
        <w:tc>
          <w:tcPr>
            <w:tcW w:w="120" w:type="dxa"/>
            <w:vAlign w:val="bottom"/>
            <w:shd w:val="clear" w:color="auto" w:fill="CFF0FC"/>
          </w:tcPr>
          <w:p>
            <w:pPr>
              <w:spacing w:after="0"/>
              <w:rPr>
                <w:sz w:val="13"/>
                <w:szCs w:val="13"/>
                <w:color w:val="auto"/>
              </w:rPr>
            </w:pPr>
          </w:p>
        </w:tc>
      </w:tr>
      <w:tr>
        <w:trPr>
          <w:trHeight w:val="159"/>
        </w:trPr>
        <w:tc>
          <w:tcPr>
            <w:tcW w:w="19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500" w:type="dxa"/>
            <w:vAlign w:val="bottom"/>
          </w:tcPr>
          <w:p>
            <w:pPr>
              <w:ind w:left="36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w:t>
            </w:r>
          </w:p>
        </w:tc>
        <w:tc>
          <w:tcPr>
            <w:tcW w:w="2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w:t>
            </w:r>
          </w:p>
        </w:tc>
        <w:tc>
          <w:tcPr>
            <w:tcW w:w="120" w:type="dxa"/>
            <w:vAlign w:val="bottom"/>
          </w:tcPr>
          <w:p>
            <w:pPr>
              <w:spacing w:after="0"/>
              <w:rPr>
                <w:sz w:val="13"/>
                <w:szCs w:val="13"/>
                <w:color w:val="auto"/>
              </w:rPr>
            </w:pPr>
          </w:p>
        </w:tc>
      </w:tr>
      <w:tr>
        <w:trPr>
          <w:trHeight w:val="165"/>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Sale of common stock, net</w:t>
            </w:r>
          </w:p>
        </w:tc>
        <w:tc>
          <w:tcPr>
            <w:tcW w:w="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FF0FC"/>
          </w:tcPr>
          <w:p>
            <w:pPr>
              <w:spacing w:after="0"/>
              <w:rPr>
                <w:sz w:val="14"/>
                <w:szCs w:val="14"/>
                <w:color w:val="auto"/>
              </w:rPr>
            </w:pPr>
          </w:p>
        </w:tc>
        <w:tc>
          <w:tcPr>
            <w:tcW w:w="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168,164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895</w:t>
            </w:r>
          </w:p>
        </w:tc>
        <w:tc>
          <w:tcPr>
            <w:tcW w:w="2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895</w:t>
            </w:r>
          </w:p>
        </w:tc>
        <w:tc>
          <w:tcPr>
            <w:tcW w:w="120" w:type="dxa"/>
            <w:vAlign w:val="bottom"/>
            <w:shd w:val="clear" w:color="auto" w:fill="CFF0FC"/>
          </w:tcPr>
          <w:p>
            <w:pPr>
              <w:spacing w:after="0"/>
              <w:rPr>
                <w:sz w:val="14"/>
                <w:szCs w:val="14"/>
                <w:color w:val="auto"/>
              </w:rPr>
            </w:pPr>
          </w:p>
        </w:tc>
      </w:tr>
      <w:tr>
        <w:trPr>
          <w:trHeight w:val="159"/>
        </w:trPr>
        <w:tc>
          <w:tcPr>
            <w:tcW w:w="19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Series F preferred stock</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ind w:left="36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3"/>
                <w:szCs w:val="13"/>
                <w:color w:val="auto"/>
              </w:rPr>
            </w:pPr>
          </w:p>
        </w:tc>
      </w:tr>
      <w:tr>
        <w:trPr>
          <w:trHeight w:val="162"/>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FF0FC"/>
          </w:tcPr>
          <w:p>
            <w:pPr>
              <w:spacing w:after="0"/>
              <w:rPr>
                <w:sz w:val="14"/>
                <w:szCs w:val="14"/>
                <w:color w:val="auto"/>
              </w:rPr>
            </w:pPr>
          </w:p>
        </w:tc>
        <w:tc>
          <w:tcPr>
            <w:tcW w:w="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(4,805 )</w:t>
            </w:r>
          </w:p>
        </w:tc>
        <w:tc>
          <w:tcPr>
            <w:tcW w:w="1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(4,805 )</w:t>
            </w:r>
          </w:p>
        </w:tc>
      </w:tr>
      <w:tr>
        <w:trPr>
          <w:trHeight w:val="20"/>
        </w:trPr>
        <w:tc>
          <w:tcPr>
            <w:tcW w:w="194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59"/>
        </w:trPr>
        <w:tc>
          <w:tcPr>
            <w:tcW w:w="19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at March 31, 2023</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3"/>
                <w:szCs w:val="13"/>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Pr>
          <w:p>
            <w:pPr>
              <w:ind w:left="36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1,952</w:t>
            </w:r>
          </w:p>
        </w:tc>
        <w:tc>
          <w:tcPr>
            <w:tcW w:w="3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2,408,256</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474,664</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(471,990 )</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2,676</w:t>
            </w:r>
          </w:p>
        </w:tc>
        <w:tc>
          <w:tcPr>
            <w:tcW w:w="120" w:type="dxa"/>
            <w:vAlign w:val="bottom"/>
          </w:tcPr>
          <w:p>
            <w:pPr>
              <w:spacing w:after="0"/>
              <w:rPr>
                <w:sz w:val="13"/>
                <w:szCs w:val="13"/>
                <w:color w:val="auto"/>
              </w:rPr>
            </w:pPr>
          </w:p>
        </w:tc>
      </w:tr>
      <w:tr>
        <w:trPr>
          <w:trHeight w:val="20"/>
        </w:trPr>
        <w:tc>
          <w:tcPr>
            <w:tcW w:w="19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3"/>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Redemption of Series F preferred stock</w:t>
            </w: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(1 )</w:t>
            </w: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r>
      <w:tr>
        <w:trPr>
          <w:trHeight w:val="159"/>
        </w:trPr>
        <w:tc>
          <w:tcPr>
            <w:tcW w:w="19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Fractional adjustment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500" w:type="dxa"/>
            <w:vAlign w:val="bottom"/>
          </w:tcPr>
          <w:p>
            <w:pPr>
              <w:ind w:left="36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(1,310 )</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Sale of common stock, net</w:t>
            </w:r>
          </w:p>
        </w:tc>
        <w:tc>
          <w:tcPr>
            <w:tcW w:w="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FF0FC"/>
          </w:tcPr>
          <w:p>
            <w:pPr>
              <w:spacing w:after="0"/>
              <w:rPr>
                <w:sz w:val="14"/>
                <w:szCs w:val="14"/>
                <w:color w:val="auto"/>
              </w:rPr>
            </w:pPr>
          </w:p>
        </w:tc>
        <w:tc>
          <w:tcPr>
            <w:tcW w:w="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472,674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1,327</w:t>
            </w:r>
          </w:p>
        </w:tc>
        <w:tc>
          <w:tcPr>
            <w:tcW w:w="2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1,328</w:t>
            </w:r>
          </w:p>
        </w:tc>
        <w:tc>
          <w:tcPr>
            <w:tcW w:w="120" w:type="dxa"/>
            <w:vAlign w:val="bottom"/>
            <w:shd w:val="clear" w:color="auto" w:fill="CFF0FC"/>
          </w:tcPr>
          <w:p>
            <w:pPr>
              <w:spacing w:after="0"/>
              <w:rPr>
                <w:sz w:val="14"/>
                <w:szCs w:val="14"/>
                <w:color w:val="auto"/>
              </w:rPr>
            </w:pPr>
          </w:p>
        </w:tc>
      </w:tr>
      <w:tr>
        <w:trPr>
          <w:trHeight w:val="159"/>
        </w:trPr>
        <w:tc>
          <w:tcPr>
            <w:tcW w:w="19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Share-based compensation</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500" w:type="dxa"/>
            <w:vAlign w:val="bottom"/>
          </w:tcPr>
          <w:p>
            <w:pPr>
              <w:ind w:left="36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w:t>
            </w:r>
          </w:p>
        </w:tc>
        <w:tc>
          <w:tcPr>
            <w:tcW w:w="2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w:t>
            </w:r>
          </w:p>
        </w:tc>
        <w:tc>
          <w:tcPr>
            <w:tcW w:w="120" w:type="dxa"/>
            <w:vAlign w:val="bottom"/>
          </w:tcPr>
          <w:p>
            <w:pPr>
              <w:spacing w:after="0"/>
              <w:rPr>
                <w:sz w:val="13"/>
                <w:szCs w:val="13"/>
                <w:color w:val="auto"/>
              </w:rPr>
            </w:pPr>
          </w:p>
        </w:tc>
      </w:tr>
      <w:tr>
        <w:trPr>
          <w:trHeight w:val="162"/>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FF0FC"/>
          </w:tcPr>
          <w:p>
            <w:pPr>
              <w:spacing w:after="0"/>
              <w:rPr>
                <w:sz w:val="14"/>
                <w:szCs w:val="14"/>
                <w:color w:val="auto"/>
              </w:rPr>
            </w:pPr>
          </w:p>
        </w:tc>
        <w:tc>
          <w:tcPr>
            <w:tcW w:w="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(1,482 )</w:t>
            </w:r>
          </w:p>
        </w:tc>
        <w:tc>
          <w:tcPr>
            <w:tcW w:w="1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(1,482 )</w:t>
            </w:r>
          </w:p>
        </w:tc>
      </w:tr>
      <w:tr>
        <w:trPr>
          <w:trHeight w:val="20"/>
        </w:trPr>
        <w:tc>
          <w:tcPr>
            <w:tcW w:w="194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59"/>
        </w:trPr>
        <w:tc>
          <w:tcPr>
            <w:tcW w:w="19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at June 30, 2023</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ind w:left="36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1,952</w:t>
            </w:r>
          </w:p>
        </w:tc>
        <w:tc>
          <w:tcPr>
            <w:tcW w:w="3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2,879,620</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476,131</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(473,472 )</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2,662</w:t>
            </w:r>
          </w:p>
        </w:tc>
        <w:tc>
          <w:tcPr>
            <w:tcW w:w="120" w:type="dxa"/>
            <w:vAlign w:val="bottom"/>
          </w:tcPr>
          <w:p>
            <w:pPr>
              <w:spacing w:after="0"/>
              <w:rPr>
                <w:sz w:val="13"/>
                <w:szCs w:val="13"/>
                <w:color w:val="auto"/>
              </w:rPr>
            </w:pPr>
          </w:p>
        </w:tc>
      </w:tr>
      <w:tr>
        <w:trPr>
          <w:trHeight w:val="20"/>
        </w:trPr>
        <w:tc>
          <w:tcPr>
            <w:tcW w:w="19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3"/>
        </w:trPr>
        <w:tc>
          <w:tcPr>
            <w:tcW w:w="1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Balance at December 31, 2023</w:t>
            </w:r>
          </w:p>
        </w:tc>
        <w:tc>
          <w:tcPr>
            <w:tcW w:w="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1,952</w:t>
            </w:r>
          </w:p>
        </w:tc>
        <w:tc>
          <w:tcPr>
            <w:tcW w:w="34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4,522,656</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84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(78,559 )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(126 )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479,274</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(480,501 )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(1,348 )</w:t>
            </w:r>
          </w:p>
        </w:tc>
      </w:tr>
      <w:tr>
        <w:trPr>
          <w:trHeight w:val="159"/>
        </w:trPr>
        <w:tc>
          <w:tcPr>
            <w:tcW w:w="19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500" w:type="dxa"/>
            <w:vAlign w:val="bottom"/>
          </w:tcPr>
          <w:p>
            <w:pPr>
              <w:ind w:left="36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w:t>
            </w:r>
          </w:p>
        </w:tc>
        <w:tc>
          <w:tcPr>
            <w:tcW w:w="2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w:t>
            </w:r>
          </w:p>
        </w:tc>
        <w:tc>
          <w:tcPr>
            <w:tcW w:w="120" w:type="dxa"/>
            <w:vAlign w:val="bottom"/>
          </w:tcPr>
          <w:p>
            <w:pPr>
              <w:spacing w:after="0"/>
              <w:rPr>
                <w:sz w:val="13"/>
                <w:szCs w:val="13"/>
                <w:color w:val="auto"/>
              </w:rPr>
            </w:pPr>
          </w:p>
        </w:tc>
      </w:tr>
      <w:tr>
        <w:trPr>
          <w:trHeight w:val="144"/>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Purchase of treasury stock</w:t>
            </w:r>
          </w:p>
        </w:tc>
        <w:tc>
          <w:tcPr>
            <w:tcW w:w="4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(179,86</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7"/>
        </w:trPr>
        <w:tc>
          <w:tcPr>
            <w:tcW w:w="194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spacing w:after="0"/>
              <w:rPr>
                <w:sz w:val="13"/>
                <w:szCs w:val="13"/>
                <w:color w:val="auto"/>
              </w:rPr>
            </w:pPr>
          </w:p>
        </w:tc>
        <w:tc>
          <w:tcPr>
            <w:tcW w:w="5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FF0FC"/>
          </w:tcPr>
          <w:p>
            <w:pPr>
              <w:spacing w:after="0"/>
              <w:rPr>
                <w:sz w:val="13"/>
                <w:szCs w:val="13"/>
                <w:color w:val="auto"/>
              </w:rPr>
            </w:pPr>
          </w:p>
        </w:tc>
        <w:tc>
          <w:tcPr>
            <w:tcW w:w="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6 )</w:t>
            </w:r>
          </w:p>
        </w:tc>
        <w:tc>
          <w:tcPr>
            <w:tcW w:w="1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(374 )</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(374 )</w:t>
            </w:r>
          </w:p>
        </w:tc>
      </w:tr>
      <w:tr>
        <w:trPr>
          <w:trHeight w:val="159"/>
        </w:trPr>
        <w:tc>
          <w:tcPr>
            <w:tcW w:w="19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ind w:left="36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(3,261 )</w:t>
            </w:r>
          </w:p>
        </w:tc>
        <w:tc>
          <w:tcPr>
            <w:tcW w:w="120" w:type="dxa"/>
            <w:vAlign w:val="bottom"/>
          </w:tcPr>
          <w:p>
            <w:pPr>
              <w:spacing w:after="0"/>
              <w:rPr>
                <w:sz w:val="13"/>
                <w:szCs w:val="13"/>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(3,261 )</w:t>
            </w:r>
          </w:p>
        </w:tc>
      </w:tr>
      <w:tr>
        <w:trPr>
          <w:trHeight w:val="137"/>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Balance at March 31, 2024</w:t>
            </w:r>
          </w:p>
        </w:tc>
        <w:tc>
          <w:tcPr>
            <w:tcW w:w="480" w:type="dxa"/>
            <w:vAlign w:val="bottom"/>
            <w:tcBorders>
              <w:top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220" w:type="dxa"/>
            <w:vAlign w:val="bottom"/>
            <w:gridSpan w:val="2"/>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(258,42</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97"/>
        </w:trPr>
        <w:tc>
          <w:tcPr>
            <w:tcW w:w="194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jc w:val="center"/>
              <w:spacing w:after="0" w:line="137" w:lineRule="exact"/>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FF0FC"/>
          </w:tcPr>
          <w:p>
            <w:pPr>
              <w:ind w:left="360"/>
              <w:spacing w:after="0" w:line="137" w:lineRule="exact"/>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137" w:lineRule="exact"/>
              <w:rPr>
                <w:sz w:val="20"/>
                <w:szCs w:val="20"/>
                <w:color w:val="auto"/>
              </w:rPr>
            </w:pPr>
            <w:r>
              <w:rPr>
                <w:rFonts w:ascii="Times New Roman" w:cs="Times New Roman" w:eastAsia="Times New Roman" w:hAnsi="Times New Roman"/>
                <w:sz w:val="12"/>
                <w:szCs w:val="12"/>
                <w:color w:val="auto"/>
              </w:rPr>
              <w:t>1,952</w:t>
            </w:r>
          </w:p>
        </w:tc>
        <w:tc>
          <w:tcPr>
            <w:tcW w:w="340" w:type="dxa"/>
            <w:vAlign w:val="bottom"/>
            <w:shd w:val="clear" w:color="auto" w:fill="CFF0FC"/>
          </w:tcPr>
          <w:p>
            <w:pPr>
              <w:jc w:val="right"/>
              <w:ind w:right="2"/>
              <w:spacing w:after="0" w:line="137" w:lineRule="exact"/>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FF0FC"/>
          </w:tcPr>
          <w:p>
            <w:pPr>
              <w:ind w:left="240"/>
              <w:spacing w:after="0" w:line="137" w:lineRule="exact"/>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37" w:lineRule="exact"/>
              <w:rPr>
                <w:sz w:val="20"/>
                <w:szCs w:val="20"/>
                <w:color w:val="auto"/>
              </w:rPr>
            </w:pPr>
            <w:r>
              <w:rPr>
                <w:rFonts w:ascii="Times New Roman" w:cs="Times New Roman" w:eastAsia="Times New Roman" w:hAnsi="Times New Roman"/>
                <w:sz w:val="12"/>
                <w:szCs w:val="12"/>
                <w:color w:val="auto"/>
              </w:rPr>
              <w:t>4,522,656</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137" w:lineRule="exact"/>
              <w:rPr>
                <w:sz w:val="20"/>
                <w:szCs w:val="20"/>
                <w:color w:val="auto"/>
              </w:rPr>
            </w:pPr>
            <w:r>
              <w:rPr>
                <w:rFonts w:ascii="Times New Roman" w:cs="Times New Roman" w:eastAsia="Times New Roman" w:hAnsi="Times New Roman"/>
                <w:sz w:val="12"/>
                <w:szCs w:val="12"/>
                <w:color w:val="auto"/>
              </w:rPr>
              <w:t>5</w:t>
            </w:r>
          </w:p>
        </w:tc>
        <w:tc>
          <w:tcPr>
            <w:tcW w:w="220" w:type="dxa"/>
            <w:vAlign w:val="bottom"/>
            <w:gridSpan w:val="2"/>
            <w:shd w:val="clear" w:color="auto" w:fill="CFF0FC"/>
          </w:tcPr>
          <w:p>
            <w:pPr>
              <w:spacing w:after="0"/>
              <w:rPr>
                <w:sz w:val="17"/>
                <w:szCs w:val="17"/>
                <w:color w:val="auto"/>
              </w:rPr>
            </w:pPr>
          </w:p>
        </w:tc>
        <w:tc>
          <w:tcPr>
            <w:tcW w:w="620" w:type="dxa"/>
            <w:vAlign w:val="bottom"/>
            <w:gridSpan w:val="2"/>
            <w:shd w:val="clear" w:color="auto" w:fill="CFF0FC"/>
          </w:tcPr>
          <w:p>
            <w:pPr>
              <w:jc w:val="right"/>
              <w:ind w:right="40"/>
              <w:spacing w:after="0" w:line="137" w:lineRule="exact"/>
              <w:rPr>
                <w:sz w:val="20"/>
                <w:szCs w:val="20"/>
                <w:color w:val="auto"/>
              </w:rPr>
            </w:pPr>
            <w:r>
              <w:rPr>
                <w:rFonts w:ascii="Times New Roman" w:cs="Times New Roman" w:eastAsia="Times New Roman" w:hAnsi="Times New Roman"/>
                <w:sz w:val="12"/>
                <w:szCs w:val="12"/>
                <w:color w:val="auto"/>
              </w:rPr>
              <w:t>5 )</w:t>
            </w:r>
          </w:p>
        </w:tc>
        <w:tc>
          <w:tcPr>
            <w:tcW w:w="140" w:type="dxa"/>
            <w:vAlign w:val="bottom"/>
            <w:shd w:val="clear" w:color="auto" w:fill="CFF0FC"/>
          </w:tcPr>
          <w:p>
            <w:pPr>
              <w:jc w:val="right"/>
              <w:spacing w:after="0" w:line="137"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FF0FC"/>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rPr>
              <w:t>(500 )</w:t>
            </w:r>
          </w:p>
        </w:tc>
        <w:tc>
          <w:tcPr>
            <w:tcW w:w="120" w:type="dxa"/>
            <w:vAlign w:val="bottom"/>
            <w:shd w:val="clear" w:color="auto" w:fill="CFF0FC"/>
          </w:tcPr>
          <w:p>
            <w:pPr>
              <w:jc w:val="right"/>
              <w:spacing w:after="0" w:line="137"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FF0FC"/>
          </w:tcPr>
          <w:p>
            <w:pPr>
              <w:jc w:val="right"/>
              <w:spacing w:after="0" w:line="137" w:lineRule="exact"/>
              <w:rPr>
                <w:sz w:val="20"/>
                <w:szCs w:val="20"/>
                <w:color w:val="auto"/>
              </w:rPr>
            </w:pPr>
            <w:r>
              <w:rPr>
                <w:rFonts w:ascii="Times New Roman" w:cs="Times New Roman" w:eastAsia="Times New Roman" w:hAnsi="Times New Roman"/>
                <w:sz w:val="12"/>
                <w:szCs w:val="12"/>
                <w:color w:val="auto"/>
              </w:rPr>
              <w:t>479,420</w:t>
            </w:r>
          </w:p>
        </w:tc>
        <w:tc>
          <w:tcPr>
            <w:tcW w:w="200" w:type="dxa"/>
            <w:vAlign w:val="bottom"/>
            <w:shd w:val="clear" w:color="auto" w:fill="CFF0FC"/>
          </w:tcPr>
          <w:p>
            <w:pPr>
              <w:jc w:val="right"/>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FF0FC"/>
          </w:tcPr>
          <w:p>
            <w:pPr>
              <w:jc w:val="right"/>
              <w:ind w:right="40"/>
              <w:spacing w:after="0" w:line="137" w:lineRule="exact"/>
              <w:rPr>
                <w:sz w:val="20"/>
                <w:szCs w:val="20"/>
                <w:color w:val="auto"/>
              </w:rPr>
            </w:pPr>
            <w:r>
              <w:rPr>
                <w:rFonts w:ascii="Times New Roman" w:cs="Times New Roman" w:eastAsia="Times New Roman" w:hAnsi="Times New Roman"/>
                <w:sz w:val="12"/>
                <w:szCs w:val="12"/>
                <w:color w:val="auto"/>
              </w:rPr>
              <w:t>(483,762 )</w:t>
            </w:r>
          </w:p>
        </w:tc>
        <w:tc>
          <w:tcPr>
            <w:tcW w:w="120" w:type="dxa"/>
            <w:vAlign w:val="bottom"/>
            <w:shd w:val="clear" w:color="auto" w:fill="CFF0FC"/>
          </w:tcPr>
          <w:p>
            <w:pPr>
              <w:jc w:val="right"/>
              <w:spacing w:after="0" w:line="137" w:lineRule="exact"/>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shd w:val="clear" w:color="auto" w:fill="CFF0FC"/>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(4,837 )</w:t>
            </w:r>
          </w:p>
        </w:tc>
      </w:tr>
      <w:tr>
        <w:trPr>
          <w:trHeight w:val="139"/>
        </w:trPr>
        <w:tc>
          <w:tcPr>
            <w:tcW w:w="19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2"/>
                <w:szCs w:val="12"/>
                <w:color w:val="auto"/>
              </w:rPr>
              <w:t>Issuance of common stock</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FF0FC"/>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50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tcBorders>
              <w:top w:val="single" w:sz="8" w:color="CFF0FC"/>
            </w:tcBorders>
          </w:tcPr>
          <w:p>
            <w:pPr>
              <w:spacing w:after="0"/>
              <w:rPr>
                <w:sz w:val="12"/>
                <w:szCs w:val="12"/>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top w:val="single" w:sz="8" w:color="CFF0FC"/>
            </w:tcBorders>
          </w:tcPr>
          <w:p>
            <w:pPr>
              <w:spacing w:after="0"/>
              <w:rPr>
                <w:sz w:val="12"/>
                <w:szCs w:val="12"/>
                <w:color w:val="auto"/>
              </w:rPr>
            </w:pPr>
          </w:p>
        </w:tc>
        <w:tc>
          <w:tcPr>
            <w:tcW w:w="38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Borders>
              <w:top w:val="single" w:sz="8" w:color="CFF0FC"/>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1,439,988</w:t>
            </w: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top w:val="single" w:sz="8" w:color="CFF0FC"/>
            </w:tcBorders>
          </w:tcPr>
          <w:p>
            <w:pPr>
              <w:spacing w:after="0"/>
              <w:rPr>
                <w:sz w:val="12"/>
                <w:szCs w:val="12"/>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Borders>
              <w:top w:val="single" w:sz="8" w:color="CFF0FC"/>
            </w:tcBorders>
          </w:tcPr>
          <w:p>
            <w:pPr>
              <w:spacing w:after="0"/>
              <w:rPr>
                <w:sz w:val="12"/>
                <w:szCs w:val="12"/>
                <w:color w:val="auto"/>
              </w:rPr>
            </w:pPr>
          </w:p>
        </w:tc>
      </w:tr>
      <w:tr>
        <w:trPr>
          <w:trHeight w:val="165"/>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FF0FC"/>
          </w:tcPr>
          <w:p>
            <w:pPr>
              <w:spacing w:after="0"/>
              <w:rPr>
                <w:sz w:val="14"/>
                <w:szCs w:val="14"/>
                <w:color w:val="auto"/>
              </w:rPr>
            </w:pPr>
          </w:p>
        </w:tc>
        <w:tc>
          <w:tcPr>
            <w:tcW w:w="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2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120" w:type="dxa"/>
            <w:vAlign w:val="bottom"/>
            <w:shd w:val="clear" w:color="auto" w:fill="CFF0FC"/>
          </w:tcPr>
          <w:p>
            <w:pPr>
              <w:spacing w:after="0"/>
              <w:rPr>
                <w:sz w:val="14"/>
                <w:szCs w:val="14"/>
                <w:color w:val="auto"/>
              </w:rPr>
            </w:pPr>
          </w:p>
        </w:tc>
      </w:tr>
      <w:tr>
        <w:trPr>
          <w:trHeight w:val="159"/>
        </w:trPr>
        <w:tc>
          <w:tcPr>
            <w:tcW w:w="19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ind w:left="36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(2,940 )</w:t>
            </w:r>
          </w:p>
        </w:tc>
        <w:tc>
          <w:tcPr>
            <w:tcW w:w="120" w:type="dxa"/>
            <w:vAlign w:val="bottom"/>
          </w:tcPr>
          <w:p>
            <w:pPr>
              <w:spacing w:after="0"/>
              <w:rPr>
                <w:sz w:val="13"/>
                <w:szCs w:val="13"/>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(2,940 )</w:t>
            </w:r>
          </w:p>
        </w:tc>
      </w:tr>
      <w:tr>
        <w:trPr>
          <w:trHeight w:val="137"/>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Balance at June 30, 2024</w:t>
            </w:r>
          </w:p>
        </w:tc>
        <w:tc>
          <w:tcPr>
            <w:tcW w:w="480" w:type="dxa"/>
            <w:vAlign w:val="bottom"/>
            <w:tcBorders>
              <w:top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220" w:type="dxa"/>
            <w:vAlign w:val="bottom"/>
            <w:gridSpan w:val="2"/>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(258,42</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77"/>
        </w:trPr>
        <w:tc>
          <w:tcPr>
            <w:tcW w:w="194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jc w:val="center"/>
              <w:spacing w:after="0" w:line="137" w:lineRule="exact"/>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FF0FC"/>
          </w:tcPr>
          <w:p>
            <w:pPr>
              <w:ind w:left="360"/>
              <w:spacing w:after="0" w:line="137" w:lineRule="exact"/>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line="137" w:lineRule="exact"/>
              <w:rPr>
                <w:sz w:val="20"/>
                <w:szCs w:val="20"/>
                <w:color w:val="auto"/>
              </w:rPr>
            </w:pPr>
            <w:r>
              <w:rPr>
                <w:rFonts w:ascii="Times New Roman" w:cs="Times New Roman" w:eastAsia="Times New Roman" w:hAnsi="Times New Roman"/>
                <w:sz w:val="12"/>
                <w:szCs w:val="12"/>
                <w:color w:val="auto"/>
              </w:rPr>
              <w:t>1,952</w:t>
            </w:r>
          </w:p>
        </w:tc>
        <w:tc>
          <w:tcPr>
            <w:tcW w:w="340" w:type="dxa"/>
            <w:vAlign w:val="bottom"/>
            <w:shd w:val="clear" w:color="auto" w:fill="CFF0FC"/>
          </w:tcPr>
          <w:p>
            <w:pPr>
              <w:jc w:val="right"/>
              <w:ind w:right="2"/>
              <w:spacing w:after="0" w:line="137" w:lineRule="exact"/>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FF0FC"/>
          </w:tcPr>
          <w:p>
            <w:pPr>
              <w:ind w:left="240"/>
              <w:spacing w:after="0" w:line="137" w:lineRule="exact"/>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37" w:lineRule="exact"/>
              <w:rPr>
                <w:sz w:val="20"/>
                <w:szCs w:val="20"/>
                <w:color w:val="auto"/>
              </w:rPr>
            </w:pPr>
            <w:r>
              <w:rPr>
                <w:rFonts w:ascii="Times New Roman" w:cs="Times New Roman" w:eastAsia="Times New Roman" w:hAnsi="Times New Roman"/>
                <w:sz w:val="12"/>
                <w:szCs w:val="12"/>
                <w:color w:val="auto"/>
              </w:rPr>
              <w:t>5,962,644</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line="137" w:lineRule="exact"/>
              <w:rPr>
                <w:sz w:val="20"/>
                <w:szCs w:val="20"/>
                <w:color w:val="auto"/>
              </w:rPr>
            </w:pPr>
            <w:r>
              <w:rPr>
                <w:rFonts w:ascii="Times New Roman" w:cs="Times New Roman" w:eastAsia="Times New Roman" w:hAnsi="Times New Roman"/>
                <w:sz w:val="12"/>
                <w:szCs w:val="12"/>
                <w:color w:val="auto"/>
              </w:rPr>
              <w:t>6</w:t>
            </w:r>
          </w:p>
        </w:tc>
        <w:tc>
          <w:tcPr>
            <w:tcW w:w="220" w:type="dxa"/>
            <w:vAlign w:val="bottom"/>
            <w:gridSpan w:val="2"/>
            <w:shd w:val="clear" w:color="auto" w:fill="CFF0FC"/>
          </w:tcPr>
          <w:p>
            <w:pPr>
              <w:spacing w:after="0"/>
              <w:rPr>
                <w:sz w:val="15"/>
                <w:szCs w:val="15"/>
                <w:color w:val="auto"/>
              </w:rPr>
            </w:pPr>
          </w:p>
        </w:tc>
        <w:tc>
          <w:tcPr>
            <w:tcW w:w="620" w:type="dxa"/>
            <w:vAlign w:val="bottom"/>
            <w:gridSpan w:val="2"/>
            <w:shd w:val="clear" w:color="auto" w:fill="CFF0FC"/>
          </w:tcPr>
          <w:p>
            <w:pPr>
              <w:jc w:val="right"/>
              <w:ind w:right="40"/>
              <w:spacing w:after="0" w:line="137" w:lineRule="exact"/>
              <w:rPr>
                <w:sz w:val="20"/>
                <w:szCs w:val="20"/>
                <w:color w:val="auto"/>
              </w:rPr>
            </w:pPr>
            <w:r>
              <w:rPr>
                <w:rFonts w:ascii="Times New Roman" w:cs="Times New Roman" w:eastAsia="Times New Roman" w:hAnsi="Times New Roman"/>
                <w:sz w:val="12"/>
                <w:szCs w:val="12"/>
                <w:color w:val="auto"/>
              </w:rPr>
              <w:t>5 )</w:t>
            </w:r>
          </w:p>
        </w:tc>
        <w:tc>
          <w:tcPr>
            <w:tcW w:w="140" w:type="dxa"/>
            <w:vAlign w:val="bottom"/>
            <w:shd w:val="clear" w:color="auto" w:fill="CFF0FC"/>
          </w:tcPr>
          <w:p>
            <w:pPr>
              <w:jc w:val="right"/>
              <w:spacing w:after="0" w:line="137"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FF0FC"/>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rPr>
              <w:t>(500 )</w:t>
            </w:r>
          </w:p>
        </w:tc>
        <w:tc>
          <w:tcPr>
            <w:tcW w:w="120" w:type="dxa"/>
            <w:vAlign w:val="bottom"/>
            <w:shd w:val="clear" w:color="auto" w:fill="CFF0FC"/>
          </w:tcPr>
          <w:p>
            <w:pPr>
              <w:jc w:val="right"/>
              <w:spacing w:after="0" w:line="137"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FF0FC"/>
          </w:tcPr>
          <w:p>
            <w:pPr>
              <w:jc w:val="right"/>
              <w:spacing w:after="0" w:line="137" w:lineRule="exact"/>
              <w:rPr>
                <w:sz w:val="20"/>
                <w:szCs w:val="20"/>
                <w:color w:val="auto"/>
              </w:rPr>
            </w:pPr>
            <w:r>
              <w:rPr>
                <w:rFonts w:ascii="Times New Roman" w:cs="Times New Roman" w:eastAsia="Times New Roman" w:hAnsi="Times New Roman"/>
                <w:sz w:val="12"/>
                <w:szCs w:val="12"/>
                <w:color w:val="auto"/>
              </w:rPr>
              <w:t>479,571</w:t>
            </w:r>
          </w:p>
        </w:tc>
        <w:tc>
          <w:tcPr>
            <w:tcW w:w="200" w:type="dxa"/>
            <w:vAlign w:val="bottom"/>
            <w:shd w:val="clear" w:color="auto" w:fill="CFF0FC"/>
          </w:tcPr>
          <w:p>
            <w:pPr>
              <w:jc w:val="right"/>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FF0FC"/>
          </w:tcPr>
          <w:p>
            <w:pPr>
              <w:jc w:val="right"/>
              <w:ind w:right="40"/>
              <w:spacing w:after="0" w:line="137" w:lineRule="exact"/>
              <w:rPr>
                <w:sz w:val="20"/>
                <w:szCs w:val="20"/>
                <w:color w:val="auto"/>
              </w:rPr>
            </w:pPr>
            <w:r>
              <w:rPr>
                <w:rFonts w:ascii="Times New Roman" w:cs="Times New Roman" w:eastAsia="Times New Roman" w:hAnsi="Times New Roman"/>
                <w:sz w:val="12"/>
                <w:szCs w:val="12"/>
                <w:color w:val="auto"/>
              </w:rPr>
              <w:t>(486,702 )</w:t>
            </w:r>
          </w:p>
        </w:tc>
        <w:tc>
          <w:tcPr>
            <w:tcW w:w="120" w:type="dxa"/>
            <w:vAlign w:val="bottom"/>
            <w:shd w:val="clear" w:color="auto" w:fill="CFF0FC"/>
          </w:tcPr>
          <w:p>
            <w:pPr>
              <w:jc w:val="right"/>
              <w:spacing w:after="0" w:line="137" w:lineRule="exact"/>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shd w:val="clear" w:color="auto" w:fill="CFF0FC"/>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(7,625 )</w:t>
            </w:r>
          </w:p>
        </w:tc>
      </w:tr>
      <w:tr>
        <w:trPr>
          <w:trHeight w:val="20"/>
        </w:trPr>
        <w:tc>
          <w:tcPr>
            <w:tcW w:w="194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-2142490</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2003425</wp:posOffset>
            </wp:positionH>
            <wp:positionV relativeFrom="paragraph">
              <wp:posOffset>-2142490</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-2142490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2809240</wp:posOffset>
            </wp:positionH>
            <wp:positionV relativeFrom="paragraph">
              <wp:posOffset>-2142490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3546475</wp:posOffset>
            </wp:positionH>
            <wp:positionV relativeFrom="paragraph">
              <wp:posOffset>-2142490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4051935</wp:posOffset>
            </wp:positionH>
            <wp:positionV relativeFrom="paragraph">
              <wp:posOffset>-2142490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4531995</wp:posOffset>
            </wp:positionH>
            <wp:positionV relativeFrom="paragraph">
              <wp:posOffset>-2142490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5029200</wp:posOffset>
            </wp:positionH>
            <wp:positionV relativeFrom="paragraph">
              <wp:posOffset>-2142490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5594985</wp:posOffset>
            </wp:positionH>
            <wp:positionV relativeFrom="paragraph">
              <wp:posOffset>-2142490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-2142490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-2142490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-1490980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2003425</wp:posOffset>
            </wp:positionH>
            <wp:positionV relativeFrom="paragraph">
              <wp:posOffset>-1490980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-1490980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2809240</wp:posOffset>
            </wp:positionH>
            <wp:positionV relativeFrom="paragraph">
              <wp:posOffset>-1490980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3546475</wp:posOffset>
            </wp:positionH>
            <wp:positionV relativeFrom="paragraph">
              <wp:posOffset>-1490980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4051935</wp:posOffset>
            </wp:positionH>
            <wp:positionV relativeFrom="paragraph">
              <wp:posOffset>-1490980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4531995</wp:posOffset>
            </wp:positionH>
            <wp:positionV relativeFrom="paragraph">
              <wp:posOffset>-1490980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5029200</wp:posOffset>
            </wp:positionH>
            <wp:positionV relativeFrom="paragraph">
              <wp:posOffset>-1490980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5594985</wp:posOffset>
            </wp:positionH>
            <wp:positionV relativeFrom="paragraph">
              <wp:posOffset>-1490980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-1490980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-1490980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-556260</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-539115</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2003425</wp:posOffset>
            </wp:positionH>
            <wp:positionV relativeFrom="paragraph">
              <wp:posOffset>-556260</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2003425</wp:posOffset>
            </wp:positionH>
            <wp:positionV relativeFrom="paragraph">
              <wp:posOffset>-539115</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-556260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-539115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2809240</wp:posOffset>
            </wp:positionH>
            <wp:positionV relativeFrom="paragraph">
              <wp:posOffset>-556260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2809240</wp:posOffset>
            </wp:positionH>
            <wp:positionV relativeFrom="paragraph">
              <wp:posOffset>-539115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3546475</wp:posOffset>
            </wp:positionH>
            <wp:positionV relativeFrom="paragraph">
              <wp:posOffset>-556260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3546475</wp:posOffset>
            </wp:positionH>
            <wp:positionV relativeFrom="paragraph">
              <wp:posOffset>-539115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4051935</wp:posOffset>
            </wp:positionH>
            <wp:positionV relativeFrom="paragraph">
              <wp:posOffset>-556260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4051935</wp:posOffset>
            </wp:positionH>
            <wp:positionV relativeFrom="paragraph">
              <wp:posOffset>-539115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4531995</wp:posOffset>
            </wp:positionH>
            <wp:positionV relativeFrom="paragraph">
              <wp:posOffset>-556260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4531995</wp:posOffset>
            </wp:positionH>
            <wp:positionV relativeFrom="paragraph">
              <wp:posOffset>-539115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5029200</wp:posOffset>
            </wp:positionH>
            <wp:positionV relativeFrom="paragraph">
              <wp:posOffset>-556260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5029200</wp:posOffset>
            </wp:positionH>
            <wp:positionV relativeFrom="paragraph">
              <wp:posOffset>-539115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5594985</wp:posOffset>
            </wp:positionH>
            <wp:positionV relativeFrom="paragraph">
              <wp:posOffset>-556260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5594985</wp:posOffset>
            </wp:positionH>
            <wp:positionV relativeFrom="paragraph">
              <wp:posOffset>-539115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-556260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-539115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-556260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-539115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-24765</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-7620</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2003425</wp:posOffset>
            </wp:positionH>
            <wp:positionV relativeFrom="paragraph">
              <wp:posOffset>-24765</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2003425</wp:posOffset>
            </wp:positionH>
            <wp:positionV relativeFrom="paragraph">
              <wp:posOffset>-7620</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-24765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2809240</wp:posOffset>
            </wp:positionH>
            <wp:positionV relativeFrom="paragraph">
              <wp:posOffset>-24765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2809240</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3546475</wp:posOffset>
            </wp:positionH>
            <wp:positionV relativeFrom="paragraph">
              <wp:posOffset>-24765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3546475</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4051935</wp:posOffset>
            </wp:positionH>
            <wp:positionV relativeFrom="paragraph">
              <wp:posOffset>-24765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4051935</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4531995</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4531995</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5029200</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5029200</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5594985</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5594985</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981" w:right="4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940" w:type="dxa"/>
            <w:vAlign w:val="bottom"/>
          </w:tcPr>
          <w:p>
            <w:pPr>
              <w:spacing w:after="0"/>
              <w:rPr>
                <w:sz w:val="15"/>
                <w:szCs w:val="15"/>
                <w:color w:val="auto"/>
              </w:rPr>
            </w:pPr>
          </w:p>
        </w:tc>
        <w:tc>
          <w:tcPr>
            <w:tcW w:w="316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69"/>
        </w:trPr>
        <w:tc>
          <w:tcPr>
            <w:tcW w:w="694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2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used in operating activities:</w:t>
            </w:r>
          </w:p>
        </w:tc>
        <w:tc>
          <w:tcPr>
            <w:tcW w:w="9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(6,201 )</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(6,287 )</w:t>
            </w:r>
          </w:p>
        </w:tc>
      </w:tr>
      <w:tr>
        <w:trPr>
          <w:trHeight w:val="239"/>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9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6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Pr>
          <w:p>
            <w:pPr>
              <w:spacing w:after="0"/>
              <w:rPr>
                <w:sz w:val="19"/>
                <w:szCs w:val="19"/>
                <w:color w:val="auto"/>
              </w:rPr>
            </w:pPr>
          </w:p>
        </w:tc>
      </w:tr>
      <w:tr>
        <w:trPr>
          <w:trHeight w:val="239"/>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Amortization of deferred financing costs and debt discount</w:t>
            </w:r>
          </w:p>
        </w:tc>
        <w:tc>
          <w:tcPr>
            <w:tcW w:w="92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shd w:val="clear" w:color="auto" w:fill="CFF0FC"/>
          </w:tcPr>
          <w:p>
            <w:pPr>
              <w:spacing w:after="0"/>
              <w:rPr>
                <w:sz w:val="20"/>
                <w:szCs w:val="20"/>
                <w:color w:val="auto"/>
              </w:rPr>
            </w:pPr>
          </w:p>
        </w:tc>
      </w:tr>
      <w:tr>
        <w:trPr>
          <w:trHeight w:val="220"/>
        </w:trPr>
        <w:tc>
          <w:tcPr>
            <w:tcW w:w="6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tcPr>
          <w:p>
            <w:pPr>
              <w:spacing w:after="0"/>
              <w:rPr>
                <w:sz w:val="19"/>
                <w:szCs w:val="19"/>
                <w:color w:val="auto"/>
              </w:rPr>
            </w:pPr>
          </w:p>
        </w:tc>
      </w:tr>
      <w:tr>
        <w:trPr>
          <w:trHeight w:val="239"/>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Accretion of discount on short-term investments</w:t>
            </w:r>
          </w:p>
        </w:tc>
        <w:tc>
          <w:tcPr>
            <w:tcW w:w="9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(23 )</w:t>
            </w:r>
          </w:p>
        </w:tc>
        <w:tc>
          <w:tcPr>
            <w:tcW w:w="3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financing expense</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Change in fair value of warrants</w:t>
            </w:r>
          </w:p>
        </w:tc>
        <w:tc>
          <w:tcPr>
            <w:tcW w:w="9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(4,694 )</w:t>
            </w:r>
          </w:p>
        </w:tc>
        <w:tc>
          <w:tcPr>
            <w:tcW w:w="3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92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r>
      <w:tr>
        <w:trPr>
          <w:trHeight w:val="239"/>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Amortization of operating lease right-of-use assets</w:t>
            </w:r>
          </w:p>
        </w:tc>
        <w:tc>
          <w:tcPr>
            <w:tcW w:w="92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FF0FC"/>
          </w:tcPr>
          <w:p>
            <w:pPr>
              <w:spacing w:after="0"/>
              <w:rPr>
                <w:sz w:val="20"/>
                <w:szCs w:val="20"/>
                <w:color w:val="auto"/>
              </w:rPr>
            </w:pPr>
          </w:p>
        </w:tc>
      </w:tr>
      <w:tr>
        <w:trPr>
          <w:trHeight w:val="220"/>
        </w:trPr>
        <w:tc>
          <w:tcPr>
            <w:tcW w:w="6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Increases (decreases) in cash caused by changes in operating assets and liabilities:</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Grant receivable</w:t>
            </w:r>
          </w:p>
        </w:tc>
        <w:tc>
          <w:tcPr>
            <w:tcW w:w="9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00" w:type="dxa"/>
            <w:vAlign w:val="bottom"/>
            <w:shd w:val="clear" w:color="auto" w:fill="CFF0FC"/>
          </w:tcPr>
          <w:p>
            <w:pPr>
              <w:spacing w:after="0"/>
              <w:rPr>
                <w:sz w:val="20"/>
                <w:szCs w:val="20"/>
                <w:color w:val="auto"/>
              </w:rPr>
            </w:pPr>
          </w:p>
        </w:tc>
      </w:tr>
      <w:tr>
        <w:trPr>
          <w:trHeight w:val="220"/>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current assets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w:t>
            </w:r>
          </w:p>
        </w:tc>
        <w:tc>
          <w:tcPr>
            <w:tcW w:w="100" w:type="dxa"/>
            <w:vAlign w:val="bottom"/>
          </w:tcPr>
          <w:p>
            <w:pPr>
              <w:spacing w:after="0"/>
              <w:rPr>
                <w:sz w:val="19"/>
                <w:szCs w:val="19"/>
                <w:color w:val="auto"/>
              </w:rPr>
            </w:pPr>
          </w:p>
        </w:tc>
      </w:tr>
      <w:tr>
        <w:trPr>
          <w:trHeight w:val="239"/>
        </w:trPr>
        <w:tc>
          <w:tcPr>
            <w:tcW w:w="6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92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(3,589 )</w:t>
            </w:r>
          </w:p>
        </w:tc>
      </w:tr>
      <w:tr>
        <w:trPr>
          <w:trHeight w:val="220"/>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 in operating lease liabilities</w:t>
            </w:r>
          </w:p>
        </w:tc>
        <w:tc>
          <w:tcPr>
            <w:tcW w:w="9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(63 )</w:t>
            </w:r>
          </w:p>
        </w:tc>
        <w:tc>
          <w:tcPr>
            <w:tcW w:w="3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(56 )</w:t>
            </w:r>
          </w:p>
        </w:tc>
      </w:tr>
      <w:tr>
        <w:trPr>
          <w:trHeight w:val="230"/>
        </w:trPr>
        <w:tc>
          <w:tcPr>
            <w:tcW w:w="6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Deferred grant liability</w:t>
            </w:r>
          </w:p>
        </w:tc>
        <w:tc>
          <w:tcPr>
            <w:tcW w:w="9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(1,643 )</w:t>
            </w:r>
          </w:p>
        </w:tc>
      </w:tr>
      <w:tr>
        <w:trPr>
          <w:trHeight w:val="23"/>
        </w:trPr>
        <w:tc>
          <w:tcPr>
            <w:tcW w:w="6940" w:type="dxa"/>
            <w:vAlign w:val="bottom"/>
            <w:shd w:val="clear" w:color="auto" w:fill="CFF0F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69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9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(5,663 )</w:t>
            </w:r>
          </w:p>
        </w:tc>
        <w:tc>
          <w:tcPr>
            <w:tcW w:w="3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(8,571 )</w:t>
            </w:r>
          </w:p>
        </w:tc>
      </w:tr>
      <w:tr>
        <w:trPr>
          <w:trHeight w:val="229"/>
        </w:trPr>
        <w:tc>
          <w:tcPr>
            <w:tcW w:w="6940" w:type="dxa"/>
            <w:vAlign w:val="bottom"/>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6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used in investing activities:</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(121 )</w:t>
            </w:r>
          </w:p>
        </w:tc>
        <w:tc>
          <w:tcPr>
            <w:tcW w:w="3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(108 )</w:t>
            </w:r>
          </w:p>
        </w:tc>
      </w:tr>
      <w:tr>
        <w:trPr>
          <w:trHeight w:val="220"/>
        </w:trPr>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Purchase of short-term investments</w:t>
            </w:r>
          </w:p>
        </w:tc>
        <w:tc>
          <w:tcPr>
            <w:tcW w:w="9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(3,500 )</w:t>
            </w:r>
          </w:p>
        </w:tc>
        <w:tc>
          <w:tcPr>
            <w:tcW w:w="3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9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(545 )</w:t>
            </w:r>
          </w:p>
        </w:tc>
        <w:tc>
          <w:tcPr>
            <w:tcW w:w="3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
        </w:trPr>
        <w:tc>
          <w:tcPr>
            <w:tcW w:w="6940" w:type="dxa"/>
            <w:vAlign w:val="bottom"/>
            <w:shd w:val="clear" w:color="auto" w:fill="CFF0F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69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(4,166 )</w:t>
            </w:r>
          </w:p>
        </w:tc>
        <w:tc>
          <w:tcPr>
            <w:tcW w:w="3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(108 )</w:t>
            </w:r>
          </w:p>
        </w:tc>
      </w:tr>
      <w:tr>
        <w:trPr>
          <w:trHeight w:val="230"/>
        </w:trPr>
        <w:tc>
          <w:tcPr>
            <w:tcW w:w="6940" w:type="dxa"/>
            <w:vAlign w:val="bottom"/>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6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provided by financing activities:</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Principal payments of term loan obligation</w:t>
            </w:r>
          </w:p>
        </w:tc>
        <w:tc>
          <w:tcPr>
            <w:tcW w:w="9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(3,996 )</w:t>
            </w:r>
          </w:p>
        </w:tc>
        <w:tc>
          <w:tcPr>
            <w:tcW w:w="3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(804 )</w:t>
            </w:r>
          </w:p>
        </w:tc>
      </w:tr>
      <w:tr>
        <w:trPr>
          <w:trHeight w:val="220"/>
        </w:trPr>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credit facility</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9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(374 )</w:t>
            </w:r>
          </w:p>
        </w:tc>
        <w:tc>
          <w:tcPr>
            <w:tcW w:w="3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sale of common stock, warrants and pre-funded warrants, net</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7,265</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2,258</w:t>
            </w:r>
          </w:p>
        </w:tc>
        <w:tc>
          <w:tcPr>
            <w:tcW w:w="100" w:type="dxa"/>
            <w:vAlign w:val="bottom"/>
          </w:tcPr>
          <w:p>
            <w:pPr>
              <w:spacing w:after="0"/>
              <w:rPr>
                <w:sz w:val="19"/>
                <w:szCs w:val="19"/>
                <w:color w:val="auto"/>
              </w:rPr>
            </w:pPr>
          </w:p>
        </w:tc>
      </w:tr>
      <w:tr>
        <w:trPr>
          <w:trHeight w:val="223"/>
        </w:trPr>
        <w:tc>
          <w:tcPr>
            <w:tcW w:w="6940" w:type="dxa"/>
            <w:vAlign w:val="bottom"/>
            <w:tcBorders>
              <w:bottom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9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6,187</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69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9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(3,642 )</w:t>
            </w:r>
          </w:p>
        </w:tc>
        <w:tc>
          <w:tcPr>
            <w:tcW w:w="3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(7,225 )</w:t>
            </w:r>
          </w:p>
        </w:tc>
      </w:tr>
      <w:tr>
        <w:trPr>
          <w:trHeight w:val="233"/>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92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8,554</w:t>
            </w: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18,120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920" w:type="dxa"/>
            <w:vAlign w:val="bottom"/>
            <w:tcBorders>
              <w:bottom w:val="single" w:sz="8" w:color="auto"/>
            </w:tcBorders>
          </w:tcPr>
          <w:p>
            <w:pPr>
              <w:jc w:val="right"/>
              <w:ind w:right="762"/>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4,912</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10,895</w:t>
            </w:r>
          </w:p>
        </w:tc>
        <w:tc>
          <w:tcPr>
            <w:tcW w:w="10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9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1"/>
        </w:trPr>
        <w:tc>
          <w:tcPr>
            <w:tcW w:w="6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flows information:</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Cash paid during period for:</w:t>
            </w:r>
          </w:p>
        </w:tc>
        <w:tc>
          <w:tcPr>
            <w:tcW w:w="9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w:t>
            </w:r>
          </w:p>
        </w:tc>
        <w:tc>
          <w:tcPr>
            <w:tcW w:w="92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4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9"/>
                <w:szCs w:val="19"/>
                <w:color w:val="auto"/>
              </w:rPr>
            </w:pPr>
          </w:p>
        </w:tc>
      </w:tr>
      <w:tr>
        <w:trPr>
          <w:trHeight w:val="239"/>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schedule of non-cash investing and financing activities:</w:t>
            </w:r>
          </w:p>
        </w:tc>
        <w:tc>
          <w:tcPr>
            <w:tcW w:w="9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0"/>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Unpaid offering cost</w:t>
            </w:r>
          </w:p>
        </w:tc>
        <w:tc>
          <w:tcPr>
            <w:tcW w:w="92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24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-3424555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-3424555</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-2533015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-2533015</wp:posOffset>
            </wp:positionV>
            <wp:extent cx="603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-1341755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-1341755</wp:posOffset>
            </wp:positionV>
            <wp:extent cx="603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-1041400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-1041400</wp:posOffset>
            </wp:positionV>
            <wp:extent cx="603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81" w:right="8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New Accounting Standards</w:t>
      </w:r>
    </w:p>
    <w:p>
      <w:pPr>
        <w:spacing w:after="0" w:line="121"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for the three and six months ended June 30, 2024 and 2023 have been prepared in accordance with accounting principles generally accepted in the United States of America for interim financial information. Accordingly, they do not include all of the information and footnotes required by accounting principles generally accepted in the United States of America for annual financial statements. The condensed balance sheet at December 31, 2023 has been derived from the audited financial statements at December 31, 2023, but does not include all of the information and footnotes required by accounting principles generally accepted in the United States of America for complete financial statements.</w:t>
      </w:r>
    </w:p>
    <w:p>
      <w:pPr>
        <w:spacing w:after="0" w:line="79" w:lineRule="exact"/>
        <w:rPr>
          <w:sz w:val="20"/>
          <w:szCs w:val="20"/>
          <w:color w:val="auto"/>
        </w:rPr>
      </w:pPr>
    </w:p>
    <w:p>
      <w:pPr>
        <w:jc w:val="both"/>
        <w:ind w:left="520"/>
        <w:spacing w:after="0" w:line="239" w:lineRule="auto"/>
        <w:rPr>
          <w:sz w:val="20"/>
          <w:szCs w:val="20"/>
          <w:color w:val="auto"/>
        </w:rPr>
      </w:pPr>
      <w:r>
        <w:rPr>
          <w:rFonts w:ascii="Times New Roman" w:cs="Times New Roman" w:eastAsia="Times New Roman" w:hAnsi="Times New Roman"/>
          <w:sz w:val="18"/>
          <w:szCs w:val="18"/>
          <w:color w:val="auto"/>
        </w:rPr>
        <w:t>On May 17, 2024, Plus Therapeutics, Inc. (the “Company”) established a wholly owned subsidiary, CNSide Diagonistics, LLC (“CNSide LLC”), a Delaware limited liability company. CNSide LLC was set up to implement the Company’s business plan for developing the CNSide diagnostic portfolio alongside its lead radiotherapeutic candidate,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using the intellectual property of Biocept, Inc. (“Biocept”) acquired by the Company in April 2024 (Note 8).</w:t>
      </w:r>
    </w:p>
    <w:p>
      <w:pPr>
        <w:spacing w:after="0" w:line="92"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In the opinion of management, all adjustments (consisting of normal recurring adjustments) considered necessary for a fair presentation of the financial position and results of operations of the Company and its wholly owned subsidiary have been included. Operating results for the three and six months ended June 30, 2024 are not necessarily indicative of the results that may be expected for the remainder of the year ending December 31, 2024. These condensed consolidated financial statements should be read in conjunction with the financial statements and notes therein included in the Company’s Annual Report on Form 10-K for the year ended December 31, 2023, filed with the Securities and Exchange Commission on March 5, 2024.</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Amendments to Certificate of Incorporation and Reverse Stock Split</w:t>
      </w:r>
    </w:p>
    <w:p>
      <w:pPr>
        <w:spacing w:after="0" w:line="121"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At the Annual Meeting of Stockholders of the Company held on April 20, 2023 (the “2023 Annual Meeting”), the stockholders of the Company approved an amendment to the Company’s Certificate of Incorporation, as amended (the “Charter”) to implement a reverse stock split of the Company’s then issued and outstanding common stock, par value $0.001 per share, with the ratio to be determined by the Board of Directors (the “Board”) of the Company, within a range of not less than 1-for-3 and not greater than 1-for-15. Subsequently, on April 21, 2023, the Board determined to fix the ratio for the reverse stock split at 1-for-15, without any change to its par value (the “Reverse Stock Split”).</w:t>
      </w:r>
    </w:p>
    <w:p>
      <w:pPr>
        <w:spacing w:after="0" w:line="75" w:lineRule="exact"/>
        <w:rPr>
          <w:sz w:val="20"/>
          <w:szCs w:val="20"/>
          <w:color w:val="auto"/>
        </w:rPr>
      </w:pPr>
    </w:p>
    <w:p>
      <w:pPr>
        <w:jc w:val="both"/>
        <w:ind w:left="520"/>
        <w:spacing w:after="0" w:line="253" w:lineRule="auto"/>
        <w:rPr>
          <w:sz w:val="20"/>
          <w:szCs w:val="20"/>
          <w:color w:val="auto"/>
        </w:rPr>
      </w:pPr>
      <w:r>
        <w:rPr>
          <w:rFonts w:ascii="Times New Roman" w:cs="Times New Roman" w:eastAsia="Times New Roman" w:hAnsi="Times New Roman"/>
          <w:sz w:val="18"/>
          <w:szCs w:val="18"/>
          <w:color w:val="auto"/>
        </w:rPr>
        <w:t>On April 27, 2023, following stockholder and Board approval, the Company filed a Certificate of Amendment to its Charter (the “Amendment”), with the Secretary of State of the State of Delaware to effectuate the Reverse Stock Split. The Amendment became effective on May 1, 2023. Upon effectiveness of the Reverse Stock Split, the number of shares of the Company’s common stock (x) issued and outstanding decreased from approximately 37.4 million shares to approximately 2.5 million shares; (y) reserved for issuance upon exercise of outstanding warrants and options decreased from approximately 2.0 million shares to approximately 0.1 million shares, and (z) reserved but unallocated under the Company’s current equity incentive plans decreased from approximately 3.0 million shares of common stock to approximately 0.2 million shares of common stock. The Company’s common stock began trading on the Nasdaq Capital Market (“Nasdaq”) on a post-split basis on May 1, 2023. The Company’s 5,000,000 shares of authorized Preferred Stock were not affected by the Reverse Stock Split. No fractional shares were issued in connection with the Reverse Stock Split, and accordingly, the outstanding number of shares post Reverse Stock Split was adjusted down by approximately 1,310 (post-effect of the Reverse Stock Split) shares. Proportional adjustments for the Reverse Stock Split were made to the Company’s outstanding stock options, warrants and equity incentive plans for the period ended March 31, 2023 as presented in the condensed consolidated financial statements in this quarterly report on Form 10-Q. The Company’s consolidated financial statements, and all references thereto have been retroactively adjusted to reflect the Reverse Stock Split unless specifically stated otherwise.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Grant Revenue Recognition</w:t>
      </w:r>
    </w:p>
    <w:p>
      <w:pPr>
        <w:spacing w:after="0" w:line="121" w:lineRule="exact"/>
        <w:rPr>
          <w:sz w:val="20"/>
          <w:szCs w:val="20"/>
          <w:color w:val="auto"/>
        </w:rPr>
      </w:pPr>
    </w:p>
    <w:p>
      <w:pPr>
        <w:jc w:val="both"/>
        <w:ind w:left="520"/>
        <w:spacing w:after="0" w:line="255" w:lineRule="auto"/>
        <w:rPr>
          <w:sz w:val="20"/>
          <w:szCs w:val="20"/>
          <w:color w:val="auto"/>
        </w:rPr>
      </w:pPr>
      <w:r>
        <w:rPr>
          <w:rFonts w:ascii="Times New Roman" w:cs="Times New Roman" w:eastAsia="Times New Roman" w:hAnsi="Times New Roman"/>
          <w:sz w:val="18"/>
          <w:szCs w:val="18"/>
          <w:color w:val="auto"/>
        </w:rPr>
        <w:t>In applying the provisions of Accounting Standards Codification (“ASC”) Topic 606, Revenue from Contracts with Customers (“ASC 606”), the Company has determined that government grants are out of the scope of ASC 606 because the funding entities do not meet the definition of a “customer”, as defined by ASC 606, as the Company does not consider there to be a transfer of control of goods or services. With respect to each grant, the Company determines if it has a collaboration in accordance with ASC Topic 808, Collaborative Arrangements (“ASC 808”). For grants outside the scope of ASC 808, the Company applies International Accounting Standards No. 20 (“IAS 20”), Accounting for Government Grants and Disclosure of Government Assistance, by analogy, and revenue is recognized when the Company incurs expenses related to the grant for the amount the Company is entitled to under the provisions of the contract.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considers the guidance in ASC Topic 730, Research and Development, which requires an assessment, at the inception of each grant, of whether each grant agreement is a liability. If the Company is obligated to repay funds received regardless of the outcome of the related research and development activities, then the Company is required to estimate and recognize that liability. Alternatively, if the Company is not required to repay the funds, then payments received are recorded as revenue or contra-expense as the expenses are incurred.</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grant liability represents grant funds received or receivable for which the allowable expenses have not yet been incurred as of the balance sheet date.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Warrants are accounted for as either derivative liabilities or as equity instruments depending on the specific terms of the agreement in accordance with applicable accounting guidance provided in ASC Topic 815 -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Equity-classified instruments are recorded in additional paid-in capital at issuance and are not subject to remeasurement. Liability-classified warrants are recorded at fair value at each reporting period with any change in fair value recognized as a component of change in fair value of derivative liabilities in the condensed consolidated statements of operations. The Company periodically evaluates changes in facts and circumstances that could impact the classification of warrants.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establishment of CNSide LLC, the Company operated its business in one operating and reportable segment, which includes all activities related to the research and development of the Company’s research programs. From inception of CNSide LLC through June 30, 2024, the Company commenced certain set up and compliance activities of CNSide LLC with immaterial financial statement impact. The Company expects CNSide LLC to initiate commercial operations starting in the fourth quarter of 2024 related to laboratory testing, and that CNSide LLC will become a separate operating segment starting in the quarter ending December 31, 2024.</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chief operating decision-maker (“CODM”), the Chief Executive Officer, reviews the operating results including revenue and direct expenses of the Company’s operating segments for resource allocation and other management decisions.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Available-for-Sale Securities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available-for-sale securities consist of U.S. government and agency securities. Securities with maturities from the date of purchase of less than three months are included in cash equivalents. The Company classifies its marketable securities as available-for-sale and records such assets at estimated fair value in the condensed consolidated balance sheets, with unrealized gains and losses, if any, reported as a component of other comprehensive income (loss) within the condensed consolidated statements of operations and comprehensive income/loss and as a separate component of stockholders’ equity. Realized gains and losses are calculated on the specific identification method and recorded as interest income (loss). At each balance sheet date, the Company assesses available-for-sale securities in an unrealized loss position to determine whether the decline in fair value below amortized cost is a result of credit losses or other factors, whether the Company expects to recover the amortized cost of the security, the Company’s intent to sell and if it is more likely than not that the Company will be required to sell the securities before the recovery of amortized cost. The Company records changes in allowance for expected credit loss in other income (expense). There has been no allowance for expected credit losses recorded during any of the periods presented.</w:t>
      </w:r>
    </w:p>
    <w:p>
      <w:pPr>
        <w:spacing w:after="0" w:line="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premium arising at purchase is amortized to the earliest call date and any discount arising at purchase is accreted to maturity. Accretion of discounts are recorded in interest income in the condensed consolidated statements of operations and comprehensive income/loss.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2024, the unrealized gain on the Company’s available-for-sale securities was less than $1,000, and not presented separately in the condensed consolidated statement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(the “FASB”) issued Accounting Standards Update (ASU) No. 2023-09 Income Taxes (Topic 740): Improvements to Income Tax Disclosure. This ASU includes amendments that further enhance income tax disclosures, primarily through standardization and disaggregation of rate reconciliation categories and income taxes paid by jurisdiction. The ASU is effective for years beginning after December 15, 2024, but early adoption is permitted. This ASU should be applied on a prospective basis, although retrospective application is permitted. Management is currently evaluating the impact of the changes required by the new standard on the Company’s consolidated financial statements and related disclosures.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Accounting Standard Update (ASU) No. 2023-07, Segment Reporting (Topic 280): Improvements to Reportable Segment Disclosures. The new standard is intended to improve annual and interim reportable segment disclosure requirements regardless of number of reporting units, primarily through enhanced disclosures of significant expenses. The amendment requires public entities to disclose significant segment expenses that are regularly provided</w:t>
      </w:r>
    </w:p>
    <w:p>
      <w:pPr>
        <w:spacing w:after="0" w:line="180"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476250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093" w:right="339" w:bottom="1440" w:gutter="0" w:footer="0" w:header="0"/>
        </w:sectPr>
      </w:pPr>
    </w:p>
    <w:bookmarkStart w:id="9" w:name="page10"/>
    <w:bookmarkEnd w:id="9"/>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to the CODM and included within each reported measure of segment profit and loss. This update is effective for fiscal years beginning after December 15, 2023, and interim periods within those fiscal years starting after December 15, 2024. This ASU must be applied retrospectively to all prior periods presented. Management is currently evaluating the impact of the changes required by the new standard on the Company’s consolidated financial statements and related disclosures.</w:t>
      </w:r>
    </w:p>
    <w:p>
      <w:pPr>
        <w:spacing w:after="0" w:line="216" w:lineRule="exact"/>
        <w:rPr>
          <w:sz w:val="20"/>
          <w:szCs w:val="20"/>
          <w:color w:val="auto"/>
        </w:rPr>
      </w:pPr>
    </w:p>
    <w:p>
      <w:pPr>
        <w:ind w:left="460" w:hanging="451"/>
        <w:spacing w:after="0"/>
        <w:tabs>
          <w:tab w:leader="none" w:pos="4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generally accepted accounting principles requires management to make estimates and assumptions affecting the reported amounts of assets and liabilities and disclosure of contingent assets and liabilities at the date of the consolidated financial statements, and the reported amounts of revenue and expenses during the reporting period. The Company’s most significant estimates and critical accounting policies involve reviewing assets for impairment and determining the assumptions used in measuring stock-based compensation expense and warrant liability.</w:t>
      </w:r>
    </w:p>
    <w:p>
      <w:pPr>
        <w:spacing w:after="0" w:line="233"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and Going Concern</w:t>
      </w:r>
    </w:p>
    <w:p>
      <w:pPr>
        <w:spacing w:after="0" w:line="121"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The Company incurred a net loss of $6.2 million for the six months ended June 30, 2024. The Company had an accumulated deficit of $486.7 million as of June 30, 2024. Additionally, the Company used net cash of $5.7 million to fund its operating activities for the six months ended June 30, 2024.</w:t>
      </w:r>
    </w:p>
    <w:p>
      <w:pPr>
        <w:spacing w:after="0" w:line="68"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To date, the Company’s operating losses have been funded primarily from outside sources of invested capital from issuance of its common and preferred stocks, proceeds from its term loan, line of credit facility and grant funding. However, the Company has had, and will continue to have, an ongoing need to raise additional cash from outside sources to fund its future clinical development programs and other operations. There can be no assurance that the Company will be able to continue to raise additional capital in the future. The Company’s inability to raise additional cash would have a material and adverse impact on its operations and could cause the Company to default on its term loan. These factors raise substantial doubt about the Company’s ability to continue as a going concern.</w:t>
      </w:r>
    </w:p>
    <w:p>
      <w:pPr>
        <w:spacing w:after="0" w:line="79"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At the closing of the May 2024 Private Placement, the Company received aggregate upfront gross proceeds of approximately $7.3 million, before deducting fees and other expenses associated with the closing of the May 2024 Private Placement. None of the Warrants issued in the May 2024 Private Placement have been exercised as of the filing of this quarterly report on Form 10-Q. See Note 12 to the unaudited condensed consolidated financial statements, Stockholders' Deficit - May 2024 Private Placement, for further information regarding the May 2024 Private Placement.</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Nasdaq Listing Compliance</w:t>
      </w:r>
    </w:p>
    <w:p>
      <w:pPr>
        <w:spacing w:after="0" w:line="119"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On March 8, 2024, the Company received a letter (the “Notice”) from the Listing Qualifications staff of Nasdaq, notifying the Company that it no longer complied with the requirement under Nasdaq Listing Rule 5550(b)(1) to maintain a minimum of $2.5 million in stockholders’ equity for continued listing on Nasdaq or the alternative requirements of having a market value of listed securities of $35 million or net income from continuing operations of $500,000 in the most recently completed fiscal year or two of the last three most recently completed fiscal years (the “Alternative Standards”). The Notice stated that as of March 8, 2024, the Company did not meet the Alternative Standards.</w:t>
      </w:r>
    </w:p>
    <w:p>
      <w:pPr>
        <w:spacing w:after="0" w:line="75"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On April 22, 2024, the Company provided Nasdaq with its plan to achieve and sustain compliance with the stockholders’ equity requirement and requested that Nasdaq grant the Company an extension of time until September 4, 2024, to provide evidence of compliance with the stockholders’ equity requirement. Nasdaq has not yet responded to the Company’s plan, and there can be no assurance that Nasdaq will grant an extension or that the Company will be able to comply with the applicable listing standards of Nasdaq.</w:t>
      </w:r>
    </w:p>
    <w:p>
      <w:pPr>
        <w:spacing w:after="0" w:line="72"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The Company continues to seek additional capital from financing alternatives and other sources in order to ensure adequate funding is available to allow the Company to continue research and product development and other operating activities at their current levels. If sufficient capital is not raised, the Company will at a minimum need to significantly reduce or curtail its research and development and other operations, and this would negatively affect its ability to achieve corporate growth goals.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the Company fail to raise additional cash from outside sources, it would have a material adverse impact on its operations.</w:t>
      </w:r>
    </w:p>
    <w:p>
      <w:pPr>
        <w:spacing w:after="0" w:line="117"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assuming the Company will continue to operate as a going concern, which contemplates the realization of assets and settlement of liabilities in the normal course of business, and do not include any adjustments to reflect the possible future effects on the recoverability and classification of assets or the amounts and classifications of liabilities that may result from uncertainty related to its ability to continue as a going concern.</w:t>
      </w:r>
    </w:p>
    <w:p>
      <w:pPr>
        <w:spacing w:after="0" w:line="176" w:lineRule="exact"/>
        <w:rPr>
          <w:sz w:val="20"/>
          <w:szCs w:val="20"/>
          <w:color w:val="auto"/>
        </w:rPr>
      </w:pPr>
    </w:p>
    <w:p>
      <w:pPr>
        <w:ind w:left="420" w:hanging="412"/>
        <w:spacing w:after="0"/>
        <w:tabs>
          <w:tab w:leader="none" w:pos="4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left="520" w:right="20"/>
        <w:spacing w:after="0" w:line="282" w:lineRule="auto"/>
        <w:rPr>
          <w:sz w:val="20"/>
          <w:szCs w:val="20"/>
          <w:color w:val="auto"/>
        </w:rPr>
      </w:pPr>
      <w:r>
        <w:rPr>
          <w:rFonts w:ascii="Times New Roman" w:cs="Times New Roman" w:eastAsia="Times New Roman" w:hAnsi="Times New Roman"/>
          <w:sz w:val="18"/>
          <w:szCs w:val="18"/>
          <w:color w:val="auto"/>
        </w:rPr>
        <w:t>Fair value measurements are market-based measurements, not entity-specific measurements. Therefore, fair value measurements are determined based on the assumptions that market participants would use in pricing the asset or liability. The Company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ind w:left="520"/>
        <w:spacing w:after="0" w:line="282" w:lineRule="auto"/>
        <w:rPr>
          <w:sz w:val="20"/>
          <w:szCs w:val="20"/>
          <w:color w:val="auto"/>
        </w:rPr>
      </w:pPr>
      <w:r>
        <w:rPr>
          <w:rFonts w:ascii="Times New Roman" w:cs="Times New Roman" w:eastAsia="Times New Roman" w:hAnsi="Times New Roman"/>
          <w:sz w:val="18"/>
          <w:szCs w:val="18"/>
          <w:color w:val="auto"/>
        </w:rPr>
        <w:t>a three-level hierarchy to prioritize the inputs used in the valuation techniques to derive fair values. The basis for fair value measurements for each level within the hierarchy is described below:</w:t>
      </w:r>
    </w:p>
    <w:p>
      <w:pPr>
        <w:spacing w:after="0" w:line="54" w:lineRule="exact"/>
        <w:rPr>
          <w:sz w:val="20"/>
          <w:szCs w:val="20"/>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or liabilities.</w:t>
      </w:r>
    </w:p>
    <w:p>
      <w:pPr>
        <w:spacing w:after="0" w:line="130"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Quoted prices for similar assets or liabilities in active markets; quoted prices for identical or similar instruments in markets that are not active; and model-derived valuations in which all significant inputs are observable in active markets.</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Valuations derived from valuation techniques in which one or more significant inputs are unobservable in active markets.</w:t>
      </w:r>
    </w:p>
    <w:p>
      <w:pPr>
        <w:spacing w:after="0" w:line="144"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Money market funds are valued at the closing price reported by the fund sponsor from an actively traded exchange. Money market funds and U.S. Treasury bills were included in cash equivalents in the consolidated balance sheets for the periods presented. The Company obtains the fair value of its Level 2 cash equivalents from third-party pricing services. The pricing services utilize industry standard valuation models whereby all significant inputs, including benchmark yields, reported trades, broker/dealer quotes, issuer spreads, bids, offers, or other market-related data, are observable.</w:t>
      </w:r>
    </w:p>
    <w:p>
      <w:pPr>
        <w:spacing w:after="0" w:line="180"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fair value hierarchy for its financial assets measured at fair value on a recurring basis as of June 30, 2024 and December 31, 2023, respectively (in thousands).</w:t>
      </w:r>
    </w:p>
    <w:p>
      <w:pPr>
        <w:spacing w:after="0" w:line="169" w:lineRule="exact"/>
        <w:rPr>
          <w:sz w:val="20"/>
          <w:szCs w:val="20"/>
          <w:color w:val="auto"/>
        </w:rPr>
      </w:pPr>
    </w:p>
    <w:tbl>
      <w:tblPr>
        <w:tblLayout w:type="fixed"/>
        <w:tblInd w:w="920" w:type="dxa"/>
        <w:tblCellMar>
          <w:top w:w="0" w:type="dxa"/>
          <w:left w:w="0" w:type="dxa"/>
          <w:bottom w:w="0" w:type="dxa"/>
          <w:right w:w="0" w:type="dxa"/>
        </w:tblCellMar>
      </w:tblPr>
      <w:tr>
        <w:trPr>
          <w:trHeight w:val="184"/>
        </w:trPr>
        <w:tc>
          <w:tcPr>
            <w:tcW w:w="5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9"/>
        </w:trPr>
        <w:tc>
          <w:tcPr>
            <w:tcW w:w="5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80" w:type="dxa"/>
            <w:vAlign w:val="bottom"/>
          </w:tcPr>
          <w:p>
            <w:pPr>
              <w:spacing w:after="0"/>
              <w:rPr>
                <w:sz w:val="19"/>
                <w:szCs w:val="19"/>
                <w:color w:val="auto"/>
              </w:rPr>
            </w:pPr>
          </w:p>
        </w:tc>
      </w:tr>
      <w:tr>
        <w:trPr>
          <w:trHeight w:val="22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Money market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2,415</w:t>
            </w:r>
          </w:p>
        </w:tc>
        <w:tc>
          <w:tcPr>
            <w:tcW w:w="26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2,415</w:t>
            </w:r>
          </w:p>
        </w:tc>
        <w:tc>
          <w:tcPr>
            <w:tcW w:w="2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Treasury bills and government agency bonds</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3,523</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9"/>
                <w:szCs w:val="19"/>
                <w:color w:val="auto"/>
              </w:rPr>
            </w:pPr>
          </w:p>
        </w:tc>
      </w:tr>
      <w:tr>
        <w:trPr>
          <w:trHeight w:val="263"/>
        </w:trPr>
        <w:tc>
          <w:tcPr>
            <w:tcW w:w="50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5,938</w:t>
            </w:r>
          </w:p>
        </w:tc>
        <w:tc>
          <w:tcPr>
            <w:tcW w:w="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2,415</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3,523</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CFF0FC"/>
            </w:tcBorders>
            <w:shd w:val="clear" w:color="auto" w:fill="CFF0FC"/>
          </w:tcPr>
          <w:p>
            <w:pPr>
              <w:spacing w:after="0"/>
              <w:rPr>
                <w:sz w:val="22"/>
                <w:szCs w:val="22"/>
                <w:color w:val="auto"/>
              </w:rPr>
            </w:pPr>
          </w:p>
        </w:tc>
      </w:tr>
      <w:tr>
        <w:trPr>
          <w:trHeight w:val="427"/>
        </w:trPr>
        <w:tc>
          <w:tcPr>
            <w:tcW w:w="5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0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 Measurements Using</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6"/>
        </w:trPr>
        <w:tc>
          <w:tcPr>
            <w:tcW w:w="5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80" w:type="dxa"/>
            <w:vAlign w:val="bottom"/>
          </w:tcPr>
          <w:p>
            <w:pPr>
              <w:spacing w:after="0"/>
              <w:rPr>
                <w:sz w:val="21"/>
                <w:szCs w:val="21"/>
                <w:color w:val="auto"/>
              </w:rPr>
            </w:pPr>
          </w:p>
        </w:tc>
      </w:tr>
      <w:tr>
        <w:trPr>
          <w:trHeight w:val="22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Money market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5,449</w:t>
            </w:r>
          </w:p>
        </w:tc>
        <w:tc>
          <w:tcPr>
            <w:tcW w:w="26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5,449</w:t>
            </w:r>
          </w:p>
        </w:tc>
        <w:tc>
          <w:tcPr>
            <w:tcW w:w="2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-616585</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-599440</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-616585</wp:posOffset>
            </wp:positionV>
            <wp:extent cx="596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-599440</wp:posOffset>
            </wp:positionV>
            <wp:extent cx="596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-616585</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-599440</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-616585</wp:posOffset>
            </wp:positionV>
            <wp:extent cx="514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-599440</wp:posOffset>
            </wp:positionV>
            <wp:extent cx="514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the Company issued common stock warrants which are classified as liabilities under authoritative accounting standards (Note 12). Those common stock warrants are valued using the Black Scholes model, with level 3 inputs such as expected volatility, risk-free interest rate, and expected term that are not observable in active markets.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summarizes key inputs used in the valuation of the liability classified warrants as of the issuance date and as of June 30, 2024:</w:t>
      </w:r>
    </w:p>
    <w:p>
      <w:pPr>
        <w:spacing w:after="0" w:line="232" w:lineRule="exact"/>
        <w:rPr>
          <w:sz w:val="20"/>
          <w:szCs w:val="20"/>
          <w:color w:val="auto"/>
        </w:rPr>
      </w:pPr>
    </w:p>
    <w:tbl>
      <w:tblPr>
        <w:tblLayout w:type="fixed"/>
        <w:tblInd w:w="86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19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As of issuance date</w:t>
            </w:r>
          </w:p>
        </w:tc>
        <w:tc>
          <w:tcPr>
            <w:tcW w:w="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100" w:type="dxa"/>
            <w:vAlign w:val="bottom"/>
          </w:tcPr>
          <w:p>
            <w:pPr>
              <w:spacing w:after="0"/>
              <w:rPr>
                <w:sz w:val="16"/>
                <w:szCs w:val="16"/>
                <w:color w:val="auto"/>
              </w:rPr>
            </w:pPr>
          </w:p>
        </w:tc>
      </w:tr>
      <w:tr>
        <w:trPr>
          <w:trHeight w:val="23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1.1 - 5.0 years</w:t>
            </w: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1.0 to 4.8 years</w:t>
            </w: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market price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$2.01 - $2.27</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0"/>
                <w:szCs w:val="20"/>
                <w:color w:val="auto"/>
              </w:rPr>
            </w:pP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 - 5.1%</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 - 5.1%</w:t>
            </w:r>
          </w:p>
        </w:tc>
        <w:tc>
          <w:tcPr>
            <w:tcW w:w="100" w:type="dxa"/>
            <w:vAlign w:val="bottom"/>
            <w:shd w:val="clear" w:color="auto" w:fill="CFF0FC"/>
          </w:tcPr>
          <w:p>
            <w:pPr>
              <w:spacing w:after="0"/>
              <w:rPr>
                <w:sz w:val="21"/>
                <w:szCs w:val="21"/>
                <w:color w:val="auto"/>
              </w:rPr>
            </w:pP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 - 127.2%</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 - 121.0%</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The table below provides a summary of the fair value of the Company's warrant liability during the six months ended June 30, 2024 (in thousands). As of June 30, 2023, the fair value of liability classified warrants was immaterial, and the change in the fair value of liability classified warrants during the three and six months ended June 30, 2023 was immaterial.</w:t>
      </w:r>
    </w:p>
    <w:p>
      <w:pPr>
        <w:spacing w:after="0" w:line="183" w:lineRule="exact"/>
        <w:rPr>
          <w:sz w:val="20"/>
          <w:szCs w:val="20"/>
          <w:color w:val="auto"/>
        </w:rPr>
      </w:pPr>
    </w:p>
    <w:tbl>
      <w:tblPr>
        <w:tblLayout w:type="fixed"/>
        <w:tblInd w:w="860" w:type="dxa"/>
        <w:tblCellMar>
          <w:top w:w="0" w:type="dxa"/>
          <w:left w:w="0" w:type="dxa"/>
          <w:bottom w:w="0" w:type="dxa"/>
          <w:right w:w="0" w:type="dxa"/>
        </w:tblCellMar>
      </w:tblPr>
      <w:tr>
        <w:trPr>
          <w:trHeight w:val="187"/>
        </w:trPr>
        <w:tc>
          <w:tcPr>
            <w:tcW w:w="6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 liability</w:t>
            </w:r>
          </w:p>
        </w:tc>
        <w:tc>
          <w:tcPr>
            <w:tcW w:w="200" w:type="dxa"/>
            <w:vAlign w:val="bottom"/>
            <w:vMerge w:val="restart"/>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644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2480" w:type="dxa"/>
            <w:vAlign w:val="bottom"/>
            <w:tcBorders>
              <w:top w:val="single" w:sz="8" w:color="auto"/>
              <w:bottom w:val="single" w:sz="8" w:color="auto"/>
            </w:tcBorders>
          </w:tcPr>
          <w:p>
            <w:pPr>
              <w:jc w:val="right"/>
              <w:ind w:right="11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warrants</w:t>
            </w:r>
          </w:p>
        </w:tc>
        <w:tc>
          <w:tcPr>
            <w:tcW w:w="320" w:type="dxa"/>
            <w:vAlign w:val="bottom"/>
          </w:tcPr>
          <w:p>
            <w:pPr>
              <w:spacing w:after="0"/>
              <w:rPr>
                <w:sz w:val="20"/>
                <w:szCs w:val="20"/>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320" w:type="dxa"/>
            <w:vAlign w:val="bottom"/>
            <w:shd w:val="clear" w:color="auto" w:fill="CFF0FC"/>
          </w:tcPr>
          <w:p>
            <w:pPr>
              <w:spacing w:after="0"/>
              <w:rPr>
                <w:sz w:val="21"/>
                <w:szCs w:val="21"/>
                <w:color w:val="auto"/>
              </w:rPr>
            </w:pPr>
          </w:p>
        </w:tc>
        <w:tc>
          <w:tcPr>
            <w:tcW w:w="2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(4,694 )</w:t>
            </w:r>
          </w:p>
        </w:tc>
        <w:tc>
          <w:tcPr>
            <w:tcW w:w="0" w:type="dxa"/>
            <w:vAlign w:val="bottom"/>
          </w:tcPr>
          <w:p>
            <w:pPr>
              <w:spacing w:after="0"/>
              <w:rPr>
                <w:sz w:val="1"/>
                <w:szCs w:val="1"/>
                <w:color w:val="auto"/>
              </w:rPr>
            </w:pPr>
          </w:p>
        </w:tc>
      </w:tr>
      <w:tr>
        <w:trPr>
          <w:trHeight w:val="232"/>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20" w:hanging="412"/>
        <w:spacing w:after="0"/>
        <w:tabs>
          <w:tab w:leader="none" w:pos="4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Loan Obligations</w:t>
      </w:r>
    </w:p>
    <w:p>
      <w:pPr>
        <w:spacing w:after="0" w:line="243"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On May 29, 2015, the Company entered into the Loan and Security Agreement (the “Loan and Security Agreement”), pursuant to which Oxford Finance, LLC (“Oxford”) funded an aggregate principal amount of $17.7 million (the “Term Loan”), subject to the terms and conditions set forth in the Loan and Security Agreement.</w:t>
      </w:r>
    </w:p>
    <w:p>
      <w:pPr>
        <w:spacing w:after="0" w:line="68"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Pursuant to the Loan and Security Agreement, as amended, the Company made interest only payments through May 1, 2021, and thereafter was required to make payments of principal and accrued interest in equal monthly installments sufficient to amortize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the Term Loan through June 1, 2024, the maturity date. On June 3, 2024, the Company paid off the Term Loan by making a final payment in an aggregate amount equal to approximately $3.3 million</w:t>
      </w:r>
      <w:r>
        <w:rPr>
          <w:rFonts w:ascii="Times New Roman" w:cs="Times New Roman" w:eastAsia="Times New Roman" w:hAnsi="Times New Roman"/>
          <w:sz w:val="18"/>
          <w:szCs w:val="18"/>
          <w:color w:val="231F20"/>
        </w:rPr>
        <w:t>, which included both the balance of outstanding principal and interest and the final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fee due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The repayment in full of the Term Loan terminated Oxford’s security interest in the </w:t>
      </w:r>
      <w:r>
        <w:rPr>
          <w:rFonts w:ascii="Times New Roman" w:cs="Times New Roman" w:eastAsia="Times New Roman" w:hAnsi="Times New Roman"/>
          <w:sz w:val="18"/>
          <w:szCs w:val="18"/>
          <w:color w:val="000000"/>
        </w:rPr>
        <w:t>Company’s</w:t>
      </w:r>
      <w:r>
        <w:rPr>
          <w:rFonts w:ascii="Times New Roman" w:cs="Times New Roman" w:eastAsia="Times New Roman" w:hAnsi="Times New Roman"/>
          <w:sz w:val="18"/>
          <w:szCs w:val="18"/>
          <w:color w:val="231F20"/>
        </w:rPr>
        <w:t xml:space="preserve"> existing and after-acquired assets, as well as all other certain restrictions and covenants under the Term Loan.</w:t>
      </w:r>
    </w:p>
    <w:p>
      <w:pPr>
        <w:spacing w:after="0" w:line="176" w:lineRule="exact"/>
        <w:rPr>
          <w:sz w:val="20"/>
          <w:szCs w:val="20"/>
          <w:color w:val="auto"/>
        </w:rPr>
      </w:pPr>
    </w:p>
    <w:p>
      <w:pPr>
        <w:ind w:left="460" w:hanging="407"/>
        <w:spacing w:after="0"/>
        <w:tabs>
          <w:tab w:leader="none" w:pos="4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Line of Credit Facility</w:t>
      </w:r>
    </w:p>
    <w:p>
      <w:pPr>
        <w:spacing w:after="0" w:line="121" w:lineRule="exact"/>
        <w:rPr>
          <w:sz w:val="20"/>
          <w:szCs w:val="20"/>
          <w:color w:val="auto"/>
        </w:rPr>
      </w:pPr>
    </w:p>
    <w:p>
      <w:pPr>
        <w:jc w:val="both"/>
        <w:ind w:left="520"/>
        <w:spacing w:after="0" w:line="255" w:lineRule="auto"/>
        <w:rPr>
          <w:sz w:val="20"/>
          <w:szCs w:val="20"/>
          <w:color w:val="auto"/>
        </w:rPr>
      </w:pPr>
      <w:r>
        <w:rPr>
          <w:rFonts w:ascii="Times New Roman" w:cs="Times New Roman" w:eastAsia="Times New Roman" w:hAnsi="Times New Roman"/>
          <w:sz w:val="18"/>
          <w:szCs w:val="18"/>
          <w:color w:val="231F20"/>
        </w:rPr>
        <w:t>On May 31, 2024, the Company drew down $3.3 million on its new margin loan facility under a line of credit (the “Pershing Credit Facility”) with Pershing LLC (“Pershing”), an affiliate of The Bank of New York Mellon Corporation. The available credit line limit under the Pershing Credit Facility fluctuates based on the Company’s request for extensions from time to time, subject to the value of the collateralized marketable securities the Company holds with Pershing, provided that the amount available to draw under the Pershing Credit Facility cannot exceed 91.5% of the value of the collateralized marketable securities deposited with Pershing. Depending on the value of the marketable securities the Company holds with Pershing, Pershing may require the Company from time-to-time to deposit additional funds or marketable securities in order to restore the level of collateral to an acceptable level. The amounts borrowed under the Pershing Credit Facility are due on demand.</w:t>
      </w:r>
    </w:p>
    <w:p>
      <w:pPr>
        <w:spacing w:after="0" w:line="351" w:lineRule="exact"/>
        <w:rPr>
          <w:sz w:val="20"/>
          <w:szCs w:val="20"/>
          <w:color w:val="auto"/>
        </w:rPr>
      </w:pPr>
    </w:p>
    <w:p>
      <w:pPr>
        <w:jc w:val="both"/>
        <w:ind w:left="520"/>
        <w:spacing w:after="0" w:line="255" w:lineRule="auto"/>
        <w:rPr>
          <w:sz w:val="20"/>
          <w:szCs w:val="20"/>
          <w:color w:val="auto"/>
        </w:rPr>
      </w:pPr>
      <w:r>
        <w:rPr>
          <w:rFonts w:ascii="Times New Roman" w:cs="Times New Roman" w:eastAsia="Times New Roman" w:hAnsi="Times New Roman"/>
          <w:sz w:val="18"/>
          <w:szCs w:val="18"/>
          <w:color w:val="231F20"/>
        </w:rPr>
        <w:t>Borrowings under the Pershing Credit Facility bear interest at the target interest rate set by the Federal Open Market Committee, subject to a floor of 5.5%, plus a spread of 1.75% and applicable fees of 0.5%, subject to a maximum interest rate of the then applicable Prime Rate as published in The Wall Street Journal plus 3.0%. Interest payments thereunder are calculated on a monthly basis and, unless paid, are added to the outstanding balance under the Pershing Credit Facility. The proceeds under the Pershing Credit Facility are available for working capital needs and other general corporate purposes. Volatility in the global markets could cause the interest rate to fluctuate from time to time increasing the Company’s costs, or could cause Pershing to terminate the Company’s ability to borrow funds. In addition, borrowings under the Pershing Credit Facility have the effect of limiting the Company’s use of cash and marketable securities.</w:t>
      </w:r>
    </w:p>
    <w:p>
      <w:pPr>
        <w:spacing w:after="0" w:line="293" w:lineRule="exact"/>
        <w:rPr>
          <w:sz w:val="20"/>
          <w:szCs w:val="20"/>
          <w:color w:val="auto"/>
        </w:rPr>
      </w:pPr>
    </w:p>
    <w:p>
      <w:pPr>
        <w:ind w:left="420" w:hanging="412"/>
        <w:spacing w:after="0"/>
        <w:tabs>
          <w:tab w:leader="none" w:pos="4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121"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Basic per share data is computed by dividing net income or loss applicable to common stockholders by the weighted average number of common shares outstanding during the period. Diluted per share data is computed by dividing net income or loss applicable to common stockholders by the weighted average number of common shares outstanding during the period increased to include, if dilutive, the number of additional common shares that would have been outstanding as calculated using the treasury stock method. Potential common shares were related to outstanding but unexercised options, multiple series of convertible preferred stock, and warrants for all periods presented.</w:t>
      </w:r>
    </w:p>
    <w:p>
      <w:pPr>
        <w:spacing w:after="0" w:line="75"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The Company considers Series A Warrants and Series B Warrants issued in connection with the private placement completed in May 2024 (Note 12) to be participating securities because holders of such instruments participate in the event a dividend is paid on common stock. The holders of the Series A Warrants and Series B Warrants do not have a contractual obligation to share in the Company's losses. As such, losses are attributed entirely to common stockholders and for periods in which the Company has reported a net loss.</w:t>
      </w:r>
    </w:p>
    <w:p>
      <w:pPr>
        <w:spacing w:after="0" w:line="72"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As of June 30, 2024, 2,151,544 Pre-Funded Warrants to purchase common stock, issued in connection with the May 2024 Private Placement (Note 12), were included in the basic and diluted net loss per share calculation.</w:t>
      </w:r>
    </w:p>
    <w:p>
      <w:pPr>
        <w:spacing w:after="0" w:line="54"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common share for the periods indicated, in thousands except share and per share data:</w:t>
      </w:r>
    </w:p>
    <w:p>
      <w:pPr>
        <w:spacing w:after="0" w:line="277" w:lineRule="exact"/>
        <w:rPr>
          <w:sz w:val="20"/>
          <w:szCs w:val="20"/>
          <w:color w:val="auto"/>
        </w:rPr>
      </w:pPr>
    </w:p>
    <w:tbl>
      <w:tblPr>
        <w:tblLayout w:type="fixed"/>
        <w:tblInd w:w="340" w:type="dxa"/>
        <w:tblCellMar>
          <w:top w:w="0" w:type="dxa"/>
          <w:left w:w="0" w:type="dxa"/>
          <w:bottom w:w="0" w:type="dxa"/>
          <w:right w:w="0" w:type="dxa"/>
        </w:tblCellMar>
      </w:tblPr>
      <w:tr>
        <w:trPr>
          <w:trHeight w:val="187"/>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30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51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 calculation:</w:t>
            </w: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(2,940 )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(1,482 )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(6,201 )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(6,287 )</w:t>
            </w:r>
          </w:p>
        </w:tc>
      </w:tr>
      <w:tr>
        <w:trPr>
          <w:trHeight w:val="243"/>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(4,694 )</w:t>
            </w: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(4,694 )</w:t>
            </w:r>
          </w:p>
        </w:tc>
        <w:tc>
          <w:tcPr>
            <w:tcW w:w="2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1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 - diluted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(7,634 )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(1,482 )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(10,895 )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(6,287 )</w:t>
            </w:r>
          </w:p>
        </w:tc>
      </w:tr>
      <w:tr>
        <w:trPr>
          <w:trHeight w:val="20"/>
        </w:trPr>
        <w:tc>
          <w:tcPr>
            <w:tcW w:w="5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2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6,500,831</w:t>
            </w:r>
          </w:p>
        </w:tc>
        <w:tc>
          <w:tcPr>
            <w:tcW w:w="2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2,509,378</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5,411,382</w:t>
            </w:r>
          </w:p>
        </w:tc>
        <w:tc>
          <w:tcPr>
            <w:tcW w:w="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2,415,221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of common stock - basic</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(0.45 )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(0.59 )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(2.60 )</w:t>
            </w:r>
          </w:p>
        </w:tc>
      </w:tr>
      <w:tr>
        <w:trPr>
          <w:trHeight w:val="20"/>
        </w:trPr>
        <w:tc>
          <w:tcPr>
            <w:tcW w:w="5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5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2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10,742,924</w:t>
            </w:r>
          </w:p>
        </w:tc>
        <w:tc>
          <w:tcPr>
            <w:tcW w:w="2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2,509,378</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7,532,428</w:t>
            </w:r>
          </w:p>
        </w:tc>
        <w:tc>
          <w:tcPr>
            <w:tcW w:w="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2,415,221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of common stock - diluted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(0.71 )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(0.59 )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(1.45 )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(2.60 )</w:t>
            </w:r>
          </w:p>
        </w:tc>
      </w:tr>
      <w:tr>
        <w:trPr>
          <w:trHeight w:val="20"/>
        </w:trPr>
        <w:tc>
          <w:tcPr>
            <w:tcW w:w="5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-908050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-908050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-908050</wp:posOffset>
            </wp:positionV>
            <wp:extent cx="596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-908050</wp:posOffset>
            </wp:positionV>
            <wp:extent cx="596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-565150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-548005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-565150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-548005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-565150</wp:posOffset>
            </wp:positionV>
            <wp:extent cx="596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-548005</wp:posOffset>
            </wp:positionV>
            <wp:extent cx="596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-565150</wp:posOffset>
            </wp:positionV>
            <wp:extent cx="596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-548005</wp:posOffset>
            </wp:positionV>
            <wp:extent cx="596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-205105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-187960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-205105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-187960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-205105</wp:posOffset>
            </wp:positionV>
            <wp:extent cx="596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-187960</wp:posOffset>
            </wp:positionV>
            <wp:extent cx="596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-205105</wp:posOffset>
            </wp:positionV>
            <wp:extent cx="596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-187960</wp:posOffset>
            </wp:positionV>
            <wp:extent cx="596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The following were excluded from the diluted loss per share calculation for the periods presented because their effect would be anti-dilutive: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tbl>
      <w:tblPr>
        <w:tblLayout w:type="fixed"/>
        <w:tblInd w:w="46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94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
        </w:trPr>
        <w:tc>
          <w:tcPr>
            <w:tcW w:w="494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69"/>
        </w:trPr>
        <w:tc>
          <w:tcPr>
            <w:tcW w:w="4620" w:type="dxa"/>
            <w:vAlign w:val="bottom"/>
          </w:tcPr>
          <w:p>
            <w:pPr>
              <w:spacing w:after="0"/>
              <w:rPr>
                <w:sz w:val="14"/>
                <w:szCs w:val="14"/>
                <w:color w:val="auto"/>
              </w:rPr>
            </w:pPr>
          </w:p>
        </w:tc>
        <w:tc>
          <w:tcPr>
            <w:tcW w:w="1780" w:type="dxa"/>
            <w:vAlign w:val="bottom"/>
            <w:tcBorders>
              <w:top w:val="single" w:sz="8" w:color="auto"/>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1900" w:type="dxa"/>
            <w:vAlign w:val="bottom"/>
            <w:tcBorders>
              <w:top w:val="single" w:sz="8" w:color="auto"/>
              <w:bottom w:val="single" w:sz="8" w:color="auto"/>
            </w:tcBorders>
          </w:tcPr>
          <w:p>
            <w:pPr>
              <w:jc w:val="right"/>
              <w:ind w:right="10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64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336,928</w:t>
            </w:r>
          </w:p>
        </w:tc>
        <w:tc>
          <w:tcPr>
            <w:tcW w:w="3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128,582</w:t>
            </w:r>
          </w:p>
        </w:tc>
        <w:tc>
          <w:tcPr>
            <w:tcW w:w="100" w:type="dxa"/>
            <w:vAlign w:val="bottom"/>
            <w:shd w:val="clear" w:color="auto" w:fill="CFF0FC"/>
          </w:tcPr>
          <w:p>
            <w:pPr>
              <w:spacing w:after="0"/>
              <w:rPr>
                <w:sz w:val="20"/>
                <w:szCs w:val="20"/>
                <w:color w:val="auto"/>
              </w:rPr>
            </w:pPr>
          </w:p>
        </w:tc>
      </w:tr>
      <w:tr>
        <w:trPr>
          <w:trHeight w:val="239"/>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28,190</w:t>
            </w: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28,190</w:t>
            </w:r>
          </w:p>
        </w:tc>
        <w:tc>
          <w:tcPr>
            <w:tcW w:w="100" w:type="dxa"/>
            <w:vAlign w:val="bottom"/>
          </w:tcPr>
          <w:p>
            <w:pPr>
              <w:spacing w:after="0"/>
              <w:rPr>
                <w:sz w:val="20"/>
                <w:szCs w:val="20"/>
                <w:color w:val="auto"/>
              </w:rPr>
            </w:pPr>
          </w:p>
        </w:tc>
      </w:tr>
      <w:tr>
        <w:trPr>
          <w:trHeight w:val="243"/>
        </w:trPr>
        <w:tc>
          <w:tcPr>
            <w:tcW w:w="49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warrants</w:t>
            </w:r>
          </w:p>
        </w:tc>
        <w:tc>
          <w:tcPr>
            <w:tcW w:w="14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142,733</w:t>
            </w:r>
          </w:p>
        </w:tc>
        <w:tc>
          <w:tcPr>
            <w:tcW w:w="36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spacing w:after="0"/>
              <w:rPr>
                <w:sz w:val="21"/>
                <w:szCs w:val="21"/>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142,733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1"/>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507,851</w:t>
            </w: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299,505</w:t>
            </w:r>
          </w:p>
        </w:tc>
        <w:tc>
          <w:tcPr>
            <w:tcW w:w="100" w:type="dxa"/>
            <w:vAlign w:val="bottom"/>
          </w:tcPr>
          <w:p>
            <w:pPr>
              <w:spacing w:after="0"/>
              <w:rPr>
                <w:sz w:val="20"/>
                <w:szCs w:val="20"/>
                <w:color w:val="auto"/>
              </w:rPr>
            </w:pPr>
          </w:p>
        </w:tc>
      </w:tr>
      <w:tr>
        <w:trPr>
          <w:trHeight w:val="20"/>
        </w:trPr>
        <w:tc>
          <w:tcPr>
            <w:tcW w:w="4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-187960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-187960</wp:posOffset>
            </wp:positionV>
            <wp:extent cx="596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4" w:lineRule="exact"/>
        <w:rPr>
          <w:sz w:val="20"/>
          <w:szCs w:val="20"/>
          <w:color w:val="auto"/>
        </w:rPr>
      </w:pPr>
    </w:p>
    <w:p>
      <w:pPr>
        <w:ind w:left="420" w:hanging="412"/>
        <w:spacing w:after="0"/>
        <w:tabs>
          <w:tab w:leader="none" w:pos="4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Biocept Asset Acquisitions</w:t>
      </w:r>
    </w:p>
    <w:p>
      <w:pPr>
        <w:spacing w:after="0" w:line="337"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On April 26, 2024, the Company acquired from Biocept, for a total cash payment of $400,000, substantially all of the right, title and interest in CNSide intellectual property (“CNSide IP”), including (i) intellectual property, (ii) inventory and raw materials, and (iii) data, information, results and reports pertaining to the completed and on-going clinical studies involving the use of the CNSide IP (including, but not limited to, the FOERSEE clinical study that was being conducted by Biocept), related to the development, making, selling, and exporting or importing of the CNSide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(as defined below), after having its bid accepted by the United States Bankruptcy Court for the District of Delaware.</w:t>
      </w:r>
    </w:p>
    <w:p>
      <w:pPr>
        <w:spacing w:after="0" w:line="1"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The Company concluded that the acquisition of Biocept assets was not a business combination, as Biocept did not meet the definition of a business in ASC 805, Business Combination. The Company accounted for the asset purchase transaction under the authoritative guidance for asset acquisitions, and allocated the costs of acquisitions of approximately $45,000 among the assets acquired based on the relative fair value of such assets, which is predominately concentrated in the intellectual property acquired including patents and trademarks. The intangible assets acquired from Biocept are capitalized and amortized over a useful life of four years.</w:t>
      </w:r>
    </w:p>
    <w:p>
      <w:pPr>
        <w:spacing w:after="0" w:line="328"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Revenue</w:t>
      </w:r>
    </w:p>
    <w:p>
      <w:pPr>
        <w:spacing w:after="0" w:line="121" w:lineRule="exact"/>
        <w:rPr>
          <w:sz w:val="20"/>
          <w:szCs w:val="20"/>
          <w:color w:val="auto"/>
        </w:rPr>
      </w:pPr>
    </w:p>
    <w:p>
      <w:pPr>
        <w:jc w:val="both"/>
        <w:ind w:left="520"/>
        <w:spacing w:after="0" w:line="235" w:lineRule="auto"/>
        <w:rPr>
          <w:sz w:val="20"/>
          <w:szCs w:val="20"/>
          <w:color w:val="auto"/>
        </w:rPr>
      </w:pPr>
      <w:r>
        <w:rPr>
          <w:rFonts w:ascii="Times New Roman" w:cs="Times New Roman" w:eastAsia="Times New Roman" w:hAnsi="Times New Roman"/>
          <w:sz w:val="18"/>
          <w:szCs w:val="18"/>
          <w:color w:val="auto"/>
        </w:rPr>
        <w:t xml:space="preserve">On September 19, 2022, the Company entered into that certain </w:t>
      </w:r>
      <w:r>
        <w:rPr>
          <w:rFonts w:ascii="Times New Roman" w:cs="Times New Roman" w:eastAsia="Times New Roman" w:hAnsi="Times New Roman"/>
          <w:sz w:val="18"/>
          <w:szCs w:val="18"/>
          <w:color w:val="231F20"/>
        </w:rPr>
        <w:t>Cancer Research Grant Contract (the “CPRIT Contract”), effective as of August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2022, </w:t>
      </w:r>
      <w:r>
        <w:rPr>
          <w:rFonts w:ascii="Times New Roman" w:cs="Times New Roman" w:eastAsia="Times New Roman" w:hAnsi="Times New Roman"/>
          <w:sz w:val="18"/>
          <w:szCs w:val="18"/>
          <w:color w:val="000000"/>
        </w:rPr>
        <w:t>with the</w:t>
      </w:r>
      <w:r>
        <w:rPr>
          <w:rFonts w:ascii="Times New Roman" w:cs="Times New Roman" w:eastAsia="Times New Roman" w:hAnsi="Times New Roman"/>
          <w:sz w:val="18"/>
          <w:szCs w:val="18"/>
          <w:color w:val="231F20"/>
        </w:rPr>
        <w:t xml:space="preserve"> Cancer Prevention and Research Institute of Texas (“CPRIT”)</w:t>
      </w:r>
      <w:r>
        <w:rPr>
          <w:rFonts w:ascii="Times New Roman" w:cs="Times New Roman" w:eastAsia="Times New Roman" w:hAnsi="Times New Roman"/>
          <w:sz w:val="18"/>
          <w:szCs w:val="18"/>
          <w:color w:val="000000"/>
        </w:rPr>
        <w:t>, pursuant to which CPRIT provides the Company with a CPRIT grant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(“CPRIT Grant”) over a three-year period to fund the continued development of rhenium (</w:t>
      </w:r>
      <w:r>
        <w:rPr>
          <w:rFonts w:ascii="Times New Roman" w:cs="Times New Roman" w:eastAsia="Times New Roman" w:hAnsi="Times New Roman"/>
          <w:sz w:val="24"/>
          <w:szCs w:val="24"/>
          <w:color w:val="000000"/>
          <w:vertAlign w:val="superscript"/>
        </w:rPr>
        <w:t>186</w:t>
      </w:r>
      <w:r>
        <w:rPr>
          <w:rFonts w:ascii="Times New Roman" w:cs="Times New Roman" w:eastAsia="Times New Roman" w:hAnsi="Times New Roman"/>
          <w:sz w:val="18"/>
          <w:szCs w:val="18"/>
          <w:color w:val="000000"/>
        </w:rPr>
        <w:t>Re) obisbemeda for the treatment of patients with leptomeningeal metastases (“LM”). The CPRIT Grant is subject to customary CPRIT funding conditions, including, but not limited to, a matching fund requirement (one dollar for every two dollars awarded by CPRIT), revenue sharing obligations upon commercialization of rhenium (</w:t>
      </w:r>
      <w:r>
        <w:rPr>
          <w:rFonts w:ascii="Times New Roman" w:cs="Times New Roman" w:eastAsia="Times New Roman" w:hAnsi="Times New Roman"/>
          <w:sz w:val="24"/>
          <w:szCs w:val="24"/>
          <w:color w:val="000000"/>
          <w:vertAlign w:val="superscript"/>
        </w:rPr>
        <w:t>186</w:t>
      </w:r>
      <w:r>
        <w:rPr>
          <w:rFonts w:ascii="Times New Roman" w:cs="Times New Roman" w:eastAsia="Times New Roman" w:hAnsi="Times New Roman"/>
          <w:sz w:val="18"/>
          <w:szCs w:val="18"/>
          <w:color w:val="000000"/>
        </w:rPr>
        <w:t>Re) obisbemeda based on specific dollar thresholds and tiered low single digit royalty rates until CPRIT receives the aggregate amount of 400% of the proceeds awarded under the CPRIT Grant, and certain reporting requirements.</w:t>
      </w:r>
    </w:p>
    <w:p>
      <w:pPr>
        <w:spacing w:after="0" w:line="93" w:lineRule="exact"/>
        <w:rPr>
          <w:sz w:val="20"/>
          <w:szCs w:val="20"/>
          <w:color w:val="auto"/>
        </w:rPr>
      </w:pPr>
    </w:p>
    <w:p>
      <w:pPr>
        <w:jc w:val="both"/>
        <w:ind w:left="520"/>
        <w:spacing w:after="0" w:line="255" w:lineRule="auto"/>
        <w:rPr>
          <w:sz w:val="20"/>
          <w:szCs w:val="20"/>
          <w:color w:val="auto"/>
        </w:rPr>
      </w:pPr>
      <w:r>
        <w:rPr>
          <w:rFonts w:ascii="Times New Roman" w:cs="Times New Roman" w:eastAsia="Times New Roman" w:hAnsi="Times New Roman"/>
          <w:sz w:val="18"/>
          <w:szCs w:val="18"/>
          <w:color w:val="auto"/>
        </w:rPr>
        <w:t>The CPRIT Contract will terminate on August 30, 2025, unless terminated earlier by (a) the mutual written consent of all parties to the CPRIT Contract, (b) CPRIT for an event of default by the Company, (c) CPRIT, if the funds allocated to the CPRIT Grant become legally unavailable during the term of the CPRIT Contract and CPRIT is unable to obtain additional funds for such purposes, and (d) the Company for convenience. CPRIT may require the Company to repay some or all of the disbursed CPRIT Grant proceeds (with interest not to exceed 5% annually) in the event of the early termination of the CPRIT Contract by CPRIT for an event of default by the Company or by the Company for convenience, or if the Company relocates its principal place of business outside of the state of Texas during the CPRIT Contract term or within three years after the final payment of the grant funds.</w:t>
      </w:r>
    </w:p>
    <w:p>
      <w:pPr>
        <w:spacing w:after="0" w:line="81"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The Company retains ownership over any intellectual property developed under the CPRIT Contract (each, a “Project Result”). With respect to non-commercial use of any Project Result, the Company granted to CPRIT a nonexclusive, irrevocable, royalty-free, perpetual, worldwide license with right to sublicense any necessary additional intellectual property rights to exploit all Project Results by CPRIT, other governmental entities and agencies of the State of Texas, and private or independent institutions of higher education located in Texas, for education, research and other non-commercial purposes.</w:t>
      </w:r>
    </w:p>
    <w:p>
      <w:pPr>
        <w:spacing w:after="0" w:line="75" w:lineRule="exact"/>
        <w:rPr>
          <w:sz w:val="20"/>
          <w:szCs w:val="20"/>
          <w:color w:val="auto"/>
        </w:rPr>
      </w:pPr>
    </w:p>
    <w:p>
      <w:pPr>
        <w:jc w:val="both"/>
        <w:ind w:left="520" w:right="20"/>
        <w:spacing w:after="0" w:line="282" w:lineRule="auto"/>
        <w:rPr>
          <w:sz w:val="20"/>
          <w:szCs w:val="20"/>
          <w:color w:val="auto"/>
        </w:rPr>
      </w:pPr>
      <w:r>
        <w:rPr>
          <w:rFonts w:ascii="Times New Roman" w:cs="Times New Roman" w:eastAsia="Times New Roman" w:hAnsi="Times New Roman"/>
          <w:sz w:val="18"/>
          <w:szCs w:val="18"/>
          <w:color w:val="auto"/>
        </w:rPr>
        <w:t>The Company recognized $1.3 million and $1.9 million, and $3.0 million and $2.4 million in grant revenue from the CPRIT Contract during the three and six months ended June 30, 2024 and 2023, respectively.</w:t>
      </w:r>
    </w:p>
    <w:p>
      <w:pPr>
        <w:spacing w:after="0" w:line="185" w:lineRule="exact"/>
        <w:rPr>
          <w:sz w:val="20"/>
          <w:szCs w:val="20"/>
          <w:color w:val="auto"/>
        </w:rPr>
      </w:pPr>
    </w:p>
    <w:p>
      <w:pPr>
        <w:ind w:left="520" w:right="8280" w:hanging="512"/>
        <w:spacing w:after="0" w:line="378" w:lineRule="auto"/>
        <w:tabs>
          <w:tab w:leader="none" w:pos="416"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i w:val="1"/>
          <w:iCs w:val="1"/>
          <w:color w:val="auto"/>
        </w:rPr>
        <w:t>Leases</w:t>
      </w: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The Company leases laboratory, office and storage facilities in San Antonio, Texas, under operating lease agreements that expire in 2025. The Company also leases certain office space in Austin, Texas under a month-to-month operating lease agreement and certain office space in Charlottesville, Virginia (the “Charlottesville Lease”). The Charlottesville Lease has a term of 12 months and the Company has the ability to renew for three additional one-year periods. On March 31, 2023, Company believed that it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sectPr>
      </w:pPr>
    </w:p>
    <w:bookmarkStart w:id="13" w:name="page14"/>
    <w:bookmarkEnd w:id="13"/>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was reasonably certain that the Charlottesville Lease will be renewed through March 31, 2026, and as a result, it remeasured the related lease liability as of March 31, 2023 to be $80,000 using the then-in-effect discount rate of 12.76%. Effective July 1, 2023, the Company added additional office lease premises in Charlottesville, which was accounted for as a separate operating lease contract with a lease liability and corresponding right-of-use asset of $19,000, as a discount rate of 13.47%.</w:t>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commitments and contingencies</w:t>
      </w:r>
    </w:p>
    <w:p>
      <w:pPr>
        <w:spacing w:after="0" w:line="119"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The Company has entered into agreements with various research organizations for pre-clinical and clinical development studies, which have provisions for cancellation. Under the terms of these agreements, the vendors provide a variety of services including conducting research, recruiting and enrolling patients, monitoring studies and data analysis. Payments under these agreements typically include fees for services and reimbursement of expenses. The timing of payments due under these agreements is estimated based on current study progress. As of June 30, 2024, the Company did not have any clinical research study obligations.</w:t>
      </w:r>
    </w:p>
    <w:p>
      <w:pPr>
        <w:spacing w:after="0" w:line="2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From time to time, the Company is subject to legal proceedings and claims, whether asserted or unasserted, that arise in the ordinary course of business. Due to their nature, such legal proceedings involve inherent uncertainties including, but not limited to, court rulings, negotiations between affected parties and governmental actions. Management assesses the probability of loss for such contingencies and accrues a liability and/or discloses the relevant circumstances, as appropriate.</w:t>
      </w:r>
    </w:p>
    <w:p>
      <w:pPr>
        <w:spacing w:after="0" w:line="216" w:lineRule="exact"/>
        <w:rPr>
          <w:sz w:val="20"/>
          <w:szCs w:val="20"/>
          <w:color w:val="auto"/>
        </w:rPr>
      </w:pPr>
    </w:p>
    <w:p>
      <w:pPr>
        <w:ind w:left="400" w:hanging="392"/>
        <w:spacing w:after="0"/>
        <w:tabs>
          <w:tab w:leader="none" w:pos="4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Agreements</w:t>
      </w:r>
    </w:p>
    <w:p>
      <w:pPr>
        <w:spacing w:after="0" w:line="2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Biocept License Agreement</w:t>
      </w:r>
    </w:p>
    <w:p>
      <w:pPr>
        <w:spacing w:after="0" w:line="119" w:lineRule="exact"/>
        <w:rPr>
          <w:sz w:val="20"/>
          <w:szCs w:val="20"/>
          <w:color w:val="auto"/>
        </w:rPr>
      </w:pPr>
    </w:p>
    <w:p>
      <w:pPr>
        <w:jc w:val="both"/>
        <w:ind w:left="520"/>
        <w:spacing w:after="0" w:line="236" w:lineRule="auto"/>
        <w:rPr>
          <w:sz w:val="20"/>
          <w:szCs w:val="20"/>
          <w:color w:val="auto"/>
        </w:rPr>
      </w:pPr>
      <w:r>
        <w:rPr>
          <w:rFonts w:ascii="Times New Roman" w:cs="Times New Roman" w:eastAsia="Times New Roman" w:hAnsi="Times New Roman"/>
          <w:sz w:val="18"/>
          <w:szCs w:val="18"/>
          <w:color w:val="auto"/>
        </w:rPr>
        <w:t>On September 7, 2023, the Company entered into a Non-Exclusive License and Services Agreement with Biocept, pursuant to which Biocept granted the Company a non-exclusive license to use the Biocept proprietary cell enumeration test, CNSide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(“CNSide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In exchange for the license, the Company issued to Biocept 53,381 unregistered shares, the fair value of which was $75,000.</w:t>
      </w:r>
    </w:p>
    <w:p>
      <w:pPr>
        <w:spacing w:after="0" w:line="91" w:lineRule="exact"/>
        <w:rPr>
          <w:sz w:val="20"/>
          <w:szCs w:val="20"/>
          <w:color w:val="auto"/>
        </w:rPr>
      </w:pPr>
    </w:p>
    <w:p>
      <w:pPr>
        <w:jc w:val="both"/>
        <w:ind w:left="520" w:right="20"/>
        <w:spacing w:after="0" w:line="282" w:lineRule="auto"/>
        <w:rPr>
          <w:sz w:val="20"/>
          <w:szCs w:val="20"/>
          <w:color w:val="auto"/>
        </w:rPr>
      </w:pPr>
      <w:r>
        <w:rPr>
          <w:rFonts w:ascii="Times New Roman" w:cs="Times New Roman" w:eastAsia="Times New Roman" w:hAnsi="Times New Roman"/>
          <w:sz w:val="18"/>
          <w:szCs w:val="18"/>
          <w:color w:val="auto"/>
        </w:rPr>
        <w:t>On October 16, 2023, Biocept filed a voluntary petition for relief under the provisions of Chapter 7 of Title 11 of the United States Bankruptcy Code. See Note 8 for further information regarding the Company’s acquisition of substantially all right, title and interest in the CNSide IP.</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University of Texas Health Science Center at San Antonio (“UTHSCSA”) License Agreement</w:t>
      </w:r>
    </w:p>
    <w:p>
      <w:pPr>
        <w:spacing w:after="0" w:line="119"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On December 31, 2021, the Company entered into a Patent and Know-How License Agreement with UTHSCSA, pursuant to which UTHSCSA granted the Company an irrevocable, perpetual, exclusive, fully paid-up license, with the right to sublicense and to make, develop, commercialize and otherwise exploit certain patents, know-how and technology related to the development of biodegradable alginate microspheres (“BAM”) containing nanoliposomes loaded with imaging and/or therapeutic payloads.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NanoTx License Agreement</w:t>
      </w:r>
    </w:p>
    <w:p>
      <w:pPr>
        <w:spacing w:after="0" w:line="119"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On March 29, 2020, the Company and NanoTx, Corp. (“NanoTx”) entered into a Patent and Know-How License Agreement, pursuant to which NanoTx granted the Company an irrevocable, perpetual, exclusive, fully paid-up license, with the right to sublicense and to make, develop, commercialize and otherwise exploit certain patents, know-how and technology related to the development of radiolabeled nanoliposomes.</w:t>
      </w:r>
    </w:p>
    <w:p>
      <w:pPr>
        <w:spacing w:after="0" w:line="176"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The transaction terms included an upfront payment of $0.4 million in cash and $0.3 million in the Company’s voting stock. The transaction terms also included success-based milestone and royalty payments contingent on key clinical, regulatory and sales milestones, as well as the requirement to pay 15% of any non-dilutive monetary awards or grants received from external agencies to support product development of the nanoliposome encapsulated BMEDA-chelated radioisotope, which includes grants from CPRIT. As of June 30, 2024, the Company accrued $0.5 million of payments due to NanoTx as a result of the CPRIT grant received (see Note 9, Grant Revenue of the condensed consolidated financial statements for additional information).</w:t>
      </w:r>
    </w:p>
    <w:p>
      <w:pPr>
        <w:spacing w:after="0" w:line="224"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Deficit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The Company has authorized 5,000,000 shares of preferred stock, par value $0.001 per share. The Company’s Board is authorized to designate the terms and conditions of any preferred stock the Company issues without further action by the common stockholders.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Series F Preferred Stock</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jc w:val="both"/>
        <w:spacing w:after="0" w:line="272" w:lineRule="auto"/>
        <w:rPr>
          <w:sz w:val="20"/>
          <w:szCs w:val="20"/>
          <w:color w:val="auto"/>
        </w:rPr>
      </w:pPr>
      <w:r>
        <w:rPr>
          <w:rFonts w:ascii="Times New Roman" w:cs="Times New Roman" w:eastAsia="Times New Roman" w:hAnsi="Times New Roman"/>
          <w:sz w:val="17"/>
          <w:szCs w:val="17"/>
          <w:color w:val="auto"/>
        </w:rPr>
        <w:t>On March 3, 2023, the Company filed a certificate of designation (the “Certificate of Designation”) with the Secretary of State of the State of Delaware, effective as of the time of filing, designating the rights, preferences, privileges and restrictions of the Series F Preferred Stock, with the total authorization of one (1) share of Series F Preferred Stock. The Certificate of Designation provided that the share of Series F Preferred Stock would have 50,000,000 votes per share of Series F Preferred Stock and would vote together with the Company’s common stock, as a single class exclusively with respect to any proposal to amend the Company’s Charter to effect the Reverse Stock Split. On March 3, 2023, the Company entered into a subscription and investment representation agreement with Richard J. Hawkins, chairman of the board of the Company, who is an accredited investor (the “Series F Preferred Stock Purchaser”), pursuant to which the Company agreed to issue and sell one (1) share of the Company’s Series F Preferred Stock, par value $0.001 per share, to the Series F Preferred Stock Purchaser for $1,000 in cash. The sale closed on March 3, 2023.</w:t>
      </w:r>
    </w:p>
    <w:p>
      <w:pPr>
        <w:spacing w:after="0" w:line="64"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The outstanding share of Series F Preferred Stock was redeemed in whole, automatically effective upon the approval by the Company’s stockholders of the Reverse Stock Split in April 2023. Upon such redemption, the holder of the Series F Preferred Stock received consideration of $1,000 in cash.</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B and C Preferred Stock</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there were 938 outstanding shares of Series C Preferred Stock that can be converted into an aggregate of 27,792 shares of common stock, and 1,014 shares of Series B Convertible Preferred Stock that can be converted into an aggregate of 398 shares of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issued pre-funded warrants and warrants to purchase its common stock in connection with the May 2024 Private Placement. See the section below on Common Stock for additional details.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25, 2019, the Company completed an underwritten public offering. The Company issued 19,266 shares of its common stock, along with pre-funded warrants to purchase 180,733 shares of its common stock and Series U Warrants to purchase 230,000 shares of its common stock. The Series U Warrants have a term of five years from the issuance date. In addition, the Company issued warrants to H.C. Wainwright &amp; Co., LLC, as representatives of the underwriters, to purchase 5,000 shares of its common stock with a term of five years from the issuance date, in the form of Series U Warrants (the “Representative Warrants”). As of June 30, 2024, there were 142,733 outstanding Series U Warrants and Representative Warrants which can be exercised into an aggregate of 142,733 shares of common stock at a weighted average exercise price of $34.10 per share.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2024 Private Placement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5, 2024, the Company entered into a securities purchase agreement (the “Securities Purchase Agreement”) with certain investors, including certain of the Company’s directors and executive officers (“Company Insiders”) (collectively, the “Purchasers”), for the sale and issuance by the Company of its securities (the “Initial Subscription”). On May 8, 2024, the Company entered into a first amendment to the Securities Purchase Agreement (the “Amendment”) for the sale and issuance by the Company of additional securities to two of the Purchasers (the “Additional Subscription”, and together with the Initial Subscription, the “May 2024 Private Placement”). The Securities Purchase Agreement provides for the sale and issuance by the Company of an aggregate of 3,591,532 shares (the “Private Placement Shares”) of the Company’s common stock or, at the election of each Purchaser, pre-funded warrants (the “Pre-Funded Warrants”), exercisable immediately at an exercise price of $0.001 per share, with each Private Placement Share or Pre-Funded Warrant accompanied by (i) a Series A common warrant (“Series A Warrants”) to purchase one share of common stock (the “Series A Warrant Shares”), for an aggregate of 3,591,532 Series A Warrants, and (ii) one Series B common warrant (“Series B Warrants”) to purchase one share of common stock (the “Series B Warrant Shares,” and together with the Series A Warrant Shares, the “Common Warrant Shares”), for an aggregate of 3,591,532 Series B Warrants.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combined purchase price for each Private Placement Share and Pre-Funded Warrant from the Initial Subscription was $2.022, and $2.158 from the Additional Subscription, in each case together with one accompanying Series A Warrant and one accompanying Series B Warrant, provided, that the Company Insiders participated in the Initial Subscription at an offering price of $2.04 per Private Placement Share and accompanying Series A Warrant and Series B Warrant.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exercise price of Series A Warrants and Series B Warrants from the Initial Subscription is $1.772 per share and $1.908 per share in the Additional Subscription, provided that the exercise price for the Series A Warrants and Series B Warrants issued to the Company Insiders is $1.79 per share. Subject to certain ownership limitations, the Series A Warrants will be exercisable until</w:t>
      </w:r>
    </w:p>
    <w:p>
      <w:pPr>
        <w:spacing w:after="0" w:line="17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093" w:right="339" w:bottom="1440" w:gutter="0" w:footer="0" w:header="0"/>
        </w:sectPr>
      </w:pPr>
    </w:p>
    <w:bookmarkStart w:id="15" w:name="page16"/>
    <w:bookmarkEnd w:id="15"/>
    <w:p>
      <w:pPr>
        <w:jc w:val="both"/>
        <w:spacing w:after="0" w:line="282" w:lineRule="auto"/>
        <w:rPr>
          <w:sz w:val="20"/>
          <w:szCs w:val="20"/>
          <w:color w:val="auto"/>
        </w:rPr>
      </w:pPr>
      <w:r>
        <w:rPr>
          <w:rFonts w:ascii="Times New Roman" w:cs="Times New Roman" w:eastAsia="Times New Roman" w:hAnsi="Times New Roman"/>
          <w:sz w:val="18"/>
          <w:szCs w:val="18"/>
          <w:color w:val="auto"/>
        </w:rPr>
        <w:t>the five-year anniversary of issuance. Subject to certain ownership limitations, the Series B Warrants will be exercisable until June 24, 2025. The Pre-Funded Warrant will not expire until exercised in full.</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holder of a Series A Warrant or a Series B Warrant is unable to exercise the warrant due to the limitation contained in the warrant that restricts the holder from owning above a specified beneficial ownership level (generally 4.99% or 9.99%) as the result of exercise of the warrant, then the holder may elect upon exercise of the warrant to receive a pre-funded warrant for the same number of shares of common stock that would otherwise have been received upon exercise of the warrant.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the Series A Warrants and Series B Warrants provided for a call right starting June 24, 2025 in favor of the Company, if the volume-weighted average price of the common stock exceeds specified prices.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May 2024 Private Offering closed on May 9, 2024 (the “May 2024 Private Placement Closing”). The Company issued 2,151,544 Pre-Funded Warrants, 3,591,532 Series A Warrants and 3,591,532 Series B Warrants to purchase its common stock in connection with the May 2024 Private Placement. The aggregate gross proceeds from the May 2024 Private Placement Closing were approximately $7.3 million, before deducting $0.4 million of offering expenses.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reviewed the terms of the Pre-Funded Warrants, Series A Warrants and Series B Warrants under the authoritative accounting guidance.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described above, the Series A Warrants and Series B Warrants are classified as liabilities for the reason that they can be exercised into either common stock or Pre-Funded Warrants at the holder's option and thus fail the indexation guidance under ASC 815, Derivatives and Hedging. </w:t>
      </w:r>
      <w:r>
        <w:rPr>
          <w:rFonts w:ascii="Times New Roman" w:cs="Times New Roman" w:eastAsia="Times New Roman" w:hAnsi="Times New Roman"/>
          <w:sz w:val="18"/>
          <w:szCs w:val="18"/>
          <w:color w:val="222222"/>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Series A Warrant and Series B Warrant liability were recorded at fair value as of the issuance date and June 30, 2024, and under the terms of the Series A Warrants and Series B Warrants when issued that liability was subject to adjustment to estimated fair value at each balance sheet date until the warrants were settled. R</w:t>
      </w:r>
      <w:r>
        <w:rPr>
          <w:rFonts w:ascii="Times New Roman" w:cs="Times New Roman" w:eastAsia="Times New Roman" w:hAnsi="Times New Roman"/>
          <w:sz w:val="18"/>
          <w:szCs w:val="18"/>
          <w:color w:val="000000"/>
        </w:rPr>
        <w:t>efer to Note 14 for additional information regarding the amendment and restatement of the Series A Warrants and Series</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B Warrants that eliminated the ability of the Series A Warrants and Series B Warrants to be exercised into the Pre-Funded Warrants.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Pre-Funded Warrants are equity classified because they (1) are freestanding financial instruments that are legally detachable and separately exercisable from the common stock, (2) are immediately exercisable, (3) do not embody an obligation for the Company to repurchase its shares, (4) permit the holder to receive a fixed number of shares of common stock upon exercise, (5) are indexed to the Company's common stock and (6) meet the equity classification criteria.</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color w:val="222222"/>
        </w:rPr>
        <w:t>he proceeds from the May 2024 Private Placement must first be allocated to the full fair value of the</w:t>
      </w:r>
      <w:r>
        <w:rPr>
          <w:rFonts w:ascii="Times New Roman" w:cs="Times New Roman" w:eastAsia="Times New Roman" w:hAnsi="Times New Roman"/>
          <w:sz w:val="18"/>
          <w:szCs w:val="18"/>
          <w:color w:val="auto"/>
        </w:rPr>
        <w:t xml:space="preserve"> Series A Warrants and Series B Warrants </w:t>
      </w:r>
      <w:r>
        <w:rPr>
          <w:rFonts w:ascii="Times New Roman" w:cs="Times New Roman" w:eastAsia="Times New Roman" w:hAnsi="Times New Roman"/>
          <w:sz w:val="18"/>
          <w:szCs w:val="18"/>
          <w:color w:val="222222"/>
        </w:rPr>
        <w:t>due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to the liability classification. As disclosed in Note 4, the fair value of the Series </w:t>
      </w:r>
      <w:r>
        <w:rPr>
          <w:rFonts w:ascii="Times New Roman" w:cs="Times New Roman" w:eastAsia="Times New Roman" w:hAnsi="Times New Roman"/>
          <w:sz w:val="18"/>
          <w:szCs w:val="18"/>
          <w:color w:val="000000"/>
        </w:rPr>
        <w:t>A Warrants and Series B Warra</w:t>
      </w:r>
      <w:r>
        <w:rPr>
          <w:rFonts w:ascii="Times New Roman" w:cs="Times New Roman" w:eastAsia="Times New Roman" w:hAnsi="Times New Roman"/>
          <w:sz w:val="18"/>
          <w:szCs w:val="18"/>
          <w:color w:val="222222"/>
        </w:rPr>
        <w:t>nts at issuance was $10.9 million. Under authoritative guidance, if the fair value of a warrant liability exceeds the proceeds received in an arm’s length transaction with no rights or privileges that require separate accounting recognition as an asset identified, then the warrant liability is recorded at fair value with the excess of fair value over proceeds recognized as a loss in earnings. The Company recognized approximately $3.5 million in financing expense in the condensed consolidated statement of operations during the three and six months ended June 30, 2024, which represents the excess of the fair value of the Series A Warrants and Series B Warrants at issuance over the proceeds. During the three and six months ended June 30, 2024, the Company recognized a fair value gain on warrant liability of $4.7 million. Proceeds from the May 2024 Private Placement are shown as cash from financing transactions and the gain on warrant liability is included as an adjustment to reconcile the net loss to net cash used in operating activities in the statements of cash flows for the six months ended June 30, 2024.</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total offering expenses related to the May 2024 Private Placement of $0.4 million were recorded as a component of other expenses as the entire proceeds were allocated to the warrant liability, which can be settled with either the Company’s common stock or Pre-Funded Warrants, which are exercisable into the Company’s common stock at any time at the holders’ option, but not in cash payment to the holders.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of the Pre-Funded Warrants, Series A Warrants, and Series B Warrants issued in connection with the May 2024 Private Placement remained outstanding as of June 30,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Lincoln Park Purchase Agreement</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 2022, the Company entered into a purchase agreement (the “2022 Purchase Agreement”) and registration rights agreement pursuant to which Lincoln Park Capital Fund (“Lincoln Park”) committed to purchase up to $50.0 million of the Company’s common stock. Under the terms and subject to the conditions of the 2022 Purchase Agreement, the Company has the right, but not the obligation, to sell to Lincoln Park, and Lincoln Park is obligated to purchase up to $50.0 million of the Company’s common stock. Such sales of common stock by the Company are subject to certain limitations, and can occur from time to time,</w:t>
      </w:r>
    </w:p>
    <w:p>
      <w:pPr>
        <w:spacing w:after="0" w:line="183"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985" w:right="339" w:bottom="1440" w:gutter="0" w:footer="0" w:header="0"/>
        </w:sectPr>
      </w:pPr>
    </w:p>
    <w:bookmarkStart w:id="16" w:name="page17"/>
    <w:bookmarkEnd w:id="16"/>
    <w:p>
      <w:pPr>
        <w:ind w:left="520"/>
        <w:spacing w:after="0"/>
        <w:rPr>
          <w:sz w:val="20"/>
          <w:szCs w:val="20"/>
          <w:color w:val="auto"/>
        </w:rPr>
      </w:pPr>
      <w:r>
        <w:rPr>
          <w:rFonts w:ascii="Times New Roman" w:cs="Times New Roman" w:eastAsia="Times New Roman" w:hAnsi="Times New Roman"/>
          <w:sz w:val="18"/>
          <w:szCs w:val="18"/>
          <w:color w:val="auto"/>
        </w:rPr>
        <w:t>at the Company’s sole discretion, over the 36-month period commencing on August 17, 2022, subject to the satisfaction of certain conditions.</w:t>
      </w:r>
    </w:p>
    <w:p>
      <w:pPr>
        <w:spacing w:after="0" w:line="117"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On May 16, 2022, the Company received stockholder approval for purposes of the Nasdaq listing rules to permit issuances of up to 57.5 million shares of the Company’s common stock (including the issuance of more than 19.99% of the Company’s common stock) to Lincoln Park, and it was pursuant to that approval that the Company entered into the 2022 Purchase Agreement.</w:t>
      </w:r>
    </w:p>
    <w:p>
      <w:pPr>
        <w:spacing w:after="0" w:line="68"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Upon execution of the 2022 Purchase Agreement, the Company paid $0.1 million in cash as the initial commitment fee, and issued 32,846 shares as the initial commitment shares, to Lincoln Park as consideration for its irrevocable commitment to purchase shares of the Company’s common stock at its direction under the 2022 Purchase Agreement. The Company has agreed to pay an additional commitment fee, which it may elect to pay in cash or shares of its common stock, or a combination of cash and shares of its common stock, upon receipt of $25.0 million aggregate gross proceeds from sales of common stock to Lincoln Park under the 2022 Purchase Agreement.</w:t>
      </w:r>
    </w:p>
    <w:p>
      <w:pPr>
        <w:spacing w:after="0" w:line="75"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On August 17, 2022, a registration statement (the “First Registration Statement”) was declared effective to cover the resale of up to 633,333 shares of the Company’s common stock comprised of (i) the 32,846 initial commitment shares, and (ii) up to 600,486 that the Company has reserved for issuance and sale to Lincoln Park under the 2022 Purchase Agreement from time to time from and after the date of the prospectus. The Company sold approximately 527,166 shares under the First Registration Statement.</w:t>
      </w:r>
    </w:p>
    <w:p>
      <w:pPr>
        <w:spacing w:after="0" w:line="72"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On August 18, 2023, a second registration statement (the “Second Registration Statement”) was declared effective to cover the resale of up to an additional 1,500,000 shares of the Company’s common stock that the Company reserved for issuance and sale to Lincoln Park under the 2022 Purchase Agreement from time to time. The Company sold 150,000 shares under the Second Registration Statement. The Company cannot sell more shares than registered under the Second Registration Statement under the 2022 Purchase Agreement without registering additional shares.</w:t>
      </w:r>
    </w:p>
    <w:p>
      <w:pPr>
        <w:spacing w:after="0" w:line="72"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Actual sales of shares of common stock to Lincoln Park under the 2022 Purchase Agreement depend on a variety of factors to be determined by the Company from time to time, including, among others, market conditions, the trading price of the common stock and determinations by the Company as to the appropriate sources of funding for the Company and its operations. The net proceeds under the 2022 Purchase Agreement to the Company depend on the frequency and prices at which the Company sells shares of its stock to Lincoln Park.</w:t>
      </w:r>
    </w:p>
    <w:p>
      <w:pPr>
        <w:spacing w:after="0" w:line="72"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During the period from August 17, 2022 to December 31, 2022, the Company issued 266,666 shares under the 2022 Purchase Agreement for net proceeds of approximately $3.2 million. The Company issued 410,500 shares under the 2022 Purchase Agreement for net proceeds of approximately $1.0 million from January 1, 2023 to December 31, 2023. The Company did not issue any common stock under the 2022 Purchase Agreement during the six months ended June 30, 2024.</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Share Repurchase Program and Treasury Stock</w:t>
      </w:r>
    </w:p>
    <w:p>
      <w:pPr>
        <w:spacing w:after="0" w:line="227"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On October 31, 2023, the Company announced that its Board has approved a share repurchase program (the “Share Repurchase Program”), with authorization to repurchase up to $500,000 of the outstanding shares of the Company’s common stock. The Company funded repurchases under the Share Repurchase Program with available cash.</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year ended December 31, 2023, the Company purchased 78,559 of its common stock for approximately $0.1 million as treasury stock.</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purchased 179,866 of its common shares for approximately $0.4 million as treasury stock during the six months ended June 30, 2024.</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2024, no amount remained authorized for repurchase.</w:t>
      </w:r>
    </w:p>
    <w:p>
      <w:pPr>
        <w:spacing w:after="0" w:line="200" w:lineRule="exact"/>
        <w:rPr>
          <w:sz w:val="20"/>
          <w:szCs w:val="20"/>
          <w:color w:val="auto"/>
        </w:rPr>
      </w:pPr>
    </w:p>
    <w:p>
      <w:pPr>
        <w:spacing w:after="0" w:line="25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135"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Under the Company’s 2015 New Employee Incentive Plan, as amended (the “2015 Plan”), awards may only be granted to employees who were not previously an employee or director of the Company, or following a bona fide period of non-employment, as a material inducement to entering into employment with the Company. On June 6, 2024, the Company’s Board increased the number of shares for future issuances under the 2015 Plan by 75,000 shares of common stock. As of June 30, 2024, there were 62,908 shares of common stock remaining and available for future issuances under the 2015 Plan.</w:t>
      </w:r>
    </w:p>
    <w:p>
      <w:pPr>
        <w:spacing w:after="0" w:line="183"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The Company’s 2020 Stock Incentive Plan, as amended (the “2020 Plan”), which replaced the Company’s 2014 Equity Incentive Plan, provides for the award or sale of shares of common stock (including restricted stock), the award of stock units and stock appreciation rights, and the grant of both incentive stock options to purchase common stock to directors, officers, employees and consultants of the Company. The 2020 Plan provides for the issuance of up to 236,667 shares of common stock, plus the number of shares available for issuance is increased to the extent that awards granted under the 2020 Plan and the Company’s 2014 Equity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Incentive Plan are forfeited or expire (except as otherwise provided in the 2020 Plan). As of June 30, 2024, there were 1,899 shares remaining and available for future issuances under the 2020 Plan.</w:t>
      </w:r>
    </w:p>
    <w:p>
      <w:pPr>
        <w:spacing w:after="0" w:line="162"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Generally, options issued under the 2020 Plan are subject to a two-year or four-year vesting schedule with 25% of the options vesting on the one year anniversary of the grant date followed by equal monthly installment vesting, and have a contractual term of 10 years.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activity for the six months ended June 30, 2024 is as follows:</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14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21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7"/>
        </w:trPr>
        <w:tc>
          <w:tcPr>
            <w:tcW w:w="538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Term (years)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140,109</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196,824</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Cancelled/expired</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271,125</w:t>
            </w: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336,928</w:t>
            </w:r>
          </w:p>
        </w:tc>
        <w:tc>
          <w:tcPr>
            <w:tcW w:w="24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10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32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expected to vest at June 30, 2024</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310,675</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20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June 30,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103,834</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-548005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-548005</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-205105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-187960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-205105</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-187960</wp:posOffset>
            </wp:positionV>
            <wp:extent cx="603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-205105</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-187960</wp:posOffset>
            </wp:positionV>
            <wp:extent cx="603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-205105</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jc w:val="both"/>
        <w:ind w:left="520"/>
        <w:spacing w:after="0" w:line="312" w:lineRule="auto"/>
        <w:rPr>
          <w:sz w:val="20"/>
          <w:szCs w:val="20"/>
          <w:color w:val="auto"/>
        </w:rPr>
      </w:pPr>
      <w:r>
        <w:rPr>
          <w:rFonts w:ascii="Times New Roman" w:cs="Times New Roman" w:eastAsia="Times New Roman" w:hAnsi="Times New Roman"/>
          <w:sz w:val="17"/>
          <w:szCs w:val="17"/>
          <w:color w:val="auto"/>
        </w:rPr>
        <w:t>As of June 30, 2024, the total compensation cost related to non-vested stock options not yet recognized for all the Company’s plans is approximately $0.7 million, which is expected to be recognized as a result of vesting under service conditions over a weighted average period of 2.3 years.</w:t>
      </w:r>
    </w:p>
    <w:p>
      <w:pPr>
        <w:spacing w:after="0" w:line="17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Amendment and Restatement of Series A Warrants and Series B Warrants</w:t>
      </w:r>
    </w:p>
    <w:p>
      <w:pPr>
        <w:spacing w:after="0" w:line="227" w:lineRule="exact"/>
        <w:rPr>
          <w:sz w:val="20"/>
          <w:szCs w:val="20"/>
          <w:color w:val="auto"/>
        </w:rPr>
      </w:pPr>
    </w:p>
    <w:p>
      <w:pPr>
        <w:jc w:val="both"/>
        <w:ind w:left="520"/>
        <w:spacing w:after="0" w:line="254" w:lineRule="auto"/>
        <w:rPr>
          <w:sz w:val="20"/>
          <w:szCs w:val="20"/>
          <w:color w:val="auto"/>
        </w:rPr>
      </w:pPr>
      <w:r>
        <w:rPr>
          <w:rFonts w:ascii="Times New Roman" w:cs="Times New Roman" w:eastAsia="Times New Roman" w:hAnsi="Times New Roman"/>
          <w:sz w:val="18"/>
          <w:szCs w:val="18"/>
          <w:color w:val="auto"/>
        </w:rPr>
        <w:t>On August 9, 2024, the Company amended and restated the Series A Warrants and Series B Warrants (the “Amendment and Restatements”) issued in the May 2024 Private Placement. As described in Note 12 above, when originally issued, if a holder of a Series A Warrant or a Series B Warrant was unable to exercise the warrant due to the limitation contained in the Series A Warrants and Series B Warrants that restricted the holder from owning above a specified beneficial ownership level (generally 4.99% or 9.99%) as the result of exercise of the Series A Warrants and Series B Warrants, then the Series A Warrants and Series B Warrants holder could elect upon exercise of the Series A Warrants and Series B Warrants to receive a pre-funded warrant for the same number of shares of common stock that would otherwise have been received upon exercise of the Series A Warrants and Series B Warrants. The Series A Warrants and Series B Warrants Amendment and Restatements eliminated the ability of the holder to elect to purchase pre-funded warrants in lieu of the Series A Warrants and Series B Warrants.</w:t>
      </w:r>
    </w:p>
    <w:p>
      <w:pPr>
        <w:spacing w:after="0" w:line="219"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In addition, the Amendment and Restatements eliminated the Company’s call right under the terms of the Series A Warrants to call the Series A Warrants after June 24, 2025, if the volume-weighted average price of the common stock exceeded specified prices. There were no other changes in the terms of the Series A Warrants and Series B Warrants.</w:t>
      </w:r>
    </w:p>
    <w:p>
      <w:pPr>
        <w:spacing w:after="0" w:line="176"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As a result of the Amendment and Restatements, the Series A Warrants and Series B Warrants, as amended, will no longer fail the indexation guidance under ASC 815, Derivatives and Hedging, and the balance of the warrant liability at the amendment date will be reclassified to equity.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unaudited financial information and the notes thereto included herein, as well as the “Management’s Discussion and Analysis of Financial Condition and Results of Operations” and our audited financial statements and notes thereto contained in our Annual Report on Form 10-K for the year ended December 31, 2023, as filed on March 5, 2024. This discussion contains forward-looking statements that involve risks and uncertainties. Our actual results and the timing of selected events could differ materially from those anticipated in these forward-looking statements as a result of several factors, including those set forth under the caption “Cautionary Note Regarding Forward-Looking Statements” in this quarterly report on Form 10-Q, as well as under “Part I – Item 1A - Risk Factors” in our Annual Report on Form 10-K for the year ended December 31, 2023, in other subsequent filings with the Securities and Exchange Commission, and elsewhere in this quarterly report on Form 10-Q. These statements, like all statements in this quarterly report on Form 10-Q, speak only as of the date of this quarterly report on Form 10-Q (unless another date is indicated), and the Company undertakes no obligation to update or revise these statements in light of future developments.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or MD&amp;A, includes the following sections:</w:t>
      </w:r>
    </w:p>
    <w:p>
      <w:pPr>
        <w:spacing w:after="0" w:line="117" w:lineRule="exact"/>
        <w:rPr>
          <w:sz w:val="20"/>
          <w:szCs w:val="20"/>
          <w:color w:val="auto"/>
        </w:rPr>
      </w:pPr>
    </w:p>
    <w:p>
      <w:pPr>
        <w:ind w:left="880" w:right="3680"/>
        <w:spacing w:after="0" w:line="397" w:lineRule="auto"/>
        <w:rPr>
          <w:sz w:val="20"/>
          <w:szCs w:val="20"/>
          <w:color w:val="auto"/>
        </w:rPr>
      </w:pPr>
      <w:r>
        <w:rPr>
          <w:rFonts w:ascii="Times New Roman" w:cs="Times New Roman" w:eastAsia="Times New Roman" w:hAnsi="Times New Roman"/>
          <w:sz w:val="17"/>
          <w:szCs w:val="17"/>
          <w:color w:val="auto"/>
        </w:rPr>
        <w:t>Overview that discusses our operating results and some of the trends that affect our business. Results of Operations that includes a more detailed discussion of our revenue and expenses.</w:t>
      </w:r>
    </w:p>
    <w:p>
      <w:pPr>
        <w:spacing w:after="0" w:line="1" w:lineRule="exact"/>
        <w:rPr>
          <w:sz w:val="20"/>
          <w:szCs w:val="20"/>
          <w:color w:val="auto"/>
        </w:rPr>
      </w:pPr>
    </w:p>
    <w:p>
      <w:pPr>
        <w:ind w:left="900" w:hanging="15"/>
        <w:spacing w:after="0" w:line="282" w:lineRule="auto"/>
        <w:rPr>
          <w:sz w:val="20"/>
          <w:szCs w:val="20"/>
          <w:color w:val="auto"/>
        </w:rPr>
      </w:pPr>
      <w:r>
        <w:rPr>
          <w:rFonts w:ascii="Times New Roman" w:cs="Times New Roman" w:eastAsia="Times New Roman" w:hAnsi="Times New Roman"/>
          <w:sz w:val="18"/>
          <w:szCs w:val="18"/>
          <w:color w:val="auto"/>
        </w:rPr>
        <w:t>Liquidity and Capital Resources that discusses key aspects of our statements of cash flows, changes in our financial position and our financial commitments.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Plus Therapeutics is a U.S. pharmaceutical company developing targeted radiotherapeutics with advanced platform technologies for central nervous system (“CNS”) cancers. Our novel radioactive drug formulations and medical devices and therapeutic candidates are designed to deliver safe and effective doses of radiation to tumors. To achieve this, we have developed innovative approaches to drug formulation, including encapsulating radionuclides such as rhenium isotopes with nanoliposomes and microspheres. Our formulations are intended to achieve elevated patient absorbed radiation doses and extend retention times such that the clearance of the isotope occurs after significant and essentially complete radiation decay, which will contribute and provide less normal tissue/organ exposure and improved safety margins.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Traditional approaches to radiation therapy for cancer, such as external beam radiation, have many disadvantages including continuous treatment for four to six weeks (which is onerous for patients), that the radiation damages healthy cells and tissue, and that the amount of radiation delivered is very limited and, therefore, is frequently inadequate to fully destroy the cancer.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targeted radiotherapeutic platform and unique investigational drugs have the potential to overcome these disadvantages by directing higher, more powerful radiation doses at the tumor—and only the tumor—potentially in a single treatment. By minimizing radiation exposure to healthy tissues while simultaneously maximizing locoregional delivery and, thereby, efficacy, we hope to reduce the radiation toxicity for patients, improving their quality of life and life expectancy. Our radiotherapeutic platform, combined with advances in surgery, nuclear medicine, interventional radiology, and radiation oncology, affords us the opportunity to target a broad variety of cancer types.</w:t>
      </w:r>
    </w:p>
    <w:p>
      <w:pPr>
        <w:spacing w:after="0" w:line="190"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Our lead radiotherapeutic candidate,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designed specifically for CNS cancers including recurrent glioblastoma (“GBM”), leptomeningeal metastases (“LM”), and pediatric brain cancers (“PBC”) by direct localized delivery utilizing approved standard-of-care tissue access such as with convection-enhanced delivery (“CED”) and intraventricular brain (Ommaya reservoir) catheters. Our acquired radiotherapeutic candidate, Rhenium-188 NanoLiposome Biodegradable Alginate Microsphere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is designed to treat many solid organ cancers including primary and secondary liver cancers by intra-arterial injection.</w:t>
      </w:r>
    </w:p>
    <w:p>
      <w:pPr>
        <w:spacing w:after="0" w:line="209"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Recently, we acquired the CNSide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cerebrospinal fluid cancer diagnostic portfolio from Biocept which is currently utilized in the CPRIT-funded ReSPECT-LM clinical trial. We are currently evaluating and developing our business plan for developing the CNSide diagnostic portfolio alongside our lead radiotherapeutic candidate, rhenium (</w:t>
      </w:r>
      <w:r>
        <w:rPr>
          <w:rFonts w:ascii="Times New Roman" w:cs="Times New Roman" w:eastAsia="Times New Roman" w:hAnsi="Times New Roman"/>
          <w:sz w:val="11"/>
          <w:szCs w:val="11"/>
          <w:color w:val="auto"/>
        </w:rPr>
        <w:t>186</w:t>
      </w:r>
      <w:r>
        <w:rPr>
          <w:rFonts w:ascii="Times New Roman" w:cs="Times New Roman" w:eastAsia="Times New Roman" w:hAnsi="Times New Roman"/>
          <w:sz w:val="18"/>
          <w:szCs w:val="18"/>
          <w:color w:val="auto"/>
        </w:rPr>
        <w:t>Re) obisbemeda, and seeking partnering opportunities for the CNSide IP (as defined below). The CNSide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(as defined below) is on track for commercial launch as soon as the fourth quarter of 2024.</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headquarters and manufacturing facilities are in Texas and are in proximity to world-class cancer institutions and researchers. Our dedicated team of engineers, physicians, scientists, and other professionals are committed to advancing our targeted radiotherapeutic technology for the benefit of cancer patients and healthcare providers worldwide and our current pipeline is focused on treating rare and difficult-to-treat cancers with significant unmet medical needs.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9" w:name="page20"/>
    <w:bookmarkEnd w:id="19"/>
    <w:p>
      <w:pPr>
        <w:jc w:val="both"/>
        <w:spacing w:after="0" w:line="230" w:lineRule="auto"/>
        <w:rPr>
          <w:sz w:val="20"/>
          <w:szCs w:val="20"/>
          <w:color w:val="auto"/>
        </w:rPr>
      </w:pPr>
      <w:r>
        <w:rPr>
          <w:rFonts w:ascii="Times New Roman" w:cs="Times New Roman" w:eastAsia="Times New Roman" w:hAnsi="Times New Roman"/>
          <w:sz w:val="18"/>
          <w:szCs w:val="18"/>
          <w:color w:val="auto"/>
        </w:rPr>
        <w:t>In addition to our headquarters in Austin, we have an established, good manufacturing practice validated research and development and manufacturing facility in San Antonio, Texas, tailored to produce Current Good Manufacturing Practice (“cGMP”)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We have built a robust supply chain through strategic partnerships that enable the development, manufacturing and future potential commercialization of our products. Our current supply chain and key partners are positioned to supply cGMP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ongoing and planned Phase 2 and Phase 3 clinical trials in patients with GBM, LM and PBC.</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Pipeline</w:t>
      </w:r>
    </w:p>
    <w:p>
      <w:pPr>
        <w:spacing w:after="0" w:line="168"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Our most advanced investigational drug,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a patented radiotherapy potentially useful for patients with CNS and other cancers. Preclinical study data describing the use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several cancer targets have been published in peer-reviewed journals and reported at a variety of medical society peer-reviewed meetings. Besides GBM, LM and PBC,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has been reported to have potential applications for head and neck cancer, ovarian cancer, breast cancer and peritoneal metastases.</w:t>
      </w:r>
    </w:p>
    <w:p>
      <w:pPr>
        <w:spacing w:after="0" w:line="20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technology was part of a licensed radiotherapeutic portfolio that we acquired from NanoTx, Corp. (“NanoTx”) on May 7, 2020. The licensed radiotherapeutic has been evaluated in preclinical studies for several cancer targets and we have an active $3.0 million award from U.S. National Institutes of Health/National Cancer Institute which is expected to provide financial support for the continued clinical development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recurrent GBM through the completion of a Phase 2 clinical trial, including enrollment of up to 55 patients.</w:t>
      </w:r>
    </w:p>
    <w:p>
      <w:pPr>
        <w:spacing w:after="0" w:line="12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On August 29, 2022, we announced feedback from a Type C meeting with the U.S. Food and Drug Administration (“FDA”) regarding Chemistry, Manufacturing and Controls practices. The meeting focused on our cGMP clinical and commercial manufacturing process for our lead investigational targeted radiotherapeutic, BMEDA-chelated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recurrent GBM.</w:t>
      </w:r>
    </w:p>
    <w:p>
      <w:pPr>
        <w:spacing w:after="0" w:line="9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The FDA indicated agreement with our proposed application of cGMP guidance for radiotherapeutics, small molecule drug products and liposome drug products for our novel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in support of ongoing and future GBM clinical trials, manufacturing scale up, and commercialization. Alignment with the FDA includes support of our proposed controls and release strategy for new drug substance and new drug product. Because this product is identical for recurrent GBM, LM, and PBC, we believe alignment will be consistent for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used in other clinical development programs, including LM and PBC.</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Rhenium (</w:t>
      </w:r>
      <w:r>
        <w:rPr>
          <w:rFonts w:ascii="Times New Roman" w:cs="Times New Roman" w:eastAsia="Times New Roman" w:hAnsi="Times New Roman"/>
          <w:sz w:val="24"/>
          <w:szCs w:val="24"/>
          <w:i w:val="1"/>
          <w:iCs w:val="1"/>
          <w:color w:val="auto"/>
          <w:vertAlign w:val="superscript"/>
        </w:rPr>
        <w:t>186</w:t>
      </w:r>
      <w:r>
        <w:rPr>
          <w:rFonts w:ascii="Times New Roman" w:cs="Times New Roman" w:eastAsia="Times New Roman" w:hAnsi="Times New Roman"/>
          <w:sz w:val="18"/>
          <w:szCs w:val="18"/>
          <w:i w:val="1"/>
          <w:iCs w:val="1"/>
          <w:color w:val="auto"/>
        </w:rPr>
        <w:t>Re) obisbemeda versus External Beam Radiation Therapy for Recurrent GBM</w:t>
      </w:r>
    </w:p>
    <w:p>
      <w:pPr>
        <w:spacing w:after="0" w:line="17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Rhenium (</w:t>
      </w:r>
      <w:r>
        <w:rPr>
          <w:rFonts w:ascii="Times New Roman" w:cs="Times New Roman" w:eastAsia="Times New Roman" w:hAnsi="Times New Roman"/>
          <w:sz w:val="23"/>
          <w:szCs w:val="23"/>
          <w:color w:val="auto"/>
          <w:vertAlign w:val="superscript"/>
        </w:rPr>
        <w:t>186</w:t>
      </w:r>
      <w:r>
        <w:rPr>
          <w:rFonts w:ascii="Times New Roman" w:cs="Times New Roman" w:eastAsia="Times New Roman" w:hAnsi="Times New Roman"/>
          <w:sz w:val="17"/>
          <w:szCs w:val="17"/>
          <w:color w:val="auto"/>
        </w:rPr>
        <w:t>Re) obisbemeda is a novel injectable radiotherapy designed to deliver targeted, high dose radiation directly into GBM tumors in a safe, effective, and convenient manner that may ultimately prolong patient survival. Rhenium (</w:t>
      </w:r>
      <w:r>
        <w:rPr>
          <w:rFonts w:ascii="Times New Roman" w:cs="Times New Roman" w:eastAsia="Times New Roman" w:hAnsi="Times New Roman"/>
          <w:sz w:val="23"/>
          <w:szCs w:val="23"/>
          <w:color w:val="auto"/>
          <w:vertAlign w:val="superscript"/>
        </w:rPr>
        <w:t>186</w:t>
      </w:r>
      <w:r>
        <w:rPr>
          <w:rFonts w:ascii="Times New Roman" w:cs="Times New Roman" w:eastAsia="Times New Roman" w:hAnsi="Times New Roman"/>
          <w:sz w:val="17"/>
          <w:szCs w:val="17"/>
          <w:color w:val="auto"/>
        </w:rPr>
        <w:t>Re) obisbemeda is composed of the radionuclide Rhenium-186 and a nanoliposomal carrier, and is infused in a highly targeted, controlled fashion, directly into the tumor via precision brain mapping and CED catheters. Potential benefits of rhenium (</w:t>
      </w:r>
      <w:r>
        <w:rPr>
          <w:rFonts w:ascii="Times New Roman" w:cs="Times New Roman" w:eastAsia="Times New Roman" w:hAnsi="Times New Roman"/>
          <w:sz w:val="23"/>
          <w:szCs w:val="23"/>
          <w:color w:val="auto"/>
          <w:vertAlign w:val="superscript"/>
        </w:rPr>
        <w:t>186</w:t>
      </w:r>
      <w:r>
        <w:rPr>
          <w:rFonts w:ascii="Times New Roman" w:cs="Times New Roman" w:eastAsia="Times New Roman" w:hAnsi="Times New Roman"/>
          <w:sz w:val="17"/>
          <w:szCs w:val="17"/>
          <w:color w:val="auto"/>
        </w:rPr>
        <w:t>Re) obisbemeda compared to standard external beam radiotherapy or external beam radiation therapy (“EBRT”) include:</w:t>
      </w:r>
    </w:p>
    <w:p>
      <w:pPr>
        <w:spacing w:after="0" w:line="24" w:lineRule="exact"/>
        <w:rPr>
          <w:sz w:val="20"/>
          <w:szCs w:val="20"/>
          <w:color w:val="auto"/>
        </w:rPr>
      </w:pPr>
    </w:p>
    <w:p>
      <w:pPr>
        <w:ind w:left="1020" w:hanging="503"/>
        <w:spacing w:after="0" w:line="233"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radiation dose delivered to patients may be up to 20 times greater than what is possible with commonly used EBRT, which, unlike EBRT and proton beam devices, spares normal tissue and the brain from radiation exposure.</w:t>
      </w:r>
    </w:p>
    <w:p>
      <w:pPr>
        <w:spacing w:after="0" w:line="98" w:lineRule="exact"/>
        <w:rPr>
          <w:rFonts w:ascii="Times New Roman" w:cs="Times New Roman" w:eastAsia="Times New Roman" w:hAnsi="Times New Roman"/>
          <w:sz w:val="18"/>
          <w:szCs w:val="18"/>
          <w:color w:val="auto"/>
        </w:rPr>
      </w:pPr>
    </w:p>
    <w:p>
      <w:pPr>
        <w:ind w:left="1020" w:right="20" w:hanging="503"/>
        <w:spacing w:after="0" w:line="233"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can be visualized in real-time during administration, possibly giving clinicians better control of radiation dosing, distribution and retention.</w:t>
      </w:r>
    </w:p>
    <w:p>
      <w:pPr>
        <w:spacing w:after="0" w:line="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Rhenium (</w:t>
      </w:r>
      <w:r>
        <w:rPr>
          <w:rFonts w:ascii="Times New Roman" w:cs="Times New Roman" w:eastAsia="Times New Roman" w:hAnsi="Times New Roman"/>
          <w:sz w:val="23"/>
          <w:szCs w:val="23"/>
          <w:color w:val="auto"/>
          <w:vertAlign w:val="superscript"/>
        </w:rPr>
        <w:t>186</w:t>
      </w:r>
      <w:r>
        <w:rPr>
          <w:rFonts w:ascii="Times New Roman" w:cs="Times New Roman" w:eastAsia="Times New Roman" w:hAnsi="Times New Roman"/>
          <w:sz w:val="17"/>
          <w:szCs w:val="17"/>
          <w:color w:val="auto"/>
        </w:rPr>
        <w:t>Re) obisbemeda potentially more effectively treats a bulk tumor and microscopic disease that has already invaded healthy tissue.</w:t>
      </w:r>
    </w:p>
    <w:p>
      <w:pPr>
        <w:spacing w:after="0" w:line="86" w:lineRule="exact"/>
        <w:rPr>
          <w:rFonts w:ascii="Times New Roman" w:cs="Times New Roman" w:eastAsia="Times New Roman" w:hAnsi="Times New Roman"/>
          <w:sz w:val="17"/>
          <w:szCs w:val="17"/>
          <w:color w:val="auto"/>
        </w:rPr>
      </w:pPr>
    </w:p>
    <w:p>
      <w:pPr>
        <w:jc w:val="both"/>
        <w:ind w:left="1020" w:hanging="503"/>
        <w:spacing w:after="0" w:line="24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infused directly into the targeted tumor by CED catheter insertion using MRI guided software to avoid critical patient neurological structures and neural pathways and also bypasses the blood brain barrier, which delivers the therapeutic product where it is needed. Importantly, it reduces radiation exposure to healthy cells, in contrast to EBRT, which passes through normal tissue to reach the tumor, continuing its path through the tumor, hence being less targeted and selective.</w:t>
      </w:r>
    </w:p>
    <w:p>
      <w:pPr>
        <w:spacing w:after="0" w:line="98" w:lineRule="exact"/>
        <w:rPr>
          <w:rFonts w:ascii="Times New Roman" w:cs="Times New Roman" w:eastAsia="Times New Roman" w:hAnsi="Times New Roman"/>
          <w:sz w:val="18"/>
          <w:szCs w:val="18"/>
          <w:color w:val="auto"/>
        </w:rPr>
      </w:pPr>
    </w:p>
    <w:p>
      <w:pPr>
        <w:ind w:left="1020" w:hanging="503"/>
        <w:spacing w:after="0" w:line="233"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given during a single, short, in-patient hospital visit, and is available in all hospitals with nuclear medicine and neurosurgery, while EBRT requires out-patient visits five days a week for approximately four to six weeks.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ReSPECT-GBM Trial for Recurrent GBM</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0" w:name="page21"/>
    <w:bookmarkEnd w:id="20"/>
    <w:p>
      <w:pPr>
        <w:jc w:val="both"/>
        <w:spacing w:after="0" w:line="253" w:lineRule="auto"/>
        <w:rPr>
          <w:sz w:val="20"/>
          <w:szCs w:val="20"/>
          <w:color w:val="auto"/>
        </w:rPr>
      </w:pPr>
      <w:r>
        <w:rPr>
          <w:rFonts w:ascii="Times New Roman" w:cs="Times New Roman" w:eastAsia="Times New Roman" w:hAnsi="Times New Roman"/>
          <w:sz w:val="18"/>
          <w:szCs w:val="18"/>
          <w:color w:val="auto"/>
        </w:rPr>
        <w:t>Recurrent GBM is the most common, complex, and aggressive primary brain cancer in adults. In the U.S., there are approximately 13,000 GBM cases diagnosed and approximately 10,000 patients succumb to the disease each year. The average length of overall survival (“OS”) for GBM patients is eight months, with a one-year survival rate of 40.8% and a five-year survival rate of only 6.8% and these estimates vary and are lower in some publications. GBM routinely presents with headaches, seizures, vision changes and other significant neurological complications, with a significant compromise in quality of life. Despite the best available medical treatments, the disease remains incurable. Even after efforts to manage the presenting signs and symptoms and completely resect the initial brain tumor, some microscopic disease almost always remains and tumor regrowth occurs within months. Approximately 90% or more of patients with primary GBM experience tumor recurrence. Complete surgical removal of GBM is usually not possible and GBM is often resistant or quickly develops resistance to most available current and investigational therapies. Even today, the treatment of GBM remains a significant challenge and it has been nearly a decade since the FDA approved a new therapy for this disease, and these more recent approvals have not improved GBM patients OS over past decades, and a significant unmet medical need persists.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recurrent GBM, there are few currently approved treatments, which in the aggregate, provide only marginal survival benefit. Furthermore, these therapies are associated with significant side effects, which limit dosing and prolonged use.</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While EBRT has been shown to be safe and has temporary efficacy in many malignancies including GBM, typically at absorbed, fractionated radiation dose of ~30 Gray in GBM, this maximum possible administered dose is always limited by toxicity to the normal tissues surrounding the malignancy and because EBRT requires fractionation to manage toxicity and maximum EBRT limits are typically reached before long-term efficacy reached. Because of this limitation, EBRT cannot provide a cure or long term control of GBM and GBM always recurs within months after EBRT. In contrast, locally delivered and targeted radiopharmaceuticals that precisely deliver radiation in the form of beta particles such as Iodine-131 for thyroid cancer, are known to be safe and effective and minimize exposure to normal cells and tissues especially with optimal administered dose and minimizing exposure to normal tissue. The locally delivered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designed for and provides patient tolerability and safety. Though no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head-to-head trial with chemo, immune, EBRT or systemic radiopharmaceutical products have been conducted, patient tolerability and safety considerations have been reported as expected.</w:t>
      </w:r>
    </w:p>
    <w:p>
      <w:pPr>
        <w:spacing w:after="0" w:line="19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Interim results from our ongoing Phase 1/2a ReSPECT-GBM trial (ClinicalTrials.gov NCT01906385) show that the beta particle energy from our lead investigational drug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has provided preliminary positive data and utility in treating GBM and potential other malignancies. More specifically, the preliminary data from our Phase 1/2a ReSPECT-GBM trial suggests that radiation, in the form of high energy beta particles or electrons, can be effective against GBM. Thus far, we have been able to deliver up to 740 Gy of absorbed radiation to tumor tissue in humans, without significant or dose limiting toxicities and with what we believe has the capability to go higher if required. In comparison, current EBRT protocols for recurrent GBM typically recommend a total maximum radiation dose of about ~30-35 Gray.</w:t>
      </w:r>
    </w:p>
    <w:p>
      <w:pPr>
        <w:spacing w:after="0" w:line="205"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In September 2020, the FDA granted both Orphan Drug designation and Fast Track designations to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the treatment of patients with GBM.</w:t>
      </w:r>
    </w:p>
    <w:p>
      <w:pPr>
        <w:spacing w:after="0" w:line="205"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under clinical investigation in a multicenter, sequential cohort, open-label, volume and dose escalation study of the safety, tolerability, and distribution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given by CED catheters to patients with recurrent or progressive malignant glioma after standard surgical, radiation, and/or chemotherapy treatment (NCT01906385). The study uses a standard, modified 3x3 Fibonacci dose escalation, followed by a planned Phase 2 expansion trial at the maximum tolerated dose (“MTD”) / maximum feasible dose (“MFD”) or non-dose limiting toxicity (“DLT”) if MTD is not reached, to determine efficacy. The trial is funded through Phase 2 in large part by a National Institute of Health/National Cancer Institute (“NIH/NCI”) grant. These investigations have not reached DLT or MTD/MFD and the study is in its eighth dosing administration cohort. Due to the observation of a preliminary efficacy signal, we have initiated in parallel a Phase 2, non-DLT dose trial pursuant to the currently funded NIH/NCI grant. This trial will begin at the current non-DLT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dose and will expand exploring higher radiation doses in larger volumes to treat larger tumors. Additionally, two or more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administrations, if indicated, will be evaluated, and reviewed with the FDA, as well as expanded safety, imaging and efficacy data to support a planned future registrational trial.</w:t>
      </w:r>
    </w:p>
    <w:p>
      <w:pPr>
        <w:spacing w:after="0" w:line="2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6, 2022, we announced a summary of our Type C clinical meeting with the FDA that focused on the ReSPECT-GBM trial. The FDA agreed with us that the ReSPECT-GBM clinical trial should proceed to the planned Phase 2. The key focus areas of clinical investigation of the Phase 2 trial will be (1) further dose exploration, including both increased dosing and multiple doses, and (2) collecting additional safety and efficacy data to inform the design of a future registrational trial. Because no DLT administered doses were observed, the FDA and we also agreed to continue to dose cohort eight. There was further agreement with the FDA that in a planned future registrational trial, overall survival should be used as the primary endpoint. We agreed with the FDA to hold future meeting(s) to consider the use of external data to augment the use of a control arm in the registrational trial.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1" w:name="page22"/>
    <w:bookmarkEnd w:id="21"/>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18, 2023, we announced that the first patient was dosed in the ReSPECT-GBM Phase 2b dose expansion clinical trial evaluating rhenium obisbemeda for the treatment of recurrent GBM. The Phase 2b trial is expected to enroll up to 34 total patients with small- to medium-sized tumors and is targeted for full enrollment by the end of 2024. We currently have three clinical sites, with the plan to add additional sites to support the trial, and expect an initial data read-out by the end of 2024.</w:t>
      </w:r>
    </w:p>
    <w:p>
      <w:pPr>
        <w:spacing w:after="0" w:line="18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In June 2023, we presented data regarding the safety and feasibility results from our Phase 1/2 Clinical Trial of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RNL (Rhenium-186 Nanoliposome)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in Recurrent Glioma: The ReSPECT-GBM Trial at the Society of Nuclear Medicine &amp; Molecular Imaging Annual Meeting.</w:t>
      </w:r>
    </w:p>
    <w:p>
      <w:pPr>
        <w:spacing w:after="0" w:line="1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20, 2023, we announced positive data from the ongoing ReSPECT-GBM Phase 2 trial evaluating rhenium (</w:t>
      </w:r>
      <w:r>
        <w:rPr>
          <w:rFonts w:ascii="Times New Roman" w:cs="Times New Roman" w:eastAsia="Times New Roman" w:hAnsi="Times New Roman"/>
          <w:sz w:val="9"/>
          <w:szCs w:val="9"/>
          <w:color w:val="auto"/>
        </w:rPr>
        <w:t>186</w:t>
      </w:r>
      <w:r>
        <w:rPr>
          <w:rFonts w:ascii="Times New Roman" w:cs="Times New Roman" w:eastAsia="Times New Roman" w:hAnsi="Times New Roman"/>
          <w:sz w:val="18"/>
          <w:szCs w:val="18"/>
          <w:color w:val="auto"/>
        </w:rPr>
        <w:t>Re) obisbemeda, for the treatment of recurrent glioblastoma at the Society for NeuroOncology 28th Annual Meeting, which was held November 15-19, 2023 in Vancouver, Canada. Key findings included:</w:t>
      </w:r>
    </w:p>
    <w:p>
      <w:pPr>
        <w:spacing w:after="0" w:line="68" w:lineRule="exact"/>
        <w:rPr>
          <w:sz w:val="20"/>
          <w:szCs w:val="20"/>
          <w:color w:val="auto"/>
        </w:rPr>
      </w:pPr>
    </w:p>
    <w:p>
      <w:pPr>
        <w:ind w:left="1020" w:right="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Median overall survival (mOS) in 15 patients with recurrent glioblastoma (“rGBM”) from the Phase 2 study is 13 months, which is 63% better than current standard of care (bevacizumab monotherapy) of 8 months; 9 of the 15 patients remain alive.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Median progression free survival (mPFS) is 11 months, compared to SOC at 4 months.</w:t>
      </w:r>
    </w:p>
    <w:p>
      <w:pPr>
        <w:spacing w:after="0" w:line="123" w:lineRule="exact"/>
        <w:rPr>
          <w:rFonts w:ascii="Times New Roman" w:cs="Times New Roman" w:eastAsia="Times New Roman" w:hAnsi="Times New Roman"/>
          <w:sz w:val="18"/>
          <w:szCs w:val="18"/>
          <w:color w:val="auto"/>
        </w:rPr>
      </w:pPr>
    </w:p>
    <w:p>
      <w:pPr>
        <w:ind w:left="1020" w:right="20" w:hanging="503"/>
        <w:spacing w:after="0" w:line="233"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continues to demonstrate a favorable safety profile, despite delivering up to 20x the dose of radiation (up to 740 Gy) typically delivered by EBRT for rGBM patients (up to 35 Gy).</w:t>
      </w:r>
    </w:p>
    <w:p>
      <w:pPr>
        <w:spacing w:after="0" w:line="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Imaging data presented by Andrew Brenner, MD, PhD is consistent with the efficacy signal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in rGBM.</w:t>
      </w:r>
    </w:p>
    <w:p>
      <w:pPr>
        <w:spacing w:after="0" w:line="17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On March 31, 2022, we entered into a Sales Order (the “Sales Order”) with Medidata Solutions, Inc. (“Medidata”), pursuant to which Medidata built a Synthetic Control Arm® platform that facilitates the use of historical clinical data to incorporate into our Phase 2 clinical trial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in GBM. The Sales Order had a term of six (6) months. Work under this Sales Order has been completed. As part of this collaboration, we jointly submitted with Medidata a historical clinical trials control arm methodology abstract (“HCA”) to American Society of Clinical Oncology (“ASCO”) which was accepted for publication, further strengthening this collaboration and allowing applications to advance GBM development. We plan to use the HCA for breakthrough therapy designation and Phase 2 and/or a pivotal or registrational Phase 3 trial.</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ReSPECT-LM Clinical Trial for LM</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LM is a rare complication of cancer in which the disease spreads to the membranes (meninges) surrounding the brain and spinal cord. The incidence of LM is growing and occurs in approximately 5%, or more, of people with late-stage cancer, or 110,000 people in the U.S. each year. It is highly lethal with an average one-year survival of just 7%. All solid cancers, particularly breast, lung, GI, and melanoma, have the potential to spread to the leptomeninges.</w:t>
      </w:r>
    </w:p>
    <w:p>
      <w:pPr>
        <w:spacing w:after="0" w:line="17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ReSPECT-LM Phase 1 clinical trial (ClinicalTrials.gov NCT05034497) was preceded with preclinical studies in which tolerance to doses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as high as 1,075 Gy were shown in animal models with LM without significant observed toxicity. Furthermore, treatment led to a marked reduction in tumor burden in both C6 and MDA-231 LM models.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Upon receiving acceptance of our Investigational New Drug application and Fast Track designation by the FDA for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the treatment of LM in November 2021, we initiated the trial and began screening patients for the ReSPECT-LM Phase 1 clinical trial in the fourth quarter of 2021.</w:t>
      </w:r>
    </w:p>
    <w:p>
      <w:pPr>
        <w:spacing w:after="0" w:line="19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ReSPECT-LM is a multi-center, sequential cohort, open-label, dose escalation study evaluating the safety, tolerability, and efficacy of a single-dose application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administered through intrathecal infusion to the ventricle of patients with LM after standard surgical, radiation, and/or chemotherapy treatment. The primary endpoint of the study is the incidence and severity of adverse events and dose limiting toxicities, together with determining the maximum tolerated and recommended Phase 2 dose. Full enrollment in the Phase 1 trial is expected by the end of 2024, with the plan to add additional clinical sites to support the trial.</w:t>
      </w:r>
    </w:p>
    <w:p>
      <w:pPr>
        <w:spacing w:after="0" w:line="19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September 19, 2022, we entered into a Cancer Research Grant Contract (the “CPRIT Contract”), effective as of August 31, 2022, with Cancer Prevention and Research Institute of Texas (“CPRIT”), pursuant to which CPRIT will provide us a grant of up to $17.6 million (the “CPRIT Grant”) over a three-year period to fund the continued development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the treatment of patients with LM through Phase 2 of the ReSPECT LM clinical trial. The CPRIT Grant is subject to customary CPRIT funding conditions, including, but not limited to, a matching fund requirement (one dollar from us for every two dollars awarded by CPRIT), revenue sharing obligations upon commercialization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based on specific dollar thresholds until CPRIT receives the aggregate amount of 400% of the proceeds awarded under the CPRIT Grant, and certain reporting requirements. To date,</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2" w:name="page23"/>
    <w:bookmarkEnd w:id="2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received approximately $7 million in milestone payments under the CPRIT Contract. We anticipate a continuing flow of milestone payments that throughout 2024 will include $6.9 million upon the continued progression of the Phase 2 of the ReSPECT LM clinical trial.</w:t>
      </w:r>
    </w:p>
    <w:p>
      <w:pPr>
        <w:spacing w:after="0" w:line="16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Interim results showed that a single treatment with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resulted in a consistent decreased cerebrospinal fluid (“CSF”) tumor cell count/ml and was tolerated by all LM patients.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an outpatient administration and treatment and is easily and safely administered through a standard intraventricular catheter (Ommaya Reservoir), distributed promptly throughout the CSF, and with durable retention in the leptomeninges at least through day seven. All patients have shown well tolerated prompt and durable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distribution throughout the subarachnoid space. On March 11, 2024, we announced we had completed Cohort 5 of the ReSPECT-LM Phase 1/2a dose escalation trial.</w:t>
      </w:r>
    </w:p>
    <w:p>
      <w:pPr>
        <w:spacing w:after="0" w:line="2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 total of 25 patients have received a single-dose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in the ReSPECT-LM trial as of July 29, 2024. There have been no dose limiting toxicities observed to date with administered radiation doses up to 66.14 millicuries in Cohort 5, a ten-fold increase over Cohort 1. We plan to initiate dosing in Cohort 6 in the second quarter of 2024, pending Data Safety Monitoring Board (DSMB) approval. In addition, five new clinical trial sites were added to this trial over the last year, bringing the total number of sites to seven. We are planning a new multiple dosing ReSPECT-LM clinical trial in late 2024 or early 2025.</w:t>
      </w:r>
    </w:p>
    <w:p>
      <w:pPr>
        <w:spacing w:after="0" w:line="206" w:lineRule="exact"/>
        <w:rPr>
          <w:sz w:val="20"/>
          <w:szCs w:val="20"/>
          <w:color w:val="auto"/>
        </w:rPr>
      </w:pPr>
    </w:p>
    <w:p>
      <w:pPr>
        <w:jc w:val="both"/>
        <w:ind w:right="20"/>
        <w:spacing w:after="0" w:line="227" w:lineRule="auto"/>
        <w:rPr>
          <w:sz w:val="20"/>
          <w:szCs w:val="20"/>
          <w:color w:val="auto"/>
        </w:rPr>
      </w:pPr>
      <w:r>
        <w:rPr>
          <w:rFonts w:ascii="Times New Roman" w:cs="Times New Roman" w:eastAsia="Times New Roman" w:hAnsi="Times New Roman"/>
          <w:sz w:val="18"/>
          <w:szCs w:val="18"/>
          <w:color w:val="auto"/>
        </w:rPr>
        <w:t>On August 10, 2023, we presented data from the ReSPECT-LM clinical trial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obismeda at the Society for Neuro Oncology ASCO CNS Cancer Conference.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November 2023, the FDA granted Orphan Drug designation to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the treatment of patients with breast cancer with LM.</w:t>
      </w:r>
    </w:p>
    <w:p>
      <w:pPr>
        <w:spacing w:after="0" w:line="16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December 12, 2023, we announced our partnership with K2bio to implement novel analysis for CSF tumor and molecular biomarkers for CNS cancers. Initial clinical specimen processing and testing began in the first quarter 2024 in our ongoing Phase 1 ReSPECT-LM trial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in patients with LM.</w:t>
      </w:r>
    </w:p>
    <w:p>
      <w:pPr>
        <w:spacing w:after="0" w:line="1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mid-June 2024, we presented updated data from our Phase 1 ReSPECT-LM trial at the annual meeting of Society of Nuclear Medicine &amp; Molecular Imaging (SNMMI) conference.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ReSPECT-PBC Clinical Trial for Pediatric Brain Cancer</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average annual age adjusted mortality rate for children aged 0-14 for malignant brain (and other CNS) tumors is 0.71/100,000, making it the most common cause of death and cancer death in this age group. The 2021 World Health Organization Classification of CNS Tumors classifies gliomas, glioneuronal tumors, and neuronal tumors into six different families: (1) adult-type diffuse gliomas; (2) pediatric-type diffuse low-grade gliomas; (3) pediatric-type diffuse high-grade gliomas (“HGG”); (4) circumscribed astrocytic gliomas; (5) glioneuronal and neuronal tumors; and (6) ependymomas.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2021, we announced plans for treating pediatric brain cancer at the 2021 American Association of Neurological Surgeons Annual Scientific Meeting. In July 2021, we reported that we had received FDA feedback pertaining to a pre-IND meeting briefing package in which the FDA stated that we are not required to perform any additional preclinical or toxicology studies.</w:t>
      </w:r>
    </w:p>
    <w:p>
      <w:pPr>
        <w:spacing w:after="0" w:line="18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Given the initial FDA feedback, receipt of adult GBM data and experience with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and follow-up communications with the FDA, we plan to submit a pediatric brain tumor IND to investigate the use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in two pediatric brain cancers, high-grade glioma and ependymoma, by the third quarter of 2024.</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Pediatric high-grade gliomas can be found almost anywhere within the CNS; however, they are most commonly found within the supratentorium. The highest incidence of supratentorial, high-grade gliomas in pediatrics appears to occur in children aged 15 to 19 years, with a median age of approximately nine years. Overall, pediatric high-grade glioma confers a three-year progression free survival (“PFS”) of 11 ± 3% and three-year OS of 22% ±5%. One-year PFS is as low as 40% in recent trials. Ependymomas are slow-growing central nervous system tumors that involve the ventricular system. Diagnosis is based on MRI and biopsy and survival rate depends on tumor grade and how much of the tumor can be removed. Grade II pathology was associated with significantly improved OS compared to Grade III (anaplastic) pathology (five-year OS = 71 ± 5% vs. 57 ± 10%; p = 0.026). Gross total resection compared to subtotal resection was associated with significantly improved OS (five-year OS = 75 ± 5% vs. 54 ± 8%; p = 0.002).</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Overall, pediatric HGG and ependymoma are extremely difficult-to-treat pediatric brain tumors, frequently aggressive, and in recurrent settings, carry an extremely poor prognosis.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Rhenium-188 NanoLiposome Biodegradable Alginate Microsphere Technology</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3" w:name="page24"/>
    <w:bookmarkEnd w:id="23"/>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In January 2022, we announced that we licensed Biodegradable Alginate Microsphere (“BAM”) patents and technology from The University of Texas Health Science Center at San Antonio (“UTHSCSA”) to expand our tumor targeting capabilities and precision radiotherapeutics pipeline. We intend to combine our Rhenium NanoLiposome technology with the BAM technology to create a novel radioembolization technology. Initially, we intend to utilize the Rhenium-188 isotope, </w:t>
      </w:r>
      <w:r>
        <w:rPr>
          <w:rFonts w:ascii="Times New Roman" w:cs="Times New Roman" w:eastAsia="Times New Roman" w:hAnsi="Times New Roman"/>
          <w:sz w:val="20"/>
          <w:szCs w:val="20"/>
          <w:color w:val="auto"/>
          <w:vertAlign w:val="superscript"/>
        </w:rPr>
        <w:t>188</w:t>
      </w:r>
      <w:r>
        <w:rPr>
          <w:rFonts w:ascii="Times New Roman" w:cs="Times New Roman" w:eastAsia="Times New Roman" w:hAnsi="Times New Roman"/>
          <w:sz w:val="18"/>
          <w:szCs w:val="18"/>
          <w:color w:val="auto"/>
        </w:rPr>
        <w:t>RNL-BAM for the intra-arterial embolization and local delivery of a high dose of targeted radiation for a variety of solid organ cancers such as hepatocellular cancer, hepatic metastases, pancreatic cancer and many others.</w:t>
      </w:r>
    </w:p>
    <w:p>
      <w:pPr>
        <w:spacing w:after="0" w:line="19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 xml:space="preserve">Preclinical data from an ex vivo embolization experiment in which Technetium99m-BAM was intra-arterially delivered to a bovine kidney perfusion model was presented at Society of Interventional Radiology Annual Scientific Meeting. The study concluded that the technology required for radiolabeling BAM could successfully deliver, embolize and retain radiation in the target organ.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 xml:space="preserve">RNL-BAM is a preclinical investigational device we intend to further develop and move into clinical trials. Specifically, in 2022 we transferred the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technology from UTHSCSA, and began planning to develop the product and complete early preclinical studies to support a future FDA IND submission. Our intended initial clinical target is liver cancer which is the sixth most common and third deadliest cancer worldwide. It is a rare disease with increasing U.S. annual incidence (42,000) and deaths (30,000).</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FDA Feedback Regarding BAM technologies, including </w:t>
      </w:r>
      <w:r>
        <w:rPr>
          <w:rFonts w:ascii="Times New Roman" w:cs="Times New Roman" w:eastAsia="Times New Roman" w:hAnsi="Times New Roman"/>
          <w:sz w:val="24"/>
          <w:szCs w:val="24"/>
          <w:i w:val="1"/>
          <w:iCs w:val="1"/>
          <w:color w:val="auto"/>
          <w:vertAlign w:val="superscript"/>
        </w:rPr>
        <w:t>188</w:t>
      </w:r>
      <w:r>
        <w:rPr>
          <w:rFonts w:ascii="Times New Roman" w:cs="Times New Roman" w:eastAsia="Times New Roman" w:hAnsi="Times New Roman"/>
          <w:sz w:val="18"/>
          <w:szCs w:val="18"/>
          <w:i w:val="1"/>
          <w:iCs w:val="1"/>
          <w:color w:val="auto"/>
        </w:rPr>
        <w:t>RNL-BAM</w:t>
      </w:r>
    </w:p>
    <w:p>
      <w:pPr>
        <w:spacing w:after="0" w:line="17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 xml:space="preserve">On July 26, 2023, the FDA responded to a Pre-IND submission that the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product under development would likely be subject to regulation as a medical device under theFederal Food, Drug, and Cosmetic Act (the “FDCA”), rather than as a drug product.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2024 Private Placement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Liquidity and Capital Resources section below for details on the closing of the May 2024 Private Placement.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Biocept Asset Purchase</w:t>
      </w:r>
    </w:p>
    <w:p>
      <w:pPr>
        <w:spacing w:after="0" w:line="11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September 7, 2023, we entered into a Non-Exclusive License and Services Agreement with Biocept, Inc (“Biocept”), pursuant to which Biocept granted us a non-exclusive license to use the Biocept proprietary cell enumeration test, CNside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(the “CNSide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On October 16, 2023, Biocept filed a voluntary petition for relief under the provisions of Chapter 7 of Title 11 of the United States Bankruptcy Code.</w:t>
      </w:r>
    </w:p>
    <w:p>
      <w:pPr>
        <w:spacing w:after="0" w:line="3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April 26, 2024, we acquired from Biocept, for a total cash payment of $400,000, substantially all of the right, title and interest in the CNSide IP, including (i) intellectual property, (ii) inventory and raw materials, and (iii) data, information, results and reports pertaining to the completed and on-going clinical studies involving the use of CNSide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(including, but not limited to, the FORSEE clinical study), related to the development, making, selling, and exporting or importing of the CNSide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after having its bid accepted by the United States Bankruptcy Court for the District of Delaware.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Department of Defense Grant</w:t>
      </w:r>
    </w:p>
    <w:p>
      <w:pPr>
        <w:spacing w:after="0" w:line="22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On April 22, 2024, we were selected by the Department of Defense (“DoD”) office of the Congressionally Directed Medical Research Programs (CDMRP) to receive a $3 million fund for research and development purposes (“DoD Award”). Transfers of funds under the DoD Award are expected to commence in the third quarter of 2024, pending execution of formal agreements, in order to support the planned expansion of our clinical trial for pediatric brain cancer.</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Financings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“Liquidity and Capital Resources” heading below for information on our recent financings.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 Revenue</w:t>
      </w:r>
    </w:p>
    <w:p>
      <w:pPr>
        <w:spacing w:after="0" w:line="22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recognized $1.3 million and $1.9 million, and $3.0 million and $2.4 million of grant revenue during the three and six months ended June 30, 2024 and 2023, respectively, which represents CPRIT’s share of the costs incurred for our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development for the treatment of patients with LM.</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include costs associated with the design, development, testing, and enhancement of our product candidates, payment of regulatory fees, laboratory supplies, pre-clinical studies, and clinical studies.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our research and development expenses for the three and six months ended June 30, 2024 and 2023 (in thousands):</w:t>
      </w:r>
    </w:p>
    <w:p>
      <w:pPr>
        <w:spacing w:after="0" w:line="277" w:lineRule="exact"/>
        <w:rPr>
          <w:sz w:val="20"/>
          <w:szCs w:val="20"/>
          <w:color w:val="auto"/>
        </w:rPr>
      </w:pPr>
    </w:p>
    <w:tbl>
      <w:tblPr>
        <w:tblLayout w:type="fixed"/>
        <w:tblInd w:w="180" w:type="dxa"/>
        <w:tblCellMar>
          <w:top w:w="0" w:type="dxa"/>
          <w:left w:w="0" w:type="dxa"/>
          <w:bottom w:w="0" w:type="dxa"/>
          <w:right w:w="0" w:type="dxa"/>
        </w:tblCellMar>
      </w:tblPr>
      <w:tr>
        <w:trPr>
          <w:trHeight w:val="187"/>
        </w:trPr>
        <w:tc>
          <w:tcPr>
            <w:tcW w:w="5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gridSpan w:val="4"/>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57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r>
      <w:tr>
        <w:trPr>
          <w:trHeight w:val="23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5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5,499</w:t>
            </w:r>
          </w:p>
        </w:tc>
        <w:tc>
          <w:tcPr>
            <w:tcW w:w="4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120" w:type="dxa"/>
            <w:vAlign w:val="bottom"/>
            <w:shd w:val="clear" w:color="auto" w:fill="CFF0FC"/>
          </w:tcPr>
          <w:p>
            <w:pPr>
              <w:spacing w:after="0"/>
              <w:rPr>
                <w:sz w:val="20"/>
                <w:szCs w:val="20"/>
                <w:color w:val="auto"/>
              </w:rPr>
            </w:pPr>
          </w:p>
        </w:tc>
      </w:tr>
      <w:tr>
        <w:trPr>
          <w:trHeight w:val="23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0"/>
                <w:szCs w:val="20"/>
                <w:color w:val="auto"/>
              </w:rPr>
            </w:pPr>
          </w:p>
        </w:tc>
      </w:tr>
      <w:tr>
        <w:trPr>
          <w:trHeight w:val="276"/>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-25400</wp:posOffset>
            </wp:positionV>
            <wp:extent cx="7683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-7620</wp:posOffset>
            </wp:positionV>
            <wp:extent cx="768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-25400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-25400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approximately $1.4 million during the three months ended June 30, 2024 as compared to the same period in 2023. The increase was due primarily to an increase of $0.5 million of licenses fee to NanoTx, an increase of $0.3 million in compensation expenses, an increase of approximately $0.4 million of professional research and development service fees, and an increase of $0.3 million in development expenses, offset by a reduction of $0.1 million in clinical expenses.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approximately $1.1 million during the six months ended June 30, 2024 as compared to the same period in 2023. The increase was due primarily to an increase of $0.5 million increases in professional services, an increase of $0.3 million in compensation expenses, a $0.2 million increase in clinical expenses, and an increase of $0.1 million in other research and development expenses.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aggregate research and development expenses to increase during the remainder of 2024 as compared to the corresponding comparable period ended December 31, 2023 as we continue to advance and expand our research programs.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include costs for administrative personnel, legal and other professional expenses, and general corporate expenses. The following table summarizes the general and administrative expenses for the three and six months ended June 30, 2024 and 2023 (in thousands):</w:t>
      </w:r>
    </w:p>
    <w:p>
      <w:pPr>
        <w:spacing w:after="0" w:line="39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23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June</w:t>
            </w:r>
          </w:p>
        </w:tc>
        <w:tc>
          <w:tcPr>
            <w:tcW w:w="260" w:type="dxa"/>
            <w:vAlign w:val="bottom"/>
          </w:tcPr>
          <w:p>
            <w:pPr>
              <w:spacing w:after="0"/>
              <w:rPr>
                <w:sz w:val="13"/>
                <w:szCs w:val="13"/>
                <w:color w:val="auto"/>
              </w:rPr>
            </w:pPr>
          </w:p>
        </w:tc>
        <w:tc>
          <w:tcPr>
            <w:tcW w:w="232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87"/>
        </w:trPr>
        <w:tc>
          <w:tcPr>
            <w:tcW w:w="5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-187960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-187960</wp:posOffset>
            </wp:positionV>
            <wp:extent cx="596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-187960</wp:posOffset>
            </wp:positionV>
            <wp:extent cx="603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approximately $0.3 million during the three months ended June 30, 2024, as compared to the same period in 2023, primarily due to an increase of legal and professional expenses of $0.2 million and an increase of $0.1 million in compensation expenses.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approximately $0.2 million during the six months ended June 30, 2024, as compared to the same period in 2023, primarily due to an increase of legal and professional expenses of $0.1 million and an increase of $0.1 million in compensation expenses.</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general and administrative expenditures to remain generally consistent during the remainder of 2024 as compared with the corresponding comparable period ended December 31,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Stock-based compensation expense includes charges related to stock options issued to employees, directors and non-employees. We measure stock-based compensation expense based on the grant-date fair value of any awards granted to our employees. Such expense is recognized over the requisite service period.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5" w:name="page26"/>
    <w:bookmarkEnd w:id="2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our stock-based compensation expenses for the three and six months ended June 30, 2024 and 2023 (in thousands):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580" w:type="dxa"/>
            <w:vAlign w:val="bottom"/>
          </w:tcPr>
          <w:p>
            <w:pPr>
              <w:spacing w:after="0"/>
              <w:rPr>
                <w:sz w:val="16"/>
                <w:szCs w:val="16"/>
                <w:color w:val="auto"/>
              </w:rPr>
            </w:pPr>
          </w:p>
        </w:tc>
        <w:tc>
          <w:tcPr>
            <w:tcW w:w="2160" w:type="dxa"/>
            <w:vAlign w:val="bottom"/>
            <w:gridSpan w:val="5"/>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558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640" w:type="dxa"/>
            <w:vAlign w:val="bottom"/>
            <w:shd w:val="clear" w:color="auto" w:fill="CFF0FC"/>
          </w:tcPr>
          <w:p>
            <w:pPr>
              <w:jc w:val="right"/>
              <w:ind w:right="45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FF0FC"/>
          </w:tcPr>
          <w:p>
            <w:pPr>
              <w:spacing w:after="0"/>
              <w:rPr>
                <w:sz w:val="20"/>
                <w:szCs w:val="20"/>
                <w:color w:val="auto"/>
              </w:rPr>
            </w:pPr>
          </w:p>
        </w:tc>
      </w:tr>
      <w:tr>
        <w:trPr>
          <w:trHeight w:val="239"/>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0"/>
                <w:szCs w:val="20"/>
                <w:color w:val="auto"/>
              </w:rPr>
            </w:pPr>
          </w:p>
        </w:tc>
      </w:tr>
      <w:tr>
        <w:trPr>
          <w:trHeight w:val="277"/>
        </w:trPr>
        <w:tc>
          <w:tcPr>
            <w:tcW w:w="5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640" w:type="dxa"/>
            <w:vAlign w:val="bottom"/>
            <w:tcBorders>
              <w:bottom w:val="single" w:sz="8" w:color="auto"/>
            </w:tcBorders>
            <w:shd w:val="clear" w:color="auto" w:fill="CFF0FC"/>
          </w:tcPr>
          <w:p>
            <w:pPr>
              <w:jc w:val="right"/>
              <w:ind w:right="45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-25400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-25400</wp:posOffset>
            </wp:positionV>
            <wp:extent cx="596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596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603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03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share-based compensation expenses, which are impacted by grants of share-based options, vesting schedule of such grants, as well as grant-date fair value of share-based awards, remained consistent for the three and six months ended June 30, 2024 and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items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other income (expense) for the three and six months ended June 30, 2024 and 2023 (in thousands):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8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 w:type="dxa"/>
            <w:vAlign w:val="bottom"/>
          </w:tcPr>
          <w:p>
            <w:pPr>
              <w:spacing w:after="0"/>
              <w:rPr>
                <w:sz w:val="16"/>
                <w:szCs w:val="16"/>
                <w:color w:val="auto"/>
              </w:rPr>
            </w:pPr>
          </w:p>
        </w:tc>
        <w:tc>
          <w:tcPr>
            <w:tcW w:w="2160" w:type="dxa"/>
            <w:vAlign w:val="bottom"/>
            <w:gridSpan w:val="5"/>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52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expense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(3,545 )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(3,545 )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issuance costs</w:t>
            </w: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(432 )</w:t>
            </w: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(432 )</w:t>
            </w:r>
          </w:p>
        </w:tc>
        <w:tc>
          <w:tcPr>
            <w:tcW w:w="2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(27 )</w:t>
            </w: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(112 )</w:t>
            </w:r>
          </w:p>
        </w:tc>
        <w:tc>
          <w:tcPr>
            <w:tcW w:w="1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(61 )</w:t>
            </w:r>
          </w:p>
        </w:tc>
        <w:tc>
          <w:tcPr>
            <w:tcW w:w="2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(246 )</w:t>
            </w:r>
          </w:p>
        </w:tc>
      </w:tr>
      <w:tr>
        <w:trPr>
          <w:trHeight w:val="232"/>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4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0"/>
        </w:trPr>
        <w:tc>
          <w:tcPr>
            <w:tcW w:w="5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interest expense for the three and six months ended June 30, 2024 as compared to the same periods in 2023 was primarily due to the repayment of debt principal of $1.6 million during the year ended December 31, 2023 and $4.0 during the six months ended June 30, 2024. Interest income decreased for the three and six months ended June 30, 2024 compared with the same periods in 2023 primarily due to a lower average cash and investment balances in year to date 2024 offset by a higher interest rate environment and accreted income on our available-for-sale securities.</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222222"/>
        </w:rPr>
        <w:t>We recognized approximately $3.5 million in financing expense in the condensed consolidated statement of operations during the three and six months ended June 30, 2024, which represents the excess of the fair value of the Series A Warrants and Series B Warrants at issuance over the proceeds. During the three and six months ended June 30, 2024, we recognized a fair value gain on warrant liability of $4.7 million.</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addition, total offering expenses related to the May 2024 Private Placement of $0.4 million were recorded as a component of other expenses as the entire proceeds were allocated to the warrant liability, which can be settled with either the Company’s common stock or Pre-Funded Warrants, which are exercisable into common stock at any time at the holders’ option, but not in cash payment to the holders.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interest expense in 2024 to increase as compared with 2023 due to an expected higher principal balance subject to interest.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and long-term liquidity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key liquidity measures at June 30, 2024 and December 31, 2023 (in thousands):</w:t>
      </w:r>
    </w:p>
    <w:p>
      <w:pPr>
        <w:spacing w:after="0" w:line="200" w:lineRule="exact"/>
        <w:rPr>
          <w:sz w:val="20"/>
          <w:szCs w:val="20"/>
          <w:color w:val="auto"/>
        </w:rPr>
      </w:pP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2"/>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4,912</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1"/>
        </w:trPr>
        <w:tc>
          <w:tcPr>
            <w:tcW w:w="6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9,834</w:t>
            </w: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18,787</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10,727</w:t>
            </w:r>
          </w:p>
        </w:tc>
        <w:tc>
          <w:tcPr>
            <w:tcW w:w="100" w:type="dxa"/>
            <w:vAlign w:val="bottom"/>
          </w:tcPr>
          <w:p>
            <w:pPr>
              <w:spacing w:after="0"/>
              <w:rPr>
                <w:sz w:val="20"/>
                <w:szCs w:val="20"/>
                <w:color w:val="auto"/>
              </w:rPr>
            </w:pPr>
          </w:p>
        </w:tc>
      </w:tr>
      <w:tr>
        <w:trPr>
          <w:trHeight w:val="25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(9,407 )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(893 )</w:t>
            </w:r>
          </w:p>
        </w:tc>
      </w:tr>
      <w:tr>
        <w:trPr>
          <w:trHeight w:val="20"/>
        </w:trPr>
        <w:tc>
          <w:tcPr>
            <w:tcW w:w="69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-659765</wp:posOffset>
            </wp:positionV>
            <wp:extent cx="603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-659765</wp:posOffset>
            </wp:positionV>
            <wp:extent cx="603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603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603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incurred net losses of $6.2 million for the six months ended June 30, 2024. We have an accumulated deficit of $486.7 million as of June 30, 2024. Additionally, we used net cash of $5.7 million to fund our operating activities for the six months ended June 30, 2024. These factors raise substantial doubt about our ability to continue as a going concern.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May 2024 Private Placement</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May 2024, we entered into a securities purchase agreement, which was subsequently amended, with certain investors, including certain of the Company’s directors and executive officers (the “Purchasers”), whereby we issued and sold in a private placement (the “May 2024 Private Placement”): (i) 3,591,532 shares of common stock (“Private Placement Share”), or, at the election of each Purchaser, pre-funded warrants (the “Pre-Funded Warrants”) exercisable immediately to purchase shares of common stock. Each Private Placement Share or Pre-Funded Warrant are accompanied by (i) a Series A common warrant (“Series A Warrants”) to purchase one share of common stock, for an aggregate of 3,591,532 Series A Warrants, and (ii) one Series B common warrant (“Series B Warrants”, and together with the Pre-Funded Warrants and Series A Warrants, the “Warrants”) to purchase one share of common stock, for an aggregate of 3,591,532 Series B Warrants. At the closing of the May 2024 Private Placement, we received aggregate upfront gross proceeds of approximately $7.3 million, before deducting fees and other expenses associated with the closing of the May 2024 Private Placement. If the Warrants are exercised in full we will receive additional gross proceeds of approximately $12.0 million. None of the Warrants issued in the May 2024 Private Placement have been exercised as of the filing of this quarterly report on Form 10-Q. See Note 12 to the unaudited condensed consolidated financial statements, Stockholders' Deficit - May 2024 Private Placement, for further information regarding the May 2024 Private Placement.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CPRIT Grant</w:t>
      </w:r>
    </w:p>
    <w:p>
      <w:pPr>
        <w:spacing w:after="0" w:line="22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On September 19, 2022, we entered into the CPRIT Contract, pursuant to which CPRIT will provide us with the CPRIT Grant of $17.6 million subject to the terms of the CPRIT Contract, to fund approximately two-thirds of the continued development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the treatment of patients with LM. We received $10.4 million of the available funding under the CPRIT Grant during 2022, 2023 and the six months ended June 30, 2024, of which we recognized $3.0 million, $4.9 million and $0.2 million of grant revenue during the six months ended June 30, 2024, and the years ended December 31, 2023 and 2022, respectively. The amounts recognized represents CPRIT’s share of the costs incurred for our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development for the treatment of patients with LM. As of June 30, 2024, we had $2.3 million of deferred revenue related to the CPRIT Grant.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Equity Lines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2, 2022, we entered into a purchase agreement (the “2022 Purchase Agreement”) and registration rights agreement pursuant to which Lincoln Park Capital Fund (“Lincoln Park”) committed to purchase up to $50.0 million of shares of our common stock. Under the terms and subject to the conditions of the 2022 Purchase Agreement, we have the right, but not the obligation, to sell to Lincoln Park, and Lincoln Park is obligated to purchase up to $50.0 million of shares of our common stock, provided that we cannot sell more than 57.5 million shares pursuant to the 2022 Purchase Agreement. Sales of common stock by us are subject to certain limitations, and can occur from time to time, at our sole discretion, over the 36-month period commencing on August 17, 2022, subject to the satisfaction of certain conditions. Actual sales of shares of common stock to Lincoln Park under the 2022 Purchase Agreement depend on a variety of factors to be determined by us from time to time, including, among others, market conditions, the trading price of the common stock and our determinations as to the appropriate sources of funding for the Company and its operations. As consideration for Lincoln Park’s irrevocable commitment to purchase shares of our common stock upon the terms of and subject to satisfaction of the conditions set forth in the 2022 Purchase Agreement, we paid $0.1 million in cash as an Initial Commitment Fee and issued 32,846 as the initial commitment shares to Lincoln Park in consideration for its commitment to purchase shares of our common stock at our direction under the 2022 Purchase Agreement.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17, 2022, a registration statement (the “First Registration Statement”) was declared effective covering the resale of up to 633,333 shares of our common stock comprised of (i) the 32,846 initial commitment shares, and (ii) up to 600,486 shares that we have reserved for issuance and sale to Lincoln Park under the 2022 Purchase Agreement. An additional commitment fee equal to 2.5% of the remainder of the $50 million will be paid if and when we sell over $25.0 million of our common stock under the 2022 Purchase Agreement. The additional commitment fee may be paid in cash, common stock, or a combination thereof. We sold approximately 527,166 shares under the First Registration Statement.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18, 2023, a second registration statement (the “Second Registration Statement”) was declared effective covering the resale of up to an additional 1,500,000 shares of our common stock that we reserved for issuance and sale to Lincoln Park under the 2022 Purchase Agreement from time to time. We sold 150,000 shares under the Second Registration Statement. We cannot sell more shares than registered under the Second Registration Statement under the 2022 Purchase Agreement without registering additional shares.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period from August 17, 2022 to December 31, 2022, we issued 266,666 shares under the 2022 Purchase Agreement for net proceeds of approximately $3.2 million. We issued 410,500 shares under the 2022 Purchase Agreement for net proceeds of approximately $1.0 million from January 1, 2023 to December 31, 2023. No shares of common stock were purchased under the 2022 Purchase Agreement during the six months ended June 30,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7" w:name="page28"/>
    <w:bookmarkEnd w:id="27"/>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14, 2022, we entered into an Equity Distribution Agreement (the “January 2022 Distribution Agreement”) with Canaccord, pursuant to which we could issue and sell, from time to time, shares of our common stock in “at-the-market” offerings, having an aggregate offering price of up to $5 million, depending on market demand, with Canaccord acting as an agent for sales. During the year ended December 31, 2023, we issued 460,151 shares under the January 2022 Distribution Agreement for net proceeds of approximately $4.8 million. The January 2022 Distribution Agreement was terminated after all available registered shares were fully utilized.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Nasdaq Listing Compliance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8, 2024, we received a letter (the “Notice”) from the Listing Qualifications staff of Nasdaq Capital Market (“Nasdaq”), notifying us that we no longer complied with the requirement under Nasdaq Listing Rule 5550(b)(1) to maintain a minimum of $2.5 million in stockholders’ equity for continued listing on Nasdaq or the alternative requirements of having a market value of listed securities of $35 million or net income from continuing operations of $500,000 in the most recently completed fiscal year or two of the last three most recently completed fiscal years (the “Alternative Standards”). The Notice stated that, as of March 8, 2024, we did not meet the Alternative Standards.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22, 2024, we provided Nasdaq with our plan to achieve and sustain compliance with the stockholders’ equity requirement and requested that Nasdaq grant an extension of time until September 4, 2024, to provide evidence of our compliance with the stockholders’ equity requirement. Nasdaq has not yet responded to our Plan, and there can be no assurance that Nasdaq will grant an extension or that we will be able to comply with the applicable listing standards of Nasdaq.</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Funding and Material Cash Requirements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To date, our operating losses have been funded primarily from outside sources of invested capital from issuance of our common and preferred stocks, proceeds from the now-repaid in full term loan with Oxford Finance, LLC (“Oxford”), the Pershing Credit Facility and grant funding. However, the Company has had, and will continue to have, an ongoing need to raise additional cash from outside sources through a combination of equity offerings, debt financings and potential collaboration, license or development agreements to fund our future clinical development programs and other operations in the next twelve months from the filing of this quarterly report on Form 10-Q. Debt financing and preferred equity financing, if available, may involve agreements that include covenants limiting or restricting our ability to take specific actions, such as incurring additional debt, making capital expenditures, or declaring dividends. There can be no assurance that we will be able to continue to raise additional capital in the future. Our inability to raise additional cash would have a material adverse impact on our operations, implementation of our strategy and ability to maintain compliance with applicable requirements, including Nasdaq listing rules.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present and future funding and cash requirements will depend on many factors, including, among other things:</w:t>
      </w:r>
    </w:p>
    <w:p>
      <w:pPr>
        <w:spacing w:after="0" w:line="333"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completion of our ongoing and planned clinical trials and nonclinical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and the timing of receipt of, future regulatory approvals for our product candidates and the costs related thereto;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utility of the CNSide leptomeningeal metastases diagnostic test;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our ongoing and planned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expanding our operations and building our sales and marketing capabilities;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strategic collaborations;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if approved;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new product candidates that the Company identifies and attempt to develop.</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assuming that the Company will continue to operate as a going concern, which contemplates the realization of assets and settlement of liabilities in the normal course of business, and do not include any adjustments to reflect the possible future effects on the recoverability and classification of assets or the amounts and classifications of liabilities that may result from uncertainty related to our ability to continue as a going concern.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 w:name="page29"/>
    <w:bookmarkEnd w:id="28"/>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provided by operating, investing, and financing activities for the six months ended June 30, 2024 and 2023 is summarized as follows (in thousands):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2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2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00" w:type="dxa"/>
            <w:vAlign w:val="bottom"/>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(5,663 )</w:t>
            </w:r>
          </w:p>
        </w:tc>
        <w:tc>
          <w:tcPr>
            <w:tcW w:w="88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(8,571 )</w:t>
            </w:r>
          </w:p>
        </w:tc>
      </w:tr>
      <w:tr>
        <w:trPr>
          <w:trHeight w:val="239"/>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0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(4,166 )</w:t>
            </w:r>
          </w:p>
        </w:tc>
        <w:tc>
          <w:tcPr>
            <w:tcW w:w="88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(108 )</w:t>
            </w:r>
          </w:p>
        </w:tc>
      </w:tr>
      <w:tr>
        <w:trPr>
          <w:trHeight w:val="243"/>
        </w:trPr>
        <w:tc>
          <w:tcPr>
            <w:tcW w:w="6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0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6,187</w:t>
            </w:r>
          </w:p>
        </w:tc>
        <w:tc>
          <w:tcPr>
            <w:tcW w:w="2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(3,642 )</w:t>
            </w:r>
          </w:p>
        </w:tc>
        <w:tc>
          <w:tcPr>
            <w:tcW w:w="88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(7,225 )</w:t>
            </w:r>
          </w:p>
        </w:tc>
      </w:tr>
      <w:tr>
        <w:trPr>
          <w:trHeight w:val="20"/>
        </w:trPr>
        <w:tc>
          <w:tcPr>
            <w:tcW w:w="69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-187960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Cash Obligations</w:t>
      </w:r>
    </w:p>
    <w:p>
      <w:pPr>
        <w:spacing w:after="0" w:line="23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Under the CPRIT Contract we receive matching funds for approximately two-thirds of the development costs for the development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the treatment of patients with LM, subject to various funding conditions. The CPRIT Contract is effective for three years, unless otherwise terminated pursuant to the terms of the contract. CPRIT may require us to repay some or all of the disbursed CPRIT grant proceeds (with interest not to exceed 5% annually) in the event of the early termination of the CPRIT Contract.</w:t>
      </w:r>
    </w:p>
    <w:p>
      <w:pPr>
        <w:spacing w:after="0" w:line="2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our Pershing Credit Facility, we have ongoing principal and interest payment obligations (see Note 6 of the condensed consolidated financial statements). In addition, we are obligated to make operating lease payments for our office and laboratory space, and we may be required to make payments under certain of our other contractual agreements.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than as described above, we have no purchase commitments or long-term contractual obligations, except for lease obligations as of June 30, 2024. In addition, we have no off-balance sheet arrangements (as defined in the rules and regulations of the SEC)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2024 was $5.7 million compared to $8.6 million in the same period of 2023. Our operational cash use decreased $2.9 million during the six months ended June 30, 2024 as compared to the same period in 2023, due primarily to increased reimbursement under the CPRIT grant agreement for research and development costs related to the ReSPECT-LM program.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2024 was related to purchase of Biocept assets of $0.5 million, short-term investments of $3.5 million and purchases of fixed assets of $0.1 million. Net cash used in investing activities for the six months ended June 30, 2023 was related to purchases of fixed assets of $0.1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2024 was related to net proceeds of $7.3 million raised by the May 2024 Private Placement, and drawdown of $3.3 million from the Pershing Credit Facility, offset by repurchase of treasury stock for approximately $0.4 million and repayment of principle balance under the Oxford loan of $4.0 million.</w:t>
      </w:r>
    </w:p>
    <w:p>
      <w:pPr>
        <w:spacing w:after="0" w:line="28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2023 was primarily related to sales of common stock of $2.3 million, net of offering cost, from that certain Equity Distribution Agreement with Canaccord Genuity LLC and the 2022 Purchase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Estimates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United States requires us to make estimates and assumptions that affect the reported amounts of our assets, liabilities, revenues and expenses, and that affect our recognition and disclosure of contingent assets and liabilities.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our estimates are based on assumptions we consider reasonable at the time they were made, our actual results may differ from our estimates, perhaps significantly. If results differ materially from our estimates, we will make adjustments to our consolidated financial statements prospectively as we become aware of the necessity for an adjustment.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jc w:val="both"/>
        <w:spacing w:after="0" w:line="266" w:lineRule="auto"/>
        <w:rPr>
          <w:sz w:val="20"/>
          <w:szCs w:val="20"/>
          <w:color w:val="auto"/>
        </w:rPr>
      </w:pPr>
      <w:r>
        <w:rPr>
          <w:rFonts w:ascii="Times New Roman" w:cs="Times New Roman" w:eastAsia="Times New Roman" w:hAnsi="Times New Roman"/>
          <w:sz w:val="18"/>
          <w:szCs w:val="18"/>
          <w:color w:val="auto"/>
        </w:rPr>
        <w:t>Goodwill is reviewed for impairment annually or more frequently if indicators of impairment exist. We perform our impairment test annually during the fourth quarter. We operate in a single operating segment and reporting unit. We monitor the fluctuations in our share price and have experienced significant volatility during the year.</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it is important for you to understand our most critical accounting policies. Our critical accounting policies and estimates are discussed in our Annual Report on Form 10-K for the fiscal year ended December 31, 2023 and there have been no material changes during the six months ended June 30, 2024 except as described below.</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Accounting for liability classified warrants requires management to exercise judgment and make estimates and assumptions regarding their fair value (for more information about the material inputs and assumptions used to value the liability classified warrants refer to Note 4 of our condensed consolidated financial statements). The warrant liabilities are initially recorded at fair value upon the date of issuance and subsequently remeasured to fair value at each reporting date, with changes recognized in the condensed consolidated statements of operations. Changes in the fair value of the liability classified warrants will continue to be recognized until the warrants are exercised, expire or qualify for equity classification.</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2024, the Company issued the Series A Warrants and Series B Warrants and classified them as liabilities because in certain circumstances they could be exercised into either common stock or Pre-Funded Warrants at the holder's option and thus failed the indexation guidance under ASC 815, Derivatives and Hedging. On August 9 , 2024, the Company amended and restated the Series A Warrants and Series B Warrants (the “Amendment and Restatements”) to eliminate the ability of the holder to elect to receive Pre-Funded Warrants in this situation.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Amendment and Restatements, the Series A Warrants and Series B Warrants, as amended, will no longer fail the indexation guidance under ASC 815, Derivatives and Hedging, and the balance of the warrant liability at the amendment date will be reclassified to equity. As a result, as of the amendment date, there will be a corresponding increase in our condensed statements of stockholders' equity.</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Exchange Act of 1934, as amended (the “Exchange Act”), that are designed to ensure that information required to be disclosed in our reports that we file or furnish pursuant to the Exchange Act is recorded, processed, summarized and reported within the time periods specified in the SEC’s rules and forms, and that such information is accumulated and communicated to our management, including our Chief Executive Officer (our principal executive officer) and Chief Financial Officer (our principal financial officer and principal accounting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possible controls and procedures.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required by Rule 13a-15(b) under the Exchange Act we carried out an evaluation, under the supervision and with the participation of our management, including our Chief Executive Officer (our principal executive officer) and Chief Financial Officer (our principal financial officer and principal accounting officer), of the effectiveness of our disclosure controls and procedures, as such term is defined under Rule 13a-15(e) and 15d-15(e) promulgated under the Exchange Act as of the end of the period covered by this quarterly report on Form 10-Q. Based on the foregoing, our Chief Executive Officer (our principal executive officer) and Chief Financial Officer (our principal financial officer and principal accounting officer) concluded that our disclosure controls and procedures (</w:t>
      </w:r>
      <w:r>
        <w:rPr>
          <w:rFonts w:ascii="Times New Roman" w:cs="Times New Roman" w:eastAsia="Times New Roman" w:hAnsi="Times New Roman"/>
          <w:sz w:val="18"/>
          <w:szCs w:val="18"/>
          <w:color w:val="333333"/>
        </w:rPr>
        <w:t>as defined in Rules 13a-15(e) and 15d-15(e) under the Exchange Act)</w:t>
      </w:r>
      <w:r>
        <w:rPr>
          <w:rFonts w:ascii="Times New Roman" w:cs="Times New Roman" w:eastAsia="Times New Roman" w:hAnsi="Times New Roman"/>
          <w:sz w:val="18"/>
          <w:szCs w:val="18"/>
          <w:color w:val="auto"/>
        </w:rPr>
        <w:t xml:space="preserve"> were effective at the reasonable assurance level as of the end of the period covered by this quarterly report on Form 10-Q.</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during the quarter ended June 30, 2024, that has materially affected, or is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notified by Nasdaq of our failure to comply with certain continued listing requirements and, if we are unable to regain compliance with all applicable continued listing requirements and standards of Nasdaq, our common stock could be delisted from Nasdaq.</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common stock is currently listed on Nasdaq. In order to maintain that listing, we must satisfy continued listing requirements and standards. There can be no assurances that we will be able to comply with the applicable listing standards of Nasdaq.</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8, 2024, we received the Notice from Nasdaq, notifying us that we no longer complied with the requirement under Nasdaq Listing Rule 5550(b)</w:t>
      </w:r>
    </w:p>
    <w:p>
      <w:pPr>
        <w:spacing w:after="0" w:line="27" w:lineRule="exact"/>
        <w:rPr>
          <w:sz w:val="20"/>
          <w:szCs w:val="20"/>
          <w:color w:val="auto"/>
        </w:rPr>
      </w:pPr>
    </w:p>
    <w:p>
      <w:pPr>
        <w:jc w:val="both"/>
        <w:ind w:firstLine="8"/>
        <w:spacing w:after="0" w:line="255" w:lineRule="auto"/>
        <w:tabs>
          <w:tab w:leader="none" w:pos="26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a minimum of $2.5 million in stockholders’ equity for continued listing on Nasdaq or the Alternative Standards. The Notice states that our Annual Report on Form 10-K for the fiscal year ended December 31, 2023, disclosed stockholders’ equity of ($1.3 million) as of December 31, 2023, and that, as of March 8, 2024, we did not meet the Alternative Standards.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22, 2024, we provided Nasdaq with our plan to achieve and sustain compliance with the stockholders’ equity requirement and requested that Nasdaq grant us an extension of time until September 4, 2024, to provide evidence of compliance with the stockholders’ equity requirement. Nasdaq has not yet responded to our plan, and there can be no assurance that Nasdaq will grant an extension or that we will be able to comply with the applicable listing standards of Nasdaq.</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that our common stock is delisted from Nasdaq, as a result of our failure to comply with the stockholders’ equity requirement, or as a result of Nasdaq not granting us an extension or due to our failure to continue to comply with any other requirement for continued listing on Nasdaq, we may have to pursue trading on a less recognized or accepted market, such as the over the counter markets, our stock may be traded as a “penny stock,” which would make transactions in our stock more difficult and cumbersome, and we may be unable to access capital on favorable terms or at all, as companies trading on alternative markets may be viewed as less attractive investments with higher associated risks, such that existing or prospective institutional investors may be less interested in, or prohibited from, investing in our common stock. This may also cause the market price of our common stock to decline.</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shares of common stock or other equity securities without our stockholder approval, and holders of warrants and other securities convertible into shares of our common stock may choose to exercise their warrants and other securities requiring us to issue shares of common stock; all of these actions would dilute your ownership interest and may depress the market price of our common stock.</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2024, we entered into a securities purchase agreement with certain investors, including certain of the Company’s directors and executive officers, and issued and sold in a private placement: (i) an aggregate of 3,591,532 shares of common stock (or in lieu of shares of common stock, Pre-Funded Warrants), and (ii) Warrants to purchase up to 7,183,064 shares of common stock. If these Warrants are exercised, it will result in significant dilution to our stockholders. In the alternative, these Warrants may not be exercised, in which event we are likely to seek alternative sources of financing to continue the clinical development of our product candidates. Please see Note 12 for further information regarding the May 2024 Private Placement and the terms of the Warrants.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outstanding securities convertible into our shares of common stock may be exercised and restricted stock units may vest resulting in the issuance of additional shares of common stock, which will result in further dilution to our stockholders.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Significant additional capital may be needed in the future to continue our planned operations, including further development of our product candidates, preparing IND or equivalent filings, conducting preclinical studies and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shares of common stock.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also issue additional shares of common stock or other equity securities of equal or senior rank in the future in connection with, among other things, future acquisitions or repayment of outstanding indebtedness, without stockholder approval, in a number of circumstances. The issuance of additional shares or other equity securities of equal or senior rank would have the following effects: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1" w:name="page32"/>
    <w:bookmarkEnd w:id="31"/>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stockholders’ proportionate ownership interest in us will decrease;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voting strength of each previously outstanding common stock may be diminished;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the common stock may decline.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recently acquired the CNSide diagnostic portfolio, and we may not be successful in our efforts to develop, fully utilize and monetize it.</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In April 2024, we completed the acquisition of substantially all of the right, title and interest in CNSide (“CNSide”), a proprietary cell enumeration test designed to detect, quantify,and monitor tumor status in LM. We are currently evaluating and developing our business plan for developing the CNSide diagnostic portfolio alongside our lead radio therapeutic candidate, rhenium (</w:t>
      </w:r>
      <w:r>
        <w:rPr>
          <w:rFonts w:ascii="Times New Roman" w:cs="Times New Roman" w:eastAsia="Times New Roman" w:hAnsi="Times New Roman"/>
          <w:sz w:val="7"/>
          <w:szCs w:val="7"/>
          <w:color w:val="231F20"/>
        </w:rPr>
        <w:t>186</w:t>
      </w:r>
      <w:r>
        <w:rPr>
          <w:rFonts w:ascii="Times New Roman" w:cs="Times New Roman" w:eastAsia="Times New Roman" w:hAnsi="Times New Roman"/>
          <w:sz w:val="18"/>
          <w:szCs w:val="18"/>
          <w:color w:val="231F20"/>
        </w:rPr>
        <w:t>Re) obisbemeda, and seeking partnering opportunities for CNSide but there can be no assurances that we will be able to develop the technology to allow for commercial applications, or successfully utilize and fully integrate CNSide into our operations. We may not generate revenues from or realize the anticipated benefits of CNSide within our expected timeline or at all.</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the risk factors set forth above, there have been no material changes to the risk factors disclosed in Part I, Item 1A, “Risk Factors” of our Annual Report on Form 10-K for the year ended December 31,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i w:val="1"/>
          <w:iCs w:val="1"/>
          <w:color w:val="auto"/>
          <w:vertAlign w:val="superscript"/>
        </w:rPr>
        <w:t>188</w:t>
      </w:r>
      <w:r>
        <w:rPr>
          <w:rFonts w:ascii="Times New Roman" w:cs="Times New Roman" w:eastAsia="Times New Roman" w:hAnsi="Times New Roman"/>
          <w:sz w:val="18"/>
          <w:szCs w:val="18"/>
          <w:b w:val="1"/>
          <w:bCs w:val="1"/>
          <w:i w:val="1"/>
          <w:iCs w:val="1"/>
          <w:color w:val="auto"/>
        </w:rPr>
        <w:t>RNL-BAM will be regulated as a medical device, which may result in additional regulatory and other risks.</w:t>
      </w:r>
    </w:p>
    <w:p>
      <w:pPr>
        <w:spacing w:after="0" w:line="172" w:lineRule="exact"/>
        <w:rPr>
          <w:sz w:val="20"/>
          <w:szCs w:val="20"/>
          <w:color w:val="auto"/>
        </w:rPr>
      </w:pPr>
    </w:p>
    <w:p>
      <w:pPr>
        <w:ind w:right="220"/>
        <w:spacing w:after="0" w:line="227" w:lineRule="auto"/>
        <w:rPr>
          <w:sz w:val="20"/>
          <w:szCs w:val="20"/>
          <w:color w:val="auto"/>
        </w:rPr>
      </w:pP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 xml:space="preserve">RNL-BAM was developed and tested preclinically as a drug product. The FDA has informed us that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will, moving forward, be regulated instead as a medical device.</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States, before we can market a new medical device, we must first receive either clearance under Section 510(k) of the Federal Food, Drug, and Cosmetic Act (the “FDCA”), or approval of premarket approval (“PMA”), from the FDA, unless an exemption applies. In the process of obtaining premarket clearance or approval following either of these routes, the FDA must determine that a proposed device is either substantially equivalent to a legally marketed predicate device with similar intended uses and the same technological characteristics and risks, or that it is safe and effective for its intended use, based, in part, on extensive data, including, but not limited to, technical, preclinical, clinical, manufacturing and labeling data. The PMA process is typically required for devices that are deemed to pose the greatest risk, such as life sustaining, life supporting or implantable devices.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Modifications to products that are approved through a PMA generally require FDA approval of the modifications through a supplemental application. Both the PMA approval and the 510(k) clearance process can be expensive, lengthy and uncertain. The process of obtaining a PMA is costly and uncertain and generally takes from one to three years, or even longer, from the time the application is submitted to the FDA. In addition, a PMA generally requires the performance of one or more clinical studies. Despite the time, effort and cost, a medical device may not be approved by the FDA. Any delay or failure to obtain necessary regulatory approvals could harm our business. Furthermore, even if we are granted regulatory approvals, they may include significant limitations on the approved and labeled indications for use for the device, which may limit the market for the device.</w:t>
      </w:r>
    </w:p>
    <w:p>
      <w:pPr>
        <w:spacing w:after="0" w:line="18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In addition, comparable foreign regulatory authorities to the FDA have approval policies and regulations related to the safety and performance requirements that apply to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 xml:space="preserve">RNL-BAM, either as medical devices or as drugs, depending on each jurisdiction’s regulatory requirements. Accordingly, to the extent that we intend to sell medical devices in member states of the European Union or other foreign jurisdictions, the regulatory approval pathway for our product candidates, including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may be uncertain, complex, expensive and lengthy, and approval may not be obtained.</w:t>
      </w:r>
    </w:p>
    <w:p>
      <w:pPr>
        <w:spacing w:after="0" w:line="11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Failure to successfully develop or supply the RNL-BAM medical device component, delays in or failure of the studies conducted by us, our collaborators, or third-party providers, or failure of our Company, our collaborators, or third-party providers to obtain or maintain regulatory approval or clearance of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as a medical device or drug, as applicable in each jurisdiction, could result in increased development costs, delays in or failure to obtain regulatory approval, and associated delays in RNL-BAM reaching the market. Further, failure to successfully develop or supply the device, or to gain or maintain its approval, could adversely affect our operations.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3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1" w:lineRule="exact"/>
        <w:rPr>
          <w:sz w:val="20"/>
          <w:szCs w:val="20"/>
          <w:color w:val="auto"/>
        </w:rPr>
      </w:pPr>
    </w:p>
    <w:p>
      <w:pPr>
        <w:jc w:val="right"/>
        <w:ind w:right="3760"/>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ectPr>
          <w:pgSz w:w="11900" w:h="16838" w:orient="portrait"/>
          <w:cols w:equalWidth="0" w:num="1">
            <w:col w:w="10580"/>
          </w:cols>
          <w:pgMar w:left="320" w:top="981" w:right="999" w:bottom="1440" w:gutter="0" w:footer="0" w:header="0"/>
        </w:sectPr>
      </w:pPr>
    </w:p>
    <w:p>
      <w:pPr>
        <w:spacing w:after="0" w:line="200" w:lineRule="exact"/>
        <w:rPr>
          <w:sz w:val="20"/>
          <w:szCs w:val="20"/>
          <w:color w:val="auto"/>
        </w:rPr>
      </w:pPr>
    </w:p>
    <w:p>
      <w:pPr>
        <w:spacing w:after="0" w:line="239" w:lineRule="exact"/>
        <w:rPr>
          <w:sz w:val="20"/>
          <w:szCs w:val="20"/>
          <w:color w:val="auto"/>
        </w:rPr>
      </w:pPr>
    </w:p>
    <w:tbl>
      <w:tblPr>
        <w:tblLayout w:type="fixed"/>
        <w:tblInd w:w="420" w:type="dxa"/>
        <w:tblCellMar>
          <w:top w:w="0" w:type="dxa"/>
          <w:left w:w="0" w:type="dxa"/>
          <w:bottom w:w="0" w:type="dxa"/>
          <w:right w:w="0" w:type="dxa"/>
        </w:tblCellMar>
      </w:tblPr>
      <w:tr>
        <w:trPr>
          <w:trHeight w:val="203"/>
        </w:trPr>
        <w:tc>
          <w:tcPr>
            <w:tcW w:w="10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0" w:type="dxa"/>
            <w:vAlign w:val="bottom"/>
            <w:gridSpan w:val="11"/>
          </w:tcPr>
          <w:p>
            <w:pPr>
              <w:ind w:left="40"/>
              <w:spacing w:after="0"/>
              <w:rPr>
                <w:sz w:val="20"/>
                <w:szCs w:val="20"/>
                <w:color w:val="auto"/>
              </w:rPr>
            </w:pPr>
            <w:r>
              <w:rPr>
                <w:rFonts w:ascii="Times New Roman" w:cs="Times New Roman" w:eastAsia="Times New Roman" w:hAnsi="Times New Roman"/>
                <w:sz w:val="16"/>
                <w:szCs w:val="16"/>
                <w:b w:val="1"/>
                <w:bCs w:val="1"/>
                <w:color w:val="auto"/>
              </w:rPr>
              <w:t>Exhibit Title</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Filed with this</w:t>
            </w:r>
          </w:p>
        </w:tc>
      </w:tr>
      <w:tr>
        <w:trPr>
          <w:trHeight w:val="212"/>
        </w:trPr>
        <w:tc>
          <w:tcPr>
            <w:tcW w:w="10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Form 10-Q</w:t>
            </w:r>
          </w:p>
        </w:tc>
      </w:tr>
      <w:tr>
        <w:trPr>
          <w:trHeight w:val="24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060" w:type="dxa"/>
            <w:vAlign w:val="bottom"/>
            <w:gridSpan w:val="15"/>
          </w:tcPr>
          <w:p>
            <w:pPr>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Composite Certificate of Incorporation</w:t>
              </w:r>
            </w:hyperlink>
          </w:p>
        </w:tc>
        <w:tc>
          <w:tcPr>
            <w:tcW w:w="1060" w:type="dxa"/>
            <w:vAlign w:val="bottom"/>
          </w:tcPr>
          <w:p>
            <w:pPr>
              <w:spacing w:after="0"/>
              <w:rPr>
                <w:sz w:val="21"/>
                <w:szCs w:val="21"/>
                <w:color w:val="auto"/>
              </w:rPr>
            </w:pPr>
          </w:p>
        </w:tc>
      </w:tr>
      <w:tr>
        <w:trPr>
          <w:trHeight w:val="20"/>
        </w:trPr>
        <w:tc>
          <w:tcPr>
            <w:tcW w:w="104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58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060" w:type="dxa"/>
            <w:vAlign w:val="bottom"/>
            <w:gridSpan w:val="15"/>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Certificate of Amendment to Amended and Restated Certificate</w:t>
              </w:r>
            </w:hyperlink>
          </w:p>
        </w:tc>
        <w:tc>
          <w:tcPr>
            <w:tcW w:w="106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58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5060" w:type="dxa"/>
            <w:vAlign w:val="bottom"/>
            <w:gridSpan w:val="15"/>
          </w:tcPr>
          <w:p>
            <w:pPr>
              <w:spacing w:after="0"/>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Certificate of Amendment to Amended and Restated Certificate</w:t>
              </w:r>
            </w:hyperlink>
          </w:p>
        </w:tc>
        <w:tc>
          <w:tcPr>
            <w:tcW w:w="106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58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5060" w:type="dxa"/>
            <w:vAlign w:val="bottom"/>
            <w:gridSpan w:val="15"/>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Certificate of Amendment to Amended and Restated Certificate</w:t>
              </w:r>
            </w:hyperlink>
          </w:p>
        </w:tc>
        <w:tc>
          <w:tcPr>
            <w:tcW w:w="106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58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5060" w:type="dxa"/>
            <w:vAlign w:val="bottom"/>
            <w:gridSpan w:val="15"/>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Certificate of Amendment to Amended and Restated Certificate</w:t>
              </w:r>
            </w:hyperlink>
          </w:p>
        </w:tc>
        <w:tc>
          <w:tcPr>
            <w:tcW w:w="106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58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5060" w:type="dxa"/>
            <w:vAlign w:val="bottom"/>
            <w:gridSpan w:val="15"/>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Certificate of Amendment to Amended and Restated Certificate</w:t>
              </w:r>
            </w:hyperlink>
          </w:p>
        </w:tc>
        <w:tc>
          <w:tcPr>
            <w:tcW w:w="106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58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5060" w:type="dxa"/>
            <w:vAlign w:val="bottom"/>
            <w:gridSpan w:val="15"/>
          </w:tcPr>
          <w:p>
            <w:pPr>
              <w:spacing w:after="0"/>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Amended and Restated Bylaws of Plus Therapeutics, Inc.</w:t>
              </w:r>
            </w:hyperlink>
          </w:p>
        </w:tc>
        <w:tc>
          <w:tcPr>
            <w:tcW w:w="106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68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5060" w:type="dxa"/>
            <w:vAlign w:val="bottom"/>
            <w:gridSpan w:val="15"/>
          </w:tcPr>
          <w:p>
            <w:pPr>
              <w:spacing w:after="0"/>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Certificate of Designation of Preferences, Rights and Limitations of</w:t>
              </w:r>
            </w:hyperlink>
          </w:p>
        </w:tc>
        <w:tc>
          <w:tcPr>
            <w:tcW w:w="106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060" w:type="dxa"/>
            <w:vAlign w:val="bottom"/>
            <w:gridSpan w:val="15"/>
          </w:tcPr>
          <w:p>
            <w:pPr>
              <w:spacing w:after="0" w:line="196"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Series B Convertible Preferred Stock</w:t>
              </w:r>
            </w:hyperlink>
          </w:p>
        </w:tc>
        <w:tc>
          <w:tcPr>
            <w:tcW w:w="106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6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5060" w:type="dxa"/>
            <w:vAlign w:val="bottom"/>
            <w:gridSpan w:val="15"/>
          </w:tcPr>
          <w:p>
            <w:pPr>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Certificate of Designation of Preferences, Rights and Limitations of</w:t>
              </w:r>
            </w:hyperlink>
          </w:p>
        </w:tc>
        <w:tc>
          <w:tcPr>
            <w:tcW w:w="106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060" w:type="dxa"/>
            <w:vAlign w:val="bottom"/>
            <w:gridSpan w:val="15"/>
          </w:tcPr>
          <w:p>
            <w:pPr>
              <w:spacing w:after="0" w:line="19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Series C Convertible Preferred Stock</w:t>
              </w:r>
            </w:hyperlink>
          </w:p>
        </w:tc>
        <w:tc>
          <w:tcPr>
            <w:tcW w:w="106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6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3.10</w:t>
            </w:r>
          </w:p>
        </w:tc>
        <w:tc>
          <w:tcPr>
            <w:tcW w:w="5060" w:type="dxa"/>
            <w:vAlign w:val="bottom"/>
            <w:gridSpan w:val="15"/>
          </w:tcPr>
          <w:p>
            <w:pPr>
              <w:spacing w:after="0"/>
              <w:rPr>
                <w:rFonts w:ascii="Times New Roman" w:cs="Times New Roman" w:eastAsia="Times New Roman" w:hAnsi="Times New Roman"/>
                <w:sz w:val="18"/>
                <w:szCs w:val="18"/>
                <w:color w:val="0000FF"/>
                <w:w w:val="99"/>
              </w:rPr>
            </w:pPr>
            <w:hyperlink r:id="rId222">
              <w:r>
                <w:rPr>
                  <w:rFonts w:ascii="Times New Roman" w:cs="Times New Roman" w:eastAsia="Times New Roman" w:hAnsi="Times New Roman"/>
                  <w:sz w:val="18"/>
                  <w:szCs w:val="18"/>
                  <w:color w:val="0000FF"/>
                  <w:w w:val="99"/>
                </w:rPr>
                <w:t>Certificate of Designation of Series F Preferred Stock, dated March 3,</w:t>
              </w:r>
            </w:hyperlink>
          </w:p>
        </w:tc>
        <w:tc>
          <w:tcPr>
            <w:tcW w:w="106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60" w:type="dxa"/>
            <w:vAlign w:val="bottom"/>
          </w:tcPr>
          <w:p>
            <w:pPr>
              <w:spacing w:after="0" w:line="196" w:lineRule="exact"/>
              <w:rPr>
                <w:rFonts w:ascii="Times New Roman" w:cs="Times New Roman" w:eastAsia="Times New Roman" w:hAnsi="Times New Roman"/>
                <w:sz w:val="18"/>
                <w:szCs w:val="18"/>
                <w:color w:val="0000FF"/>
                <w:w w:val="88"/>
              </w:rPr>
            </w:pPr>
            <w:hyperlink r:id="rId222">
              <w:r>
                <w:rPr>
                  <w:rFonts w:ascii="Times New Roman" w:cs="Times New Roman" w:eastAsia="Times New Roman" w:hAnsi="Times New Roman"/>
                  <w:sz w:val="18"/>
                  <w:szCs w:val="18"/>
                  <w:color w:val="0000FF"/>
                  <w:w w:val="88"/>
                </w:rPr>
                <w:t>2023</w:t>
              </w:r>
            </w:hyperlink>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6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060" w:type="dxa"/>
            <w:vAlign w:val="bottom"/>
            <w:gridSpan w:val="15"/>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Form of Series U Warrant</w:t>
              </w:r>
            </w:hyperlink>
          </w:p>
        </w:tc>
        <w:tc>
          <w:tcPr>
            <w:tcW w:w="106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68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5060" w:type="dxa"/>
            <w:vAlign w:val="bottom"/>
            <w:gridSpan w:val="15"/>
          </w:tcPr>
          <w:p>
            <w:pPr>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Form of Warrant Amendment Agreement</w:t>
              </w:r>
            </w:hyperlink>
          </w:p>
        </w:tc>
        <w:tc>
          <w:tcPr>
            <w:tcW w:w="1060" w:type="dxa"/>
            <w:vAlign w:val="bottom"/>
          </w:tcPr>
          <w:p>
            <w:pPr>
              <w:spacing w:after="0"/>
              <w:rPr>
                <w:sz w:val="24"/>
                <w:szCs w:val="24"/>
                <w:color w:val="auto"/>
              </w:rPr>
            </w:pPr>
          </w:p>
        </w:tc>
      </w:tr>
      <w:tr>
        <w:trPr>
          <w:trHeight w:val="20"/>
        </w:trPr>
        <w:tc>
          <w:tcPr>
            <w:tcW w:w="1040" w:type="dxa"/>
            <w:vAlign w:val="bottom"/>
            <w:tcBorders>
              <w:right w:val="single" w:sz="8" w:color="0000FF"/>
            </w:tcBorders>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68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5060" w:type="dxa"/>
            <w:vAlign w:val="bottom"/>
            <w:gridSpan w:val="15"/>
          </w:tcPr>
          <w:p>
            <w:pPr>
              <w:spacing w:after="0"/>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Form of Underwriters’ Warrant Amendment Agreement</w:t>
              </w:r>
            </w:hyperlink>
          </w:p>
        </w:tc>
        <w:tc>
          <w:tcPr>
            <w:tcW w:w="106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gridSpan w:val="4"/>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68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5060" w:type="dxa"/>
            <w:vAlign w:val="bottom"/>
            <w:gridSpan w:val="15"/>
          </w:tcPr>
          <w:p>
            <w:pPr>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Form of Pre-Funded Warrant</w:t>
              </w:r>
            </w:hyperlink>
          </w:p>
        </w:tc>
        <w:tc>
          <w:tcPr>
            <w:tcW w:w="106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68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50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7"/>
              </w:rPr>
              <w:t>Form of Series A Warrant (May 2024, as amended and restated August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0"/>
        </w:trPr>
        <w:tc>
          <w:tcPr>
            <w:tcW w:w="104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4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85"/>
              </w:rPr>
              <w:t>2024)</w:t>
            </w: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040" w:type="dxa"/>
            <w:vAlign w:val="bottom"/>
            <w:tcBorders>
              <w:right w:val="single" w:sz="8" w:color="0000FF"/>
            </w:tcBorders>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700" w:type="dxa"/>
            <w:vAlign w:val="bottom"/>
            <w:tcBorders>
              <w:left w:val="single" w:sz="8" w:color="0000EE"/>
            </w:tcBorders>
            <w:gridSpan w:val="7"/>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6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50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8"/>
              </w:rPr>
              <w:t>Form of Series B Warrant (May 2024, as amended and restated August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0"/>
        </w:trPr>
        <w:tc>
          <w:tcPr>
            <w:tcW w:w="104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4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85"/>
              </w:rPr>
              <w:t>2024)</w:t>
            </w: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700" w:type="dxa"/>
            <w:vAlign w:val="bottom"/>
            <w:gridSpan w:val="7"/>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6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50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Form of Amendment and Restatement of the Plus Therapeutics, Inc.</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0"/>
        </w:trPr>
        <w:tc>
          <w:tcPr>
            <w:tcW w:w="1040" w:type="dxa"/>
            <w:vAlign w:val="bottom"/>
          </w:tcPr>
          <w:p>
            <w:pPr>
              <w:spacing w:after="0" w:line="20" w:lineRule="exact"/>
              <w:rPr>
                <w:sz w:val="1"/>
                <w:szCs w:val="1"/>
                <w:color w:val="auto"/>
              </w:rPr>
            </w:pPr>
          </w:p>
        </w:tc>
        <w:tc>
          <w:tcPr>
            <w:tcW w:w="3100" w:type="dxa"/>
            <w:vAlign w:val="bottom"/>
            <w:tcBorders>
              <w:right w:val="single" w:sz="8" w:color="0000FF"/>
            </w:tcBorders>
            <w:gridSpan w:val="9"/>
            <w:shd w:val="clear" w:color="auto" w:fill="0000FF"/>
          </w:tcPr>
          <w:p>
            <w:pPr>
              <w:spacing w:after="0" w:line="20" w:lineRule="exact"/>
              <w:rPr>
                <w:sz w:val="1"/>
                <w:szCs w:val="1"/>
                <w:color w:val="auto"/>
              </w:rPr>
            </w:pPr>
          </w:p>
        </w:tc>
        <w:tc>
          <w:tcPr>
            <w:tcW w:w="182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0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Series A Common Stock Purchase Warrant</w:t>
            </w:r>
          </w:p>
        </w:tc>
        <w:tc>
          <w:tcPr>
            <w:tcW w:w="106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100" w:type="dxa"/>
            <w:vAlign w:val="bottom"/>
            <w:tcBorders>
              <w:right w:val="single" w:sz="8" w:color="0000EE"/>
            </w:tcBorders>
            <w:gridSpan w:val="9"/>
            <w:shd w:val="clear" w:color="auto" w:fill="0000FF"/>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6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50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Form of Amendment and Restatement of the Plus Therapeutics, Inc.</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0"/>
        </w:trPr>
        <w:tc>
          <w:tcPr>
            <w:tcW w:w="1040" w:type="dxa"/>
            <w:vAlign w:val="bottom"/>
          </w:tcPr>
          <w:p>
            <w:pPr>
              <w:spacing w:after="0" w:line="20" w:lineRule="exact"/>
              <w:rPr>
                <w:sz w:val="1"/>
                <w:szCs w:val="1"/>
                <w:color w:val="auto"/>
              </w:rPr>
            </w:pPr>
          </w:p>
        </w:tc>
        <w:tc>
          <w:tcPr>
            <w:tcW w:w="3100" w:type="dxa"/>
            <w:vAlign w:val="bottom"/>
            <w:tcBorders>
              <w:right w:val="single" w:sz="8" w:color="0000FF"/>
            </w:tcBorders>
            <w:gridSpan w:val="9"/>
            <w:shd w:val="clear" w:color="auto" w:fill="0000FF"/>
          </w:tcPr>
          <w:p>
            <w:pPr>
              <w:spacing w:after="0" w:line="20" w:lineRule="exact"/>
              <w:rPr>
                <w:sz w:val="1"/>
                <w:szCs w:val="1"/>
                <w:color w:val="auto"/>
              </w:rPr>
            </w:pPr>
          </w:p>
        </w:tc>
        <w:tc>
          <w:tcPr>
            <w:tcW w:w="182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0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Series B Common Stock Purchase Warrant</w:t>
            </w:r>
          </w:p>
        </w:tc>
        <w:tc>
          <w:tcPr>
            <w:tcW w:w="1060" w:type="dxa"/>
            <w:vAlign w:val="bottom"/>
          </w:tcPr>
          <w:p>
            <w:pPr>
              <w:spacing w:after="0"/>
              <w:rPr>
                <w:sz w:val="17"/>
                <w:szCs w:val="17"/>
                <w:color w:val="auto"/>
              </w:rPr>
            </w:pPr>
          </w:p>
        </w:tc>
      </w:tr>
      <w:tr>
        <w:trPr>
          <w:trHeight w:val="466"/>
        </w:trPr>
        <w:tc>
          <w:tcPr>
            <w:tcW w:w="1040" w:type="dxa"/>
            <w:vAlign w:val="bottom"/>
          </w:tcPr>
          <w:p>
            <w:pPr>
              <w:spacing w:after="0"/>
              <w:rPr>
                <w:sz w:val="24"/>
                <w:szCs w:val="24"/>
                <w:color w:val="auto"/>
              </w:rPr>
            </w:pPr>
          </w:p>
        </w:tc>
        <w:tc>
          <w:tcPr>
            <w:tcW w:w="3100" w:type="dxa"/>
            <w:vAlign w:val="bottom"/>
            <w:tcBorders>
              <w:top w:val="single" w:sz="8" w:color="0000FF"/>
            </w:tcBorders>
            <w:gridSpan w:val="9"/>
          </w:tcPr>
          <w:p>
            <w:pPr>
              <w:spacing w:after="0"/>
              <w:rPr>
                <w:sz w:val="24"/>
                <w:szCs w:val="24"/>
                <w:color w:val="auto"/>
              </w:rPr>
            </w:pPr>
          </w:p>
        </w:tc>
        <w:tc>
          <w:tcPr>
            <w:tcW w:w="14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30480</wp:posOffset>
            </wp:positionV>
            <wp:extent cx="20574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8">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39" w:lineRule="exact"/>
        <w:rPr>
          <w:sz w:val="20"/>
          <w:szCs w:val="20"/>
          <w:color w:val="auto"/>
        </w:rPr>
      </w:pPr>
    </w:p>
    <w:p>
      <w:pPr>
        <w:spacing w:after="0"/>
        <w:tabs>
          <w:tab w:leader="none" w:pos="820" w:val="left"/>
          <w:tab w:leader="none" w:pos="2020" w:val="left"/>
        </w:tabs>
        <w:rPr>
          <w:sz w:val="20"/>
          <w:szCs w:val="20"/>
          <w:color w:val="auto"/>
        </w:rPr>
      </w:pPr>
      <w:r>
        <w:rPr>
          <w:rFonts w:ascii="Times New Roman" w:cs="Times New Roman" w:eastAsia="Times New Roman" w:hAnsi="Times New Roman"/>
          <w:sz w:val="16"/>
          <w:szCs w:val="16"/>
          <w:b w:val="1"/>
          <w:bCs w:val="1"/>
          <w:color w:val="auto"/>
        </w:rPr>
        <w:t>Form</w:t>
      </w:r>
      <w:r>
        <w:rPr>
          <w:sz w:val="20"/>
          <w:szCs w:val="20"/>
          <w:color w:val="auto"/>
        </w:rPr>
        <w:tab/>
      </w:r>
      <w:r>
        <w:rPr>
          <w:rFonts w:ascii="Times New Roman" w:cs="Times New Roman" w:eastAsia="Times New Roman" w:hAnsi="Times New Roman"/>
          <w:sz w:val="16"/>
          <w:szCs w:val="16"/>
          <w:b w:val="1"/>
          <w:bCs w:val="1"/>
          <w:color w:val="auto"/>
        </w:rPr>
        <w:t>File No.</w:t>
      </w:r>
      <w:r>
        <w:rPr>
          <w:sz w:val="20"/>
          <w:szCs w:val="20"/>
          <w:color w:val="auto"/>
        </w:rPr>
        <w:tab/>
      </w:r>
      <w:r>
        <w:rPr>
          <w:rFonts w:ascii="Times New Roman" w:cs="Times New Roman" w:eastAsia="Times New Roman" w:hAnsi="Times New Roman"/>
          <w:sz w:val="16"/>
          <w:szCs w:val="16"/>
          <w:b w:val="1"/>
          <w:bCs w:val="1"/>
          <w:color w:val="auto"/>
        </w:rPr>
        <w:t>Date Filed</w:t>
      </w:r>
    </w:p>
    <w:p>
      <w:pPr>
        <w:spacing w:after="0" w:line="43" w:lineRule="exact"/>
        <w:rPr>
          <w:sz w:val="20"/>
          <w:szCs w:val="20"/>
          <w:color w:val="auto"/>
        </w:rPr>
      </w:pPr>
    </w:p>
    <w:p>
      <w:pPr>
        <w:ind w:left="720" w:right="20" w:hanging="731"/>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001-34375 03/11/2016 Exhibit 3.1</w:t>
      </w:r>
    </w:p>
    <w:p>
      <w:pPr>
        <w:spacing w:after="0" w:line="121" w:lineRule="exact"/>
        <w:rPr>
          <w:sz w:val="20"/>
          <w:szCs w:val="20"/>
          <w:color w:val="auto"/>
        </w:rPr>
      </w:pPr>
    </w:p>
    <w:p>
      <w:pPr>
        <w:ind w:left="720" w:right="20" w:hanging="686"/>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001-34375 05/10/2016 Exhibit 3.1</w:t>
      </w:r>
    </w:p>
    <w:p>
      <w:pPr>
        <w:spacing w:after="0" w:line="121" w:lineRule="exact"/>
        <w:rPr>
          <w:sz w:val="20"/>
          <w:szCs w:val="20"/>
          <w:color w:val="auto"/>
        </w:rPr>
      </w:pPr>
    </w:p>
    <w:p>
      <w:pPr>
        <w:ind w:left="720" w:right="20" w:hanging="686"/>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001-34375 05/23/2018 Exhibit 3.1</w:t>
      </w:r>
    </w:p>
    <w:p>
      <w:pPr>
        <w:spacing w:after="0" w:line="121" w:lineRule="exact"/>
        <w:rPr>
          <w:sz w:val="20"/>
          <w:szCs w:val="20"/>
          <w:color w:val="auto"/>
        </w:rPr>
      </w:pPr>
    </w:p>
    <w:p>
      <w:pPr>
        <w:ind w:left="720" w:right="20" w:hanging="686"/>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001-34375 07/29/2019 Exhibit 3.1</w:t>
      </w:r>
    </w:p>
    <w:p>
      <w:pPr>
        <w:spacing w:after="0" w:line="121" w:lineRule="exact"/>
        <w:rPr>
          <w:sz w:val="20"/>
          <w:szCs w:val="20"/>
          <w:color w:val="auto"/>
        </w:rPr>
      </w:pPr>
    </w:p>
    <w:p>
      <w:pPr>
        <w:ind w:left="720" w:right="20" w:hanging="686"/>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001-34375 08/06/2019 Exhibit 3.1</w:t>
      </w:r>
    </w:p>
    <w:p>
      <w:pPr>
        <w:spacing w:after="0" w:line="113" w:lineRule="exact"/>
        <w:rPr>
          <w:sz w:val="20"/>
          <w:szCs w:val="20"/>
          <w:color w:val="auto"/>
        </w:rPr>
      </w:pPr>
    </w:p>
    <w:p>
      <w:pPr>
        <w:ind w:left="40"/>
        <w:spacing w:after="0"/>
        <w:tabs>
          <w:tab w:leader="none" w:pos="700" w:val="left"/>
          <w:tab w:leader="none" w:pos="1960" w:val="left"/>
        </w:tabs>
        <w:rPr>
          <w:sz w:val="20"/>
          <w:szCs w:val="20"/>
          <w:color w:val="auto"/>
        </w:rPr>
      </w:pPr>
      <w:r>
        <w:rPr>
          <w:rFonts w:ascii="Times New Roman" w:cs="Times New Roman" w:eastAsia="Times New Roman" w:hAnsi="Times New Roman"/>
          <w:sz w:val="19"/>
          <w:szCs w:val="19"/>
          <w:color w:val="auto"/>
        </w:rPr>
        <w:t>8-K</w:t>
      </w:r>
      <w:r>
        <w:rPr>
          <w:sz w:val="20"/>
          <w:szCs w:val="20"/>
          <w:color w:val="auto"/>
        </w:rPr>
        <w:tab/>
      </w:r>
      <w:r>
        <w:rPr>
          <w:rFonts w:ascii="Times New Roman" w:cs="Times New Roman" w:eastAsia="Times New Roman" w:hAnsi="Times New Roman"/>
          <w:sz w:val="18"/>
          <w:szCs w:val="18"/>
          <w:color w:val="auto"/>
        </w:rPr>
        <w:t>001-34375</w:t>
      </w:r>
      <w:r>
        <w:rPr>
          <w:sz w:val="20"/>
          <w:szCs w:val="20"/>
          <w:color w:val="auto"/>
        </w:rPr>
        <w:tab/>
      </w:r>
      <w:r>
        <w:rPr>
          <w:rFonts w:ascii="Times New Roman" w:cs="Times New Roman" w:eastAsia="Times New Roman" w:hAnsi="Times New Roman"/>
          <w:sz w:val="18"/>
          <w:szCs w:val="18"/>
          <w:color w:val="auto"/>
        </w:rPr>
        <w:t>04/28/2023</w:t>
      </w:r>
    </w:p>
    <w:p>
      <w:pPr>
        <w:spacing w:after="0" w:line="2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Exhibit 3.1</w:t>
      </w:r>
    </w:p>
    <w:p>
      <w:pPr>
        <w:spacing w:after="0" w:line="165" w:lineRule="exact"/>
        <w:rPr>
          <w:sz w:val="20"/>
          <w:szCs w:val="20"/>
          <w:color w:val="auto"/>
        </w:rPr>
      </w:pPr>
    </w:p>
    <w:p>
      <w:pPr>
        <w:ind w:left="720" w:right="20" w:hanging="664"/>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001-34375 09/21/2021 Exhibit 3.1</w:t>
      </w:r>
    </w:p>
    <w:p>
      <w:pPr>
        <w:spacing w:after="0" w:line="216" w:lineRule="exact"/>
        <w:rPr>
          <w:sz w:val="20"/>
          <w:szCs w:val="20"/>
          <w:color w:val="auto"/>
        </w:rPr>
      </w:pPr>
    </w:p>
    <w:p>
      <w:pPr>
        <w:ind w:left="700" w:right="20" w:hanging="641"/>
        <w:spacing w:after="0" w:line="282" w:lineRule="auto"/>
        <w:tabs>
          <w:tab w:leader="none" w:pos="68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001-34375 11/28/2017 Exhibit 3.1</w:t>
      </w:r>
    </w:p>
    <w:p>
      <w:pPr>
        <w:spacing w:after="0" w:line="216" w:lineRule="exact"/>
        <w:rPr>
          <w:sz w:val="20"/>
          <w:szCs w:val="20"/>
          <w:color w:val="auto"/>
        </w:rPr>
      </w:pPr>
    </w:p>
    <w:p>
      <w:pPr>
        <w:ind w:left="720" w:right="20" w:hanging="686"/>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001-34375 07/25/2018 Exhibit 3.1</w:t>
      </w:r>
    </w:p>
    <w:p>
      <w:pPr>
        <w:spacing w:after="0" w:line="216" w:lineRule="exact"/>
        <w:rPr>
          <w:sz w:val="20"/>
          <w:szCs w:val="20"/>
          <w:color w:val="auto"/>
        </w:rPr>
      </w:pPr>
    </w:p>
    <w:p>
      <w:pPr>
        <w:ind w:left="720" w:right="20" w:hanging="664"/>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001-34375 03/03/2023 Exhibit 3.1</w:t>
      </w:r>
    </w:p>
    <w:p>
      <w:pPr>
        <w:spacing w:after="0" w:line="216" w:lineRule="exact"/>
        <w:rPr>
          <w:sz w:val="20"/>
          <w:szCs w:val="20"/>
          <w:color w:val="auto"/>
        </w:rPr>
      </w:pPr>
    </w:p>
    <w:p>
      <w:pPr>
        <w:ind w:left="680" w:right="20" w:hanging="694"/>
        <w:spacing w:after="0" w:line="282" w:lineRule="auto"/>
        <w:tabs>
          <w:tab w:leader="none" w:pos="660" w:val="left"/>
        </w:tabs>
        <w:rPr>
          <w:sz w:val="20"/>
          <w:szCs w:val="20"/>
          <w:color w:val="auto"/>
        </w:rPr>
      </w:pPr>
      <w:r>
        <w:rPr>
          <w:rFonts w:ascii="Times New Roman" w:cs="Times New Roman" w:eastAsia="Times New Roman" w:hAnsi="Times New Roman"/>
          <w:sz w:val="18"/>
          <w:szCs w:val="18"/>
          <w:color w:val="auto"/>
        </w:rPr>
        <w:t>S-1/A</w:t>
        <w:tab/>
        <w:t>333-229485 09/16/2019 Exhibit 4.37</w:t>
      </w:r>
    </w:p>
    <w:p>
      <w:pPr>
        <w:spacing w:after="0" w:line="216" w:lineRule="exact"/>
        <w:rPr>
          <w:sz w:val="20"/>
          <w:szCs w:val="20"/>
          <w:color w:val="auto"/>
        </w:rPr>
      </w:pPr>
    </w:p>
    <w:p>
      <w:pPr>
        <w:ind w:left="720" w:right="20" w:hanging="686"/>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001-34375 04/23/2020 Exhibit 4.1</w:t>
      </w:r>
    </w:p>
    <w:p>
      <w:pPr>
        <w:spacing w:after="0" w:line="216" w:lineRule="exact"/>
        <w:rPr>
          <w:sz w:val="20"/>
          <w:szCs w:val="20"/>
          <w:color w:val="auto"/>
        </w:rPr>
      </w:pPr>
    </w:p>
    <w:p>
      <w:pPr>
        <w:ind w:left="720" w:right="20" w:hanging="664"/>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001-34375 10/05/2020 Exhibit 4.1</w:t>
      </w:r>
    </w:p>
    <w:p>
      <w:pPr>
        <w:spacing w:after="0" w:line="216" w:lineRule="exact"/>
        <w:rPr>
          <w:sz w:val="20"/>
          <w:szCs w:val="20"/>
          <w:color w:val="auto"/>
        </w:rPr>
      </w:pPr>
    </w:p>
    <w:p>
      <w:pPr>
        <w:ind w:left="720" w:right="20" w:hanging="664"/>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001-34375 05/09/2024 Exhibit 4.1</w:t>
      </w:r>
    </w:p>
    <w:p>
      <w:pPr>
        <w:sectPr>
          <w:pgSz w:w="11900" w:h="16838" w:orient="portrait"/>
          <w:cols w:equalWidth="0" w:num="2">
            <w:col w:w="7580" w:space="160"/>
            <w:col w:w="2840"/>
          </w:cols>
          <w:pgMar w:left="320" w:top="981" w:right="999" w:bottom="1440" w:gutter="0" w:footer="0" w:header="0"/>
          <w:type w:val="continuous"/>
        </w:sectPr>
      </w:pPr>
    </w:p>
    <w:bookmarkStart w:id="33" w:name="page34"/>
    <w:bookmarkEnd w:id="33"/>
    <w:tbl>
      <w:tblPr>
        <w:tblLayout w:type="fixed"/>
        <w:tblInd w:w="412"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100" w:type="dxa"/>
            <w:vAlign w:val="bottom"/>
            <w:gridSpan w:val="14"/>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Securities Purchase Agreement, dated May 5, 2024, by and among</w:t>
              </w:r>
            </w:hyperlink>
          </w:p>
        </w:tc>
        <w:tc>
          <w:tcPr>
            <w:tcW w:w="168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05/09/2024</w:t>
            </w:r>
          </w:p>
        </w:tc>
      </w:tr>
      <w:tr>
        <w:trPr>
          <w:trHeight w:val="20"/>
        </w:trPr>
        <w:tc>
          <w:tcPr>
            <w:tcW w:w="104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100" w:type="dxa"/>
            <w:vAlign w:val="bottom"/>
            <w:gridSpan w:val="14"/>
          </w:tcPr>
          <w:p>
            <w:pPr>
              <w:spacing w:after="0" w:line="19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Plus Therapeutics, Inc. and the purchasers named therein</w:t>
              </w:r>
            </w:hyperlink>
          </w:p>
        </w:tc>
        <w:tc>
          <w:tcPr>
            <w:tcW w:w="1680" w:type="dxa"/>
            <w:vAlign w:val="bottom"/>
          </w:tcPr>
          <w:p>
            <w:pPr>
              <w:spacing w:after="0"/>
              <w:rPr>
                <w:sz w:val="17"/>
                <w:szCs w:val="17"/>
                <w:color w:val="auto"/>
              </w:rPr>
            </w:pPr>
          </w:p>
        </w:tc>
        <w:tc>
          <w:tcPr>
            <w:tcW w:w="128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Exhibit 10.1</w:t>
            </w:r>
          </w:p>
        </w:tc>
        <w:tc>
          <w:tcPr>
            <w:tcW w:w="104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6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100" w:type="dxa"/>
            <w:vAlign w:val="bottom"/>
            <w:gridSpan w:val="14"/>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First Amendment to Securities Purchase Agreement, dated May 8,</w:t>
              </w:r>
            </w:hyperlink>
          </w:p>
        </w:tc>
        <w:tc>
          <w:tcPr>
            <w:tcW w:w="168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05/09/2024</w:t>
            </w:r>
          </w:p>
        </w:tc>
      </w:tr>
      <w:tr>
        <w:trPr>
          <w:trHeight w:val="20"/>
        </w:trPr>
        <w:tc>
          <w:tcPr>
            <w:tcW w:w="104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100" w:type="dxa"/>
            <w:vAlign w:val="bottom"/>
            <w:gridSpan w:val="14"/>
          </w:tcPr>
          <w:p>
            <w:pPr>
              <w:spacing w:after="0" w:line="19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2024, by and among Plus Therapeutics, Inc. and the purchasers named</w:t>
              </w:r>
            </w:hyperlink>
          </w:p>
        </w:tc>
        <w:tc>
          <w:tcPr>
            <w:tcW w:w="1680" w:type="dxa"/>
            <w:vAlign w:val="bottom"/>
          </w:tcPr>
          <w:p>
            <w:pPr>
              <w:spacing w:after="0"/>
              <w:rPr>
                <w:sz w:val="17"/>
                <w:szCs w:val="17"/>
                <w:color w:val="auto"/>
              </w:rPr>
            </w:pPr>
          </w:p>
        </w:tc>
        <w:tc>
          <w:tcPr>
            <w:tcW w:w="128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Exhibit 10.2</w:t>
            </w:r>
          </w:p>
        </w:tc>
        <w:tc>
          <w:tcPr>
            <w:tcW w:w="104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100" w:type="dxa"/>
            <w:vAlign w:val="bottom"/>
            <w:gridSpan w:val="14"/>
          </w:tcPr>
          <w:p>
            <w:pPr>
              <w:spacing w:after="0" w:line="19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therein</w:t>
              </w:r>
            </w:hyperlink>
          </w:p>
        </w:tc>
        <w:tc>
          <w:tcPr>
            <w:tcW w:w="1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6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5100" w:type="dxa"/>
            <w:vAlign w:val="bottom"/>
            <w:gridSpan w:val="14"/>
          </w:tcPr>
          <w:p>
            <w:pPr>
              <w:spacing w:after="0"/>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Registration Rights Agreement, dated as of May 5, 2024, by and</w:t>
              </w:r>
            </w:hyperlink>
          </w:p>
        </w:tc>
        <w:tc>
          <w:tcPr>
            <w:tcW w:w="168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05/09/2024</w:t>
            </w:r>
          </w:p>
        </w:tc>
      </w:tr>
      <w:tr>
        <w:trPr>
          <w:trHeight w:val="20"/>
        </w:trPr>
        <w:tc>
          <w:tcPr>
            <w:tcW w:w="1040" w:type="dxa"/>
            <w:vAlign w:val="bottom"/>
          </w:tcPr>
          <w:p>
            <w:pPr>
              <w:spacing w:after="0" w:line="20" w:lineRule="exact"/>
              <w:rPr>
                <w:sz w:val="1"/>
                <w:szCs w:val="1"/>
                <w:color w:val="auto"/>
              </w:rPr>
            </w:pPr>
          </w:p>
        </w:tc>
        <w:tc>
          <w:tcPr>
            <w:tcW w:w="23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100" w:type="dxa"/>
            <w:vAlign w:val="bottom"/>
            <w:gridSpan w:val="14"/>
          </w:tcPr>
          <w:p>
            <w:pPr>
              <w:spacing w:after="0" w:line="19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among Plus Therapeutics, Inc. and the purchasers named therein</w:t>
              </w:r>
            </w:hyperlink>
          </w:p>
        </w:tc>
        <w:tc>
          <w:tcPr>
            <w:tcW w:w="1680" w:type="dxa"/>
            <w:vAlign w:val="bottom"/>
          </w:tcPr>
          <w:p>
            <w:pPr>
              <w:spacing w:after="0"/>
              <w:rPr>
                <w:sz w:val="17"/>
                <w:szCs w:val="17"/>
                <w:color w:val="auto"/>
              </w:rPr>
            </w:pPr>
          </w:p>
        </w:tc>
        <w:tc>
          <w:tcPr>
            <w:tcW w:w="128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Exhibit 10.3</w:t>
            </w:r>
          </w:p>
        </w:tc>
        <w:tc>
          <w:tcPr>
            <w:tcW w:w="104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3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6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100" w:type="dxa"/>
            <w:vAlign w:val="bottom"/>
            <w:gridSpan w:val="14"/>
          </w:tcPr>
          <w:p>
            <w:pPr>
              <w:spacing w:after="0"/>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Third Amendment to the 2015 New Employee Incentive Plan</w:t>
              </w:r>
            </w:hyperlink>
          </w:p>
        </w:tc>
        <w:tc>
          <w:tcPr>
            <w:tcW w:w="168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5"/>
              </w:rPr>
              <w:t>S-1</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333-280061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06/07/2024</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3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6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5100" w:type="dxa"/>
            <w:vAlign w:val="bottom"/>
            <w:gridSpan w:val="14"/>
          </w:tcPr>
          <w:p>
            <w:pPr>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Lending Agreement, dated April 5, 2024, by and between Plus</w:t>
              </w:r>
            </w:hyperlink>
          </w:p>
        </w:tc>
        <w:tc>
          <w:tcPr>
            <w:tcW w:w="168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06/04/2024</w:t>
            </w:r>
          </w:p>
        </w:tc>
      </w:tr>
      <w:tr>
        <w:trPr>
          <w:trHeight w:val="20"/>
        </w:trPr>
        <w:tc>
          <w:tcPr>
            <w:tcW w:w="1040" w:type="dxa"/>
            <w:vAlign w:val="bottom"/>
          </w:tcPr>
          <w:p>
            <w:pPr>
              <w:spacing w:after="0" w:line="20" w:lineRule="exact"/>
              <w:rPr>
                <w:sz w:val="1"/>
                <w:szCs w:val="1"/>
                <w:color w:val="auto"/>
              </w:rPr>
            </w:pPr>
          </w:p>
        </w:tc>
        <w:tc>
          <w:tcPr>
            <w:tcW w:w="23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100" w:type="dxa"/>
            <w:vAlign w:val="bottom"/>
            <w:gridSpan w:val="14"/>
          </w:tcPr>
          <w:p>
            <w:pPr>
              <w:spacing w:after="0" w:line="19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Therapeutics, Inc. and Pershing LLC</w:t>
              </w:r>
            </w:hyperlink>
          </w:p>
        </w:tc>
        <w:tc>
          <w:tcPr>
            <w:tcW w:w="1680" w:type="dxa"/>
            <w:vAlign w:val="bottom"/>
          </w:tcPr>
          <w:p>
            <w:pPr>
              <w:spacing w:after="0"/>
              <w:rPr>
                <w:sz w:val="17"/>
                <w:szCs w:val="17"/>
                <w:color w:val="auto"/>
              </w:rPr>
            </w:pPr>
          </w:p>
        </w:tc>
        <w:tc>
          <w:tcPr>
            <w:tcW w:w="128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Exhibit 10.1</w:t>
            </w:r>
          </w:p>
        </w:tc>
        <w:tc>
          <w:tcPr>
            <w:tcW w:w="104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3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6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5100" w:type="dxa"/>
            <w:vAlign w:val="bottom"/>
            <w:gridSpan w:val="14"/>
          </w:tcPr>
          <w:p>
            <w:pPr>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Loan Interest Form, dated May 24, 2024, by and between Plus</w:t>
              </w:r>
            </w:hyperlink>
          </w:p>
        </w:tc>
        <w:tc>
          <w:tcPr>
            <w:tcW w:w="168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06/04/2024</w:t>
            </w:r>
          </w:p>
        </w:tc>
      </w:tr>
      <w:tr>
        <w:trPr>
          <w:trHeight w:val="20"/>
        </w:trPr>
        <w:tc>
          <w:tcPr>
            <w:tcW w:w="1040" w:type="dxa"/>
            <w:vAlign w:val="bottom"/>
          </w:tcPr>
          <w:p>
            <w:pPr>
              <w:spacing w:after="0" w:line="20" w:lineRule="exact"/>
              <w:rPr>
                <w:sz w:val="1"/>
                <w:szCs w:val="1"/>
                <w:color w:val="auto"/>
              </w:rPr>
            </w:pPr>
          </w:p>
        </w:tc>
        <w:tc>
          <w:tcPr>
            <w:tcW w:w="23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100" w:type="dxa"/>
            <w:vAlign w:val="bottom"/>
            <w:gridSpan w:val="14"/>
          </w:tcPr>
          <w:p>
            <w:pPr>
              <w:spacing w:after="0" w:line="19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Therapeutics, Inc. and Pershing LLC</w:t>
              </w:r>
            </w:hyperlink>
          </w:p>
        </w:tc>
        <w:tc>
          <w:tcPr>
            <w:tcW w:w="1680" w:type="dxa"/>
            <w:vAlign w:val="bottom"/>
          </w:tcPr>
          <w:p>
            <w:pPr>
              <w:spacing w:after="0"/>
              <w:rPr>
                <w:sz w:val="17"/>
                <w:szCs w:val="17"/>
                <w:color w:val="auto"/>
              </w:rPr>
            </w:pPr>
          </w:p>
        </w:tc>
        <w:tc>
          <w:tcPr>
            <w:tcW w:w="128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Exhibit 10.2</w:t>
            </w:r>
          </w:p>
        </w:tc>
        <w:tc>
          <w:tcPr>
            <w:tcW w:w="104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3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6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100" w:type="dxa"/>
            <w:vAlign w:val="bottom"/>
            <w:gridSpan w:val="14"/>
          </w:tcPr>
          <w:p>
            <w:pPr>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Extension of Credit, dated May 29, 2024, by and between Plus</w:t>
              </w:r>
            </w:hyperlink>
          </w:p>
        </w:tc>
        <w:tc>
          <w:tcPr>
            <w:tcW w:w="168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06/04/2024</w:t>
            </w:r>
          </w:p>
        </w:tc>
      </w:tr>
      <w:tr>
        <w:trPr>
          <w:trHeight w:val="20"/>
        </w:trPr>
        <w:tc>
          <w:tcPr>
            <w:tcW w:w="1040" w:type="dxa"/>
            <w:vAlign w:val="bottom"/>
          </w:tcPr>
          <w:p>
            <w:pPr>
              <w:spacing w:after="0" w:line="20" w:lineRule="exact"/>
              <w:rPr>
                <w:sz w:val="1"/>
                <w:szCs w:val="1"/>
                <w:color w:val="auto"/>
              </w:rPr>
            </w:pPr>
          </w:p>
        </w:tc>
        <w:tc>
          <w:tcPr>
            <w:tcW w:w="23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100" w:type="dxa"/>
            <w:vAlign w:val="bottom"/>
            <w:gridSpan w:val="14"/>
          </w:tcPr>
          <w:p>
            <w:pPr>
              <w:spacing w:after="0" w:line="19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Therapeutics, Inc. and Pershing LLC</w:t>
              </w:r>
            </w:hyperlink>
          </w:p>
        </w:tc>
        <w:tc>
          <w:tcPr>
            <w:tcW w:w="1680" w:type="dxa"/>
            <w:vAlign w:val="bottom"/>
          </w:tcPr>
          <w:p>
            <w:pPr>
              <w:spacing w:after="0"/>
              <w:rPr>
                <w:sz w:val="17"/>
                <w:szCs w:val="17"/>
                <w:color w:val="auto"/>
              </w:rPr>
            </w:pPr>
          </w:p>
        </w:tc>
        <w:tc>
          <w:tcPr>
            <w:tcW w:w="128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Exhibit 10.3</w:t>
            </w:r>
          </w:p>
        </w:tc>
        <w:tc>
          <w:tcPr>
            <w:tcW w:w="104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3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6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1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Securities</w:t>
            </w:r>
          </w:p>
        </w:tc>
        <w:tc>
          <w:tcPr>
            <w:tcW w:w="1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X</w:t>
            </w: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23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1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Exchange Act Rule 13a-14(a), as adopted pursuant to Section 302 of</w:t>
            </w:r>
          </w:p>
        </w:tc>
        <w:tc>
          <w:tcPr>
            <w:tcW w:w="1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3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1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1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32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7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1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and Accounting Officer Pursuant to</w:t>
            </w:r>
          </w:p>
        </w:tc>
        <w:tc>
          <w:tcPr>
            <w:tcW w:w="1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X</w:t>
            </w: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1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Securities Exchange Act Rule 13a-14(a), as adopted pursuant to</w:t>
            </w:r>
          </w:p>
        </w:tc>
        <w:tc>
          <w:tcPr>
            <w:tcW w:w="1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1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1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1020" w:type="dxa"/>
            <w:vAlign w:val="bottom"/>
            <w:tcBorders>
              <w:right w:val="single" w:sz="8" w:color="0000EE"/>
            </w:tcBorders>
            <w:gridSpan w:val="2"/>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1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Certifications Pursuant to 18 U.S.C. Section 1350/ Securities</w:t>
            </w:r>
          </w:p>
        </w:tc>
        <w:tc>
          <w:tcPr>
            <w:tcW w:w="1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X</w:t>
            </w: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1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Exchange Act Rule 13a-14(b), as adopted pursuant to Section 906 of</w:t>
            </w:r>
          </w:p>
        </w:tc>
        <w:tc>
          <w:tcPr>
            <w:tcW w:w="1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2580" w:type="dxa"/>
            <w:vAlign w:val="bottom"/>
            <w:gridSpan w:val="9"/>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1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the Sarbanes - Oxley Act of 2002</w:t>
            </w:r>
          </w:p>
        </w:tc>
        <w:tc>
          <w:tcPr>
            <w:tcW w:w="1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2720" w:type="dxa"/>
            <w:vAlign w:val="bottom"/>
            <w:gridSpan w:val="11"/>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9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1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1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X</w:t>
            </w: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1040" w:type="dxa"/>
            <w:vAlign w:val="bottom"/>
          </w:tcPr>
          <w:p>
            <w:pPr>
              <w:spacing w:after="0"/>
              <w:rPr>
                <w:sz w:val="18"/>
                <w:szCs w:val="18"/>
                <w:color w:val="auto"/>
              </w:rPr>
            </w:pPr>
          </w:p>
        </w:tc>
        <w:tc>
          <w:tcPr>
            <w:tcW w:w="51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1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1040" w:type="dxa"/>
            <w:vAlign w:val="bottom"/>
          </w:tcPr>
          <w:p>
            <w:pPr>
              <w:spacing w:after="0"/>
              <w:rPr>
                <w:sz w:val="20"/>
                <w:szCs w:val="20"/>
                <w:color w:val="auto"/>
              </w:rPr>
            </w:pPr>
          </w:p>
        </w:tc>
        <w:tc>
          <w:tcPr>
            <w:tcW w:w="51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1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7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1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c>
          <w:tcPr>
            <w:tcW w:w="1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X</w:t>
            </w: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51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Documents</w:t>
            </w:r>
          </w:p>
        </w:tc>
        <w:tc>
          <w:tcPr>
            <w:tcW w:w="1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7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1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1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X</w:t>
            </w: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51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1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63" w:lineRule="exact"/>
        <w:rPr>
          <w:sz w:val="20"/>
          <w:szCs w:val="20"/>
          <w:color w:val="auto"/>
        </w:rPr>
      </w:pPr>
    </w:p>
    <w:p>
      <w:pPr>
        <w:ind w:left="512" w:hanging="512"/>
        <w:spacing w:after="0" w:line="231" w:lineRule="exact"/>
        <w:tabs>
          <w:tab w:leader="none" w:pos="36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SEC Release No. 34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47986, the certifications furnished in Exhibit 32.1 hereto is deemed to accompany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will not be deemed “filed” for purposes of Section 18 of the Exchange Act or deemed to be incorporated by reference into any filing under the Exchange Act or the Securities Act of 1933 except to the extent that the Company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28" w:top="1229" w:right="419" w:bottom="1440" w:gutter="0" w:footer="0" w:header="0"/>
        </w:sectPr>
      </w:pPr>
    </w:p>
    <w:bookmarkStart w:id="34" w:name="page35"/>
    <w:bookmarkEnd w:id="3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7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283" w:lineRule="exact"/>
        <w:rPr>
          <w:sz w:val="20"/>
          <w:szCs w:val="20"/>
          <w:color w:val="auto"/>
        </w:rPr>
      </w:pPr>
    </w:p>
    <w:p>
      <w:pPr>
        <w:ind w:left="6780"/>
        <w:spacing w:after="0"/>
        <w:tabs>
          <w:tab w:leader="none" w:pos="7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Marc H. Hedrick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7200" w:val="left"/>
        </w:tabs>
        <w:rPr>
          <w:sz w:val="20"/>
          <w:szCs w:val="20"/>
          <w:color w:val="auto"/>
        </w:rPr>
      </w:pPr>
      <w:r>
        <w:rPr>
          <w:rFonts w:ascii="Times New Roman" w:cs="Times New Roman" w:eastAsia="Times New Roman" w:hAnsi="Times New Roman"/>
          <w:sz w:val="18"/>
          <w:szCs w:val="18"/>
          <w:color w:val="auto"/>
        </w:rPr>
        <w:t>Dated: August 14, 2024</w:t>
      </w:r>
      <w:r>
        <w:rPr>
          <w:sz w:val="20"/>
          <w:szCs w:val="20"/>
          <w:color w:val="auto"/>
        </w:rPr>
        <w:tab/>
      </w:r>
      <w:r>
        <w:rPr>
          <w:rFonts w:ascii="Times New Roman" w:cs="Times New Roman" w:eastAsia="Times New Roman" w:hAnsi="Times New Roman"/>
          <w:sz w:val="17"/>
          <w:szCs w:val="17"/>
          <w:color w:val="auto"/>
        </w:rPr>
        <w:t>Marc H. Hedrick</w:t>
      </w:r>
    </w:p>
    <w:p>
      <w:pPr>
        <w:spacing w:after="0" w:line="34"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i w:val="1"/>
          <w:iCs w:val="1"/>
          <w:color w:val="auto"/>
        </w:rPr>
        <w:t>President &amp; Chief Executive Officer (Duly Authorized</w:t>
      </w:r>
    </w:p>
    <w:p>
      <w:pPr>
        <w:spacing w:after="0" w:line="2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i w:val="1"/>
          <w:iCs w:val="1"/>
          <w:color w:val="auto"/>
        </w:rPr>
        <w:t>Officer and Principal Executive Officer)</w:t>
      </w:r>
    </w:p>
    <w:p>
      <w:pPr>
        <w:spacing w:after="0" w:line="261" w:lineRule="exact"/>
        <w:rPr>
          <w:sz w:val="20"/>
          <w:szCs w:val="20"/>
          <w:color w:val="auto"/>
        </w:rPr>
      </w:pPr>
    </w:p>
    <w:p>
      <w:pPr>
        <w:ind w:left="6780"/>
        <w:spacing w:after="0"/>
        <w:tabs>
          <w:tab w:leader="none" w:pos="7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Sims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7200" w:val="left"/>
        </w:tabs>
        <w:rPr>
          <w:sz w:val="20"/>
          <w:szCs w:val="20"/>
          <w:color w:val="auto"/>
        </w:rPr>
      </w:pPr>
      <w:r>
        <w:rPr>
          <w:rFonts w:ascii="Times New Roman" w:cs="Times New Roman" w:eastAsia="Times New Roman" w:hAnsi="Times New Roman"/>
          <w:sz w:val="18"/>
          <w:szCs w:val="18"/>
          <w:color w:val="auto"/>
        </w:rPr>
        <w:t>Dated: August 14, 2024</w:t>
      </w:r>
      <w:r>
        <w:rPr>
          <w:sz w:val="20"/>
          <w:szCs w:val="20"/>
          <w:color w:val="auto"/>
        </w:rPr>
        <w:tab/>
      </w:r>
      <w:r>
        <w:rPr>
          <w:rFonts w:ascii="Times New Roman" w:cs="Times New Roman" w:eastAsia="Times New Roman" w:hAnsi="Times New Roman"/>
          <w:sz w:val="17"/>
          <w:szCs w:val="17"/>
          <w:color w:val="auto"/>
        </w:rPr>
        <w:t>Andrew Sims</w:t>
      </w:r>
    </w:p>
    <w:p>
      <w:pPr>
        <w:spacing w:after="0" w:line="34"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i w:val="1"/>
          <w:iCs w:val="1"/>
          <w:color w:val="auto"/>
        </w:rPr>
        <w:t>Chief Financial Officer (Duly Authorized Officer and</w:t>
      </w:r>
    </w:p>
    <w:p>
      <w:pPr>
        <w:spacing w:after="0" w:line="2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00" w:lineRule="exact"/>
        <w:rPr>
          <w:sz w:val="20"/>
          <w:szCs w:val="20"/>
          <w:color w:val="auto"/>
        </w:rPr>
      </w:pPr>
    </w:p>
    <w:p>
      <w:pPr>
        <w:spacing w:after="0" w:line="23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SERIES A COMMON STOCK PURCHASE WARRANT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220"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8"/>
          <w:szCs w:val="18"/>
          <w:color w:val="auto"/>
        </w:rPr>
        <w:t>Warrant Shares:</w:t>
      </w:r>
      <w:r>
        <w:rPr>
          <w:sz w:val="20"/>
          <w:szCs w:val="20"/>
          <w:color w:val="auto"/>
        </w:rPr>
        <w:tab/>
      </w:r>
      <w:r>
        <w:rPr>
          <w:rFonts w:ascii="Times New Roman" w:cs="Times New Roman" w:eastAsia="Times New Roman" w:hAnsi="Times New Roman"/>
          <w:sz w:val="18"/>
          <w:szCs w:val="18"/>
          <w:color w:val="auto"/>
        </w:rPr>
        <w:t>Issue Date: August 9, 2024</w:t>
      </w:r>
    </w:p>
    <w:p>
      <w:pPr>
        <w:spacing w:after="0" w:line="23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THIS SERIES A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________________ or its</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date hereof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the five year anniversary of the Initial Exercise Date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Plus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 shares (as subject to 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the Company’s common stock, par value $0.001 per share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The purchase price of one Warrant Share under this Warrant shall be equal to the Exercise Price, as defined in Section 2(b).</w:t>
      </w:r>
    </w:p>
    <w:p>
      <w:pPr>
        <w:spacing w:after="0" w:line="20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May 3, 2024, among the Company and the purchasers signatory thereto.</w:t>
      </w:r>
    </w:p>
    <w:p>
      <w:pPr>
        <w:spacing w:after="0" w:line="162" w:lineRule="exact"/>
        <w:rPr>
          <w:sz w:val="20"/>
          <w:szCs w:val="20"/>
          <w:color w:val="auto"/>
        </w:rPr>
      </w:pPr>
    </w:p>
    <w:p>
      <w:pPr>
        <w:ind w:left="520"/>
        <w:spacing w:after="0"/>
        <w:tabs>
          <w:tab w:leader="none" w:pos="1400" w:val="left"/>
        </w:tabs>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Exercise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940" w:firstLine="514"/>
        <w:spacing w:after="0" w:line="255" w:lineRule="auto"/>
        <w:tabs>
          <w:tab w:leader="none" w:pos="179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as Exhibit A-1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On the earlier of (i) the second Trading Day and (ii) the last Trading Day of the applicable Standard Settlement Period (as defined in Section 2(d)</w:t>
      </w:r>
    </w:p>
    <w:p>
      <w:pPr>
        <w:spacing w:after="0" w:line="2" w:lineRule="exact"/>
        <w:rPr>
          <w:rFonts w:ascii="Times New Roman" w:cs="Times New Roman" w:eastAsia="Times New Roman" w:hAnsi="Times New Roman"/>
          <w:sz w:val="18"/>
          <w:szCs w:val="18"/>
          <w:color w:val="auto"/>
        </w:rPr>
      </w:pPr>
    </w:p>
    <w:p>
      <w:pPr>
        <w:jc w:val="both"/>
        <w:ind w:left="940" w:firstLine="5"/>
        <w:spacing w:after="0" w:line="250" w:lineRule="auto"/>
        <w:tabs>
          <w:tab w:leader="none" w:pos="11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herein) following the date said Notice of Exercise is delivered to the Company, the Holder shall deliver payment of the aggregate Exercise Price of the shares thereby purchased pursuant to the applicable Notice of Exercise by wire transfer or cashier’s check drawn on a United States bank or, if available, pursuant to the cashless exercise procedure specified in Section 2(c) below if specified in the applicable Notice of Exercise. No ink-original Notice of Exercise shall be required, nor shall any medallion guarantee (or other type of guarantee or notarization) of any Notice of Exercise form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five (5) Trading Days of the date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935990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00" w:lineRule="exact"/>
        <w:rPr>
          <w:sz w:val="20"/>
          <w:szCs w:val="20"/>
          <w:color w:val="auto"/>
        </w:rPr>
      </w:pPr>
    </w:p>
    <w:p>
      <w:pPr>
        <w:spacing w:after="0" w:line="245" w:lineRule="exact"/>
        <w:rPr>
          <w:sz w:val="20"/>
          <w:szCs w:val="20"/>
          <w:color w:val="auto"/>
        </w:rPr>
      </w:pPr>
    </w:p>
    <w:p>
      <w:pPr>
        <w:jc w:val="both"/>
        <w:ind w:left="940"/>
        <w:spacing w:after="0" w:line="258" w:lineRule="auto"/>
        <w:rPr>
          <w:sz w:val="20"/>
          <w:szCs w:val="20"/>
          <w:color w:val="auto"/>
        </w:rPr>
      </w:pPr>
      <w:r>
        <w:rPr>
          <w:rFonts w:ascii="Times New Roman" w:cs="Times New Roman" w:eastAsia="Times New Roman" w:hAnsi="Times New Roman"/>
          <w:sz w:val="18"/>
          <w:szCs w:val="18"/>
          <w:color w:val="auto"/>
        </w:rPr>
        <w:t xml:space="preserve">showing the number of Warrant Shares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8"/>
          <w:szCs w:val="18"/>
          <w:b w:val="1"/>
          <w:bCs w:val="1"/>
          <w:color w:val="auto"/>
        </w:rPr>
        <w:t>The Holder and any assignee, by acceptance of this Warrant, acknowledge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83" w:lineRule="exact"/>
        <w:rPr>
          <w:sz w:val="20"/>
          <w:szCs w:val="20"/>
          <w:color w:val="auto"/>
        </w:rPr>
      </w:pPr>
    </w:p>
    <w:p>
      <w:pPr>
        <w:ind w:left="940" w:firstLine="514"/>
        <w:spacing w:after="0" w:line="282" w:lineRule="auto"/>
        <w:tabs>
          <w:tab w:leader="none" w:pos="177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of Common Stock under this Warrant shall be $1.772,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940" w:firstLine="514"/>
        <w:spacing w:after="0" w:line="261" w:lineRule="auto"/>
        <w:tabs>
          <w:tab w:leader="none" w:pos="179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Notwithstanding anything herein to the contrary, if at any time after the six-month anniversary of the Closing Date, there is no effective Registration Statement registering, or no current prospectus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395" w:lineRule="exact"/>
        <w:rPr>
          <w:rFonts w:ascii="Times New Roman" w:cs="Times New Roman" w:eastAsia="Times New Roman" w:hAnsi="Times New Roman"/>
          <w:sz w:val="18"/>
          <w:szCs w:val="18"/>
          <w:color w:val="auto"/>
        </w:rPr>
      </w:pPr>
    </w:p>
    <w:p>
      <w:pPr>
        <w:ind w:right="120" w:firstLine="1505"/>
        <w:spacing w:after="0" w:line="253" w:lineRule="auto"/>
        <w:tabs>
          <w:tab w:leader="none" w:pos="179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600(b)(68)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to the Company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94" w:lineRule="exact"/>
        <w:rPr>
          <w:rFonts w:ascii="Times New Roman" w:cs="Times New Roman" w:eastAsia="Times New Roman" w:hAnsi="Times New Roman"/>
          <w:sz w:val="18"/>
          <w:szCs w:val="18"/>
          <w:color w:val="auto"/>
        </w:rPr>
      </w:pPr>
    </w:p>
    <w:p>
      <w:pPr>
        <w:ind w:left="1800" w:hanging="295"/>
        <w:spacing w:after="0"/>
        <w:tabs>
          <w:tab w:leader="none" w:pos="18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as adjusted hereunder; and</w:t>
      </w:r>
    </w:p>
    <w:p>
      <w:pPr>
        <w:spacing w:after="0" w:line="225" w:lineRule="exact"/>
        <w:rPr>
          <w:sz w:val="20"/>
          <w:szCs w:val="20"/>
          <w:color w:val="auto"/>
        </w:rPr>
      </w:pPr>
    </w:p>
    <w:p>
      <w:pPr>
        <w:ind w:right="100" w:firstLine="1505"/>
        <w:spacing w:after="0" w:line="282" w:lineRule="auto"/>
        <w:tabs>
          <w:tab w:leader="none" w:pos="179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jc w:val="both"/>
        <w:ind w:firstLine="1448"/>
        <w:spacing w:after="0" w:line="26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on to the holding period of this Warrant. The Company agrees not to take any position contrary to this Section 2(c).</w:t>
      </w:r>
    </w:p>
    <w:p>
      <w:pPr>
        <w:spacing w:after="0" w:line="176" w:lineRule="exact"/>
        <w:rPr>
          <w:sz w:val="20"/>
          <w:szCs w:val="20"/>
          <w:color w:val="auto"/>
        </w:rPr>
      </w:pPr>
    </w:p>
    <w:p>
      <w:pPr>
        <w:jc w:val="both"/>
        <w:ind w:left="940" w:firstLine="50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the foregoing does not apply, the bid price of the Common Stock in the over-the-counter market on the electronic bulletin board for such Common Stock as reported by Bloomberg as of such time of determination, (c) if no bid price is reported for the Common Stock by Bloomberg as of such time of determination, the average of the bid prices of all of the market makers for the Common Stock as reported on the Pink Open Market (or a similar organization or agency succeeding to its functions of reporting prices) (the “</w:t>
      </w:r>
      <w:r>
        <w:rPr>
          <w:rFonts w:ascii="Times New Roman" w:cs="Times New Roman" w:eastAsia="Times New Roman" w:hAnsi="Times New Roman"/>
          <w:sz w:val="18"/>
          <w:szCs w:val="18"/>
          <w:u w:val="single" w:color="auto"/>
          <w:color w:val="auto"/>
        </w:rPr>
        <w:t>Pink Sheets</w:t>
      </w:r>
      <w:r>
        <w:rPr>
          <w:rFonts w:ascii="Times New Roman" w:cs="Times New Roman" w:eastAsia="Times New Roman" w:hAnsi="Times New Roman"/>
          <w:sz w:val="18"/>
          <w:szCs w:val="18"/>
          <w:color w:val="auto"/>
        </w:rPr>
        <w:t>”) as of such time of determination, or (d) in all other cases, the fair market value of a share of Common Stock as determined by an independent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935990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00" w:lineRule="exact"/>
        <w:rPr>
          <w:sz w:val="20"/>
          <w:szCs w:val="20"/>
          <w:color w:val="auto"/>
        </w:rPr>
      </w:pPr>
    </w:p>
    <w:p>
      <w:pPr>
        <w:spacing w:after="0" w:line="2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appraiser selected in good faith by the Purchasers of a majority in interest of the Securities then outstanding and reasonably acceptable to the Company, the fees and expenses of which shall be paid by the Company.</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the foregoing does not apply, the bid price of the Common Stock in the over-the-counter market on the electronic bulletin board for such Common Stock as reported by Bloomberg as of such time of determination, (c) if no bid price is reported for the Common Stock by Bloomberg as of such time of determination, the average of the bid prices of all of the market makers for the Common Stock as reported in the Pink Sheets as of such time of determination,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Notwithstanding anything herein to the contrary, on the Termination Date, if the conditions of a cashless exercise are otherwise met, this Warrant shall be automatically exercised via cashless exercise pursuant to this Section 2(c).</w:t>
      </w:r>
    </w:p>
    <w:p>
      <w:pPr>
        <w:spacing w:after="0" w:line="162" w:lineRule="exact"/>
        <w:rPr>
          <w:sz w:val="20"/>
          <w:szCs w:val="20"/>
          <w:color w:val="auto"/>
        </w:rPr>
      </w:pPr>
    </w:p>
    <w:p>
      <w:pPr>
        <w:ind w:left="840" w:hanging="326"/>
        <w:spacing w:after="0"/>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2120" w:firstLine="504"/>
        <w:spacing w:after="0" w:line="251" w:lineRule="auto"/>
        <w:tabs>
          <w:tab w:leader="none" w:pos="29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Warrant Share Delivery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in each case subject to delivery of the aggregate Exercise Price to the Company (if applicable).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w:t>
      </w:r>
    </w:p>
    <w:p>
      <w:pPr>
        <w:spacing w:after="0" w:line="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935990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1260" w:top="765"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00" w:lineRule="exact"/>
        <w:rPr>
          <w:sz w:val="20"/>
          <w:szCs w:val="20"/>
          <w:color w:val="auto"/>
        </w:rPr>
      </w:pPr>
    </w:p>
    <w:p>
      <w:pPr>
        <w:spacing w:after="0" w:line="245" w:lineRule="exact"/>
        <w:rPr>
          <w:sz w:val="20"/>
          <w:szCs w:val="20"/>
          <w:color w:val="auto"/>
        </w:rPr>
      </w:pPr>
    </w:p>
    <w:p>
      <w:pPr>
        <w:jc w:val="both"/>
        <w:ind w:left="1940"/>
        <w:spacing w:after="0" w:line="261" w:lineRule="auto"/>
        <w:rPr>
          <w:sz w:val="20"/>
          <w:szCs w:val="20"/>
          <w:color w:val="auto"/>
        </w:rPr>
      </w:pPr>
      <w:r>
        <w:rPr>
          <w:rFonts w:ascii="Times New Roman" w:cs="Times New Roman" w:eastAsia="Times New Roman" w:hAnsi="Times New Roman"/>
          <w:sz w:val="18"/>
          <w:szCs w:val="18"/>
          <w:color w:val="auto"/>
        </w:rPr>
        <w:t>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 Delivery Date until such Warrant Shares are delivered or Holder rescinds such exercise.</w:t>
      </w:r>
    </w:p>
    <w:p>
      <w:pPr>
        <w:spacing w:after="0" w:line="180" w:lineRule="exact"/>
        <w:rPr>
          <w:sz w:val="20"/>
          <w:szCs w:val="20"/>
          <w:color w:val="auto"/>
        </w:rPr>
      </w:pPr>
    </w:p>
    <w:p>
      <w:pPr>
        <w:jc w:val="both"/>
        <w:ind w:left="1940" w:firstLine="504"/>
        <w:spacing w:after="0" w:line="258" w:lineRule="auto"/>
        <w:tabs>
          <w:tab w:leader="none" w:pos="286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83" w:lineRule="exact"/>
        <w:rPr>
          <w:rFonts w:ascii="Times New Roman" w:cs="Times New Roman" w:eastAsia="Times New Roman" w:hAnsi="Times New Roman"/>
          <w:sz w:val="18"/>
          <w:szCs w:val="18"/>
          <w:color w:val="auto"/>
        </w:rPr>
      </w:pPr>
    </w:p>
    <w:p>
      <w:pPr>
        <w:jc w:val="both"/>
        <w:ind w:left="1940" w:firstLine="563"/>
        <w:spacing w:after="0" w:line="261" w:lineRule="auto"/>
        <w:tabs>
          <w:tab w:leader="none" w:pos="293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 by delivering written notice to the Company at any time prior to the Company delivering such Warrant Shares.</w:t>
      </w:r>
    </w:p>
    <w:p>
      <w:pPr>
        <w:spacing w:after="0" w:line="180" w:lineRule="exact"/>
        <w:rPr>
          <w:sz w:val="20"/>
          <w:szCs w:val="20"/>
          <w:color w:val="auto"/>
        </w:rPr>
      </w:pPr>
    </w:p>
    <w:p>
      <w:pPr>
        <w:jc w:val="both"/>
        <w:ind w:left="1940" w:firstLine="504"/>
        <w:spacing w:after="0" w:line="251" w:lineRule="auto"/>
        <w:tabs>
          <w:tab w:leader="none" w:pos="280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(other than any failure due solely to any action or inaction by the Holder with respect to such exercise),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was entitled to receive upon such exercise but did not receive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but did not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Warrants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Warrant Shares upon exercise of the Warrant as required pursuant to the terms hereof.</w:t>
      </w:r>
    </w:p>
    <w:p>
      <w:pPr>
        <w:spacing w:after="0" w:line="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935990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5"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2120" w:firstLine="504"/>
        <w:spacing w:after="0" w:line="258" w:lineRule="auto"/>
        <w:tabs>
          <w:tab w:leader="none" w:pos="295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Warrant Shares or scrip representing fractional Warrant Shares shall be issued upon the exercise of this Warrant. As to any fraction of a Warrant Share which the Holder would otherwise be entitled to purchase upon such exercise, the Company shall, at its election and in lieu of the issuance of such fractional Warrant Share, either pay a cash adjustment in respect of such final fraction in an amount equal to such fraction multiplied by the Exercise Price or round up to the next whole Warrant Share.</w:t>
      </w:r>
    </w:p>
    <w:p>
      <w:pPr>
        <w:spacing w:after="0" w:line="183" w:lineRule="exact"/>
        <w:rPr>
          <w:rFonts w:ascii="Times New Roman" w:cs="Times New Roman" w:eastAsia="Times New Roman" w:hAnsi="Times New Roman"/>
          <w:sz w:val="18"/>
          <w:szCs w:val="18"/>
          <w:color w:val="auto"/>
        </w:rPr>
      </w:pPr>
    </w:p>
    <w:p>
      <w:pPr>
        <w:jc w:val="both"/>
        <w:ind w:left="2120" w:firstLine="504"/>
        <w:spacing w:after="0" w:line="253" w:lineRule="auto"/>
        <w:tabs>
          <w:tab w:leader="none" w:pos="310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91" w:lineRule="exact"/>
        <w:rPr>
          <w:rFonts w:ascii="Times New Roman" w:cs="Times New Roman" w:eastAsia="Times New Roman" w:hAnsi="Times New Roman"/>
          <w:sz w:val="18"/>
          <w:szCs w:val="18"/>
          <w:color w:val="auto"/>
        </w:rPr>
      </w:pPr>
    </w:p>
    <w:p>
      <w:pPr>
        <w:ind w:left="2120" w:firstLine="504"/>
        <w:spacing w:after="0" w:line="282" w:lineRule="auto"/>
        <w:tabs>
          <w:tab w:leader="none" w:pos="313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161" w:lineRule="exact"/>
        <w:rPr>
          <w:rFonts w:ascii="Times New Roman" w:cs="Times New Roman" w:eastAsia="Times New Roman" w:hAnsi="Times New Roman"/>
          <w:sz w:val="18"/>
          <w:szCs w:val="18"/>
          <w:color w:val="auto"/>
        </w:rPr>
      </w:pPr>
    </w:p>
    <w:p>
      <w:pPr>
        <w:jc w:val="both"/>
        <w:ind w:firstLine="514"/>
        <w:spacing w:after="0" w:line="252" w:lineRule="auto"/>
        <w:tabs>
          <w:tab w:leader="none" w:pos="84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w:t>
      </w:r>
    </w:p>
    <w:p>
      <w:pPr>
        <w:spacing w:after="0" w:line="19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w:t>
      </w:r>
    </w:p>
    <w:p>
      <w:pPr>
        <w:spacing w:after="0" w:line="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935990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1260" w:top="765"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00" w:lineRule="exact"/>
        <w:rPr>
          <w:sz w:val="20"/>
          <w:szCs w:val="20"/>
          <w:color w:val="auto"/>
        </w:rPr>
      </w:pPr>
    </w:p>
    <w:p>
      <w:pPr>
        <w:spacing w:after="0" w:line="245" w:lineRule="exact"/>
        <w:rPr>
          <w:sz w:val="20"/>
          <w:szCs w:val="20"/>
          <w:color w:val="auto"/>
        </w:rPr>
      </w:pPr>
    </w:p>
    <w:p>
      <w:pPr>
        <w:jc w:val="both"/>
        <w:ind w:left="420"/>
        <w:spacing w:after="0" w:line="258" w:lineRule="auto"/>
        <w:rPr>
          <w:sz w:val="20"/>
          <w:szCs w:val="20"/>
          <w:color w:val="auto"/>
        </w:rPr>
      </w:pPr>
      <w:r>
        <w:rPr>
          <w:rFonts w:ascii="Times New Roman" w:cs="Times New Roman" w:eastAsia="Times New Roman" w:hAnsi="Times New Roman"/>
          <w:sz w:val="18"/>
          <w:szCs w:val="18"/>
          <w:color w:val="auto"/>
        </w:rPr>
        <w:t>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w:t>
      </w:r>
    </w:p>
    <w:p>
      <w:pPr>
        <w:spacing w:after="0" w:line="183" w:lineRule="exact"/>
        <w:rPr>
          <w:sz w:val="20"/>
          <w:szCs w:val="20"/>
          <w:color w:val="auto"/>
        </w:rPr>
      </w:pPr>
    </w:p>
    <w:p>
      <w:pPr>
        <w:jc w:val="both"/>
        <w:ind w:left="420" w:firstLine="509"/>
        <w:spacing w:after="0" w:line="252" w:lineRule="auto"/>
        <w:rPr>
          <w:sz w:val="20"/>
          <w:szCs w:val="20"/>
          <w:color w:val="auto"/>
        </w:rPr>
      </w:pPr>
      <w:r>
        <w:rPr>
          <w:rFonts w:ascii="Times New Roman" w:cs="Times New Roman" w:eastAsia="Times New Roman" w:hAnsi="Times New Roman"/>
          <w:sz w:val="18"/>
          <w:szCs w:val="18"/>
          <w:color w:val="auto"/>
        </w:rPr>
        <w:t>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two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w:t>
      </w:r>
    </w:p>
    <w:p>
      <w:pPr>
        <w:spacing w:after="0" w:line="2" w:lineRule="exact"/>
        <w:rPr>
          <w:sz w:val="20"/>
          <w:szCs w:val="20"/>
          <w:color w:val="auto"/>
        </w:rPr>
      </w:pPr>
    </w:p>
    <w:p>
      <w:pPr>
        <w:jc w:val="both"/>
        <w:ind w:left="420"/>
        <w:spacing w:after="0" w:line="229" w:lineRule="auto"/>
        <w:rPr>
          <w:sz w:val="20"/>
          <w:szCs w:val="20"/>
          <w:color w:val="auto"/>
        </w:rPr>
      </w:pPr>
      <w:r>
        <w:rPr>
          <w:rFonts w:ascii="Times New Roman" w:cs="Times New Roman" w:eastAsia="Times New Roman" w:hAnsi="Times New Roman"/>
          <w:sz w:val="18"/>
          <w:szCs w:val="18"/>
          <w:color w:val="auto"/>
        </w:rPr>
        <w:t>2(e) shall continue to apply. Any increase in the Beneficial Ownership Limitation will not be effective until the 61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spacing w:after="0" w:line="21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Certain Adjustments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420" w:firstLine="514"/>
        <w:spacing w:after="0" w:line="257" w:lineRule="auto"/>
        <w:tabs>
          <w:tab w:leader="none" w:pos="127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Warrant Shares issued by the Company upon exercise of this Warrant),</w:t>
      </w:r>
    </w:p>
    <w:p>
      <w:pPr>
        <w:spacing w:after="0" w:line="1" w:lineRule="exact"/>
        <w:rPr>
          <w:rFonts w:ascii="Times New Roman" w:cs="Times New Roman" w:eastAsia="Times New Roman" w:hAnsi="Times New Roman"/>
          <w:sz w:val="18"/>
          <w:szCs w:val="18"/>
          <w:color w:val="auto"/>
        </w:rPr>
      </w:pPr>
    </w:p>
    <w:p>
      <w:pPr>
        <w:jc w:val="both"/>
        <w:ind w:left="420" w:firstLine="5"/>
        <w:spacing w:after="0" w:line="251" w:lineRule="auto"/>
        <w:tabs>
          <w:tab w:leader="none" w:pos="69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subdivides outstanding shares of Common Stock into a larger number of shares, (iii) combines (including by way of reverse stock split) outstanding shares of Common Stock into a smaller number of shares, or (iv) issues by reclassification of shares of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93" w:lineRule="exact"/>
        <w:rPr>
          <w:rFonts w:ascii="Times New Roman" w:cs="Times New Roman" w:eastAsia="Times New Roman" w:hAnsi="Times New Roman"/>
          <w:sz w:val="18"/>
          <w:szCs w:val="18"/>
          <w:color w:val="auto"/>
        </w:rPr>
      </w:pPr>
    </w:p>
    <w:p>
      <w:pPr>
        <w:jc w:val="both"/>
        <w:ind w:left="420" w:firstLine="514"/>
        <w:spacing w:after="0" w:line="257" w:lineRule="auto"/>
        <w:tabs>
          <w:tab w:leader="none" w:pos="131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xml:space="preserve"> In addition to (but without duplication of) any adjustments pursuant to Section 3(a) above, if at any time while this Warrant is outstanding the Company grants, issues or sells any Common Stock Equivalents or rights to purchase stock, warrants, securities or other property pro rata to all record holders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w:t>
      </w:r>
    </w:p>
    <w:p>
      <w:pPr>
        <w:spacing w:after="0" w:line="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935990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765"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00" w:lineRule="exact"/>
        <w:rPr>
          <w:sz w:val="20"/>
          <w:szCs w:val="20"/>
          <w:color w:val="auto"/>
        </w:rPr>
      </w:pPr>
    </w:p>
    <w:p>
      <w:pPr>
        <w:spacing w:after="0" w:line="2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8" w:lineRule="exact"/>
        <w:rPr>
          <w:sz w:val="20"/>
          <w:szCs w:val="20"/>
          <w:color w:val="auto"/>
        </w:rPr>
      </w:pPr>
    </w:p>
    <w:p>
      <w:pPr>
        <w:jc w:val="both"/>
        <w:ind w:firstLine="514"/>
        <w:spacing w:after="0" w:line="252" w:lineRule="auto"/>
        <w:tabs>
          <w:tab w:leader="none" w:pos="69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all holders of shares of Common Stock, by way of return of capital or otherwise (including, without limitation, any distribution of cash, stock or other securities (other than as contemplated by Section 3(a) above),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97" w:lineRule="exact"/>
        <w:rPr>
          <w:rFonts w:ascii="Times New Roman" w:cs="Times New Roman" w:eastAsia="Times New Roman" w:hAnsi="Times New Roman"/>
          <w:sz w:val="18"/>
          <w:szCs w:val="18"/>
          <w:color w:val="auto"/>
        </w:rPr>
      </w:pPr>
    </w:p>
    <w:p>
      <w:pPr>
        <w:jc w:val="both"/>
        <w:ind w:firstLine="514"/>
        <w:spacing w:after="0" w:line="251" w:lineRule="auto"/>
        <w:tabs>
          <w:tab w:leader="none" w:pos="85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(other than a transaction solely to change the domicile of the Company),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w:t>
      </w:r>
    </w:p>
    <w:p>
      <w:pPr>
        <w:spacing w:after="0" w:line="1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935990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1260" w:top="765"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00" w:lineRule="exact"/>
        <w:rPr>
          <w:sz w:val="20"/>
          <w:szCs w:val="20"/>
          <w:color w:val="auto"/>
        </w:rPr>
      </w:pPr>
    </w:p>
    <w:p>
      <w:pPr>
        <w:spacing w:after="0" w:line="24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xml:space="preserve">”)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 “</w:t>
      </w:r>
      <w:r>
        <w:rPr>
          <w:rFonts w:ascii="Times New Roman" w:cs="Times New Roman" w:eastAsia="Times New Roman" w:hAnsi="Times New Roman"/>
          <w:sz w:val="18"/>
          <w:szCs w:val="18"/>
          <w:u w:val="single" w:color="auto"/>
          <w:color w:val="auto"/>
        </w:rPr>
        <w:t>Black Scholes Value</w:t>
      </w:r>
      <w:r>
        <w:rPr>
          <w:rFonts w:ascii="Times New Roman" w:cs="Times New Roman" w:eastAsia="Times New Roman" w:hAnsi="Times New Roman"/>
          <w:sz w:val="18"/>
          <w:szCs w:val="18"/>
          <w:color w:val="auto"/>
        </w:rPr>
        <w:t>” means the value of this Warrant based on the Black-Scholes Option Pricing Model obtained from the “OV” function on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100, (C) the underlying price per share used in such calculation shall be the sum of the price per share being offered in cash, if any, plus the value of any non-cash consideration, if any, being offered in such Fundamental Transaction, (D) the sum of the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w:t>
      </w:r>
    </w:p>
    <w:p>
      <w:pPr>
        <w:spacing w:after="0" w:line="3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935990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1260" w:top="765"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00" w:lineRule="exact"/>
        <w:rPr>
          <w:sz w:val="20"/>
          <w:szCs w:val="20"/>
          <w:color w:val="auto"/>
        </w:rPr>
      </w:pPr>
    </w:p>
    <w:p>
      <w:pPr>
        <w:spacing w:after="0" w:line="2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shares of Common Stock for the issuance of Warrant Shares and/or (ii) whether a Fundamental Transaction occurs prior to the Initial Exercise Date.</w:t>
      </w:r>
    </w:p>
    <w:p>
      <w:pPr>
        <w:spacing w:after="0" w:line="194" w:lineRule="exact"/>
        <w:rPr>
          <w:sz w:val="20"/>
          <w:szCs w:val="20"/>
          <w:color w:val="auto"/>
        </w:rPr>
      </w:pPr>
    </w:p>
    <w:p>
      <w:pPr>
        <w:jc w:val="both"/>
        <w:ind w:firstLine="514"/>
        <w:spacing w:after="0" w:line="266" w:lineRule="auto"/>
        <w:tabs>
          <w:tab w:leader="none" w:pos="85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820" w:hanging="306"/>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2120" w:firstLine="504"/>
        <w:spacing w:after="0" w:line="261" w:lineRule="auto"/>
        <w:tabs>
          <w:tab w:leader="none" w:pos="294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79" w:lineRule="exact"/>
        <w:rPr>
          <w:rFonts w:ascii="Times New Roman" w:cs="Times New Roman" w:eastAsia="Times New Roman" w:hAnsi="Times New Roman"/>
          <w:sz w:val="18"/>
          <w:szCs w:val="18"/>
          <w:color w:val="auto"/>
        </w:rPr>
      </w:pPr>
    </w:p>
    <w:p>
      <w:pPr>
        <w:jc w:val="both"/>
        <w:ind w:left="2120" w:firstLine="504"/>
        <w:spacing w:after="0" w:line="251" w:lineRule="auto"/>
        <w:tabs>
          <w:tab w:leader="none" w:pos="304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(other than a transaction solely to change the domicile of the Company),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w:t>
      </w:r>
    </w:p>
    <w:p>
      <w:pPr>
        <w:spacing w:after="0" w:line="11" w:lineRule="exact"/>
        <w:rPr>
          <w:sz w:val="20"/>
          <w:szCs w:val="20"/>
          <w:color w:val="auto"/>
        </w:rPr>
      </w:pPr>
    </w:p>
    <w:p>
      <w:pPr>
        <w:jc w:val="both"/>
        <w:ind w:left="2120"/>
        <w:spacing w:after="0" w:line="250" w:lineRule="auto"/>
        <w:rPr>
          <w:sz w:val="20"/>
          <w:szCs w:val="20"/>
          <w:color w:val="auto"/>
        </w:rPr>
      </w:pPr>
      <w:r>
        <w:rPr>
          <w:rFonts w:ascii="Times New Roman" w:cs="Times New Roman" w:eastAsia="Times New Roman" w:hAnsi="Times New Roman"/>
          <w:sz w:val="18"/>
          <w:szCs w:val="18"/>
          <w:color w:val="auto"/>
        </w:rPr>
        <w:t>effective or close, and the date as of which it is expected that holders of the Common Stock of record shall be entitled to exchange their shares of the Common Stock for securities, cash or other property deliverable upon such reclassification, consolidation, merger, sale, transfer or</w:t>
      </w:r>
    </w:p>
    <w:p>
      <w:pPr>
        <w:spacing w:after="0" w:line="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935990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1260" w:top="765"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00" w:lineRule="exact"/>
        <w:rPr>
          <w:sz w:val="20"/>
          <w:szCs w:val="20"/>
          <w:color w:val="auto"/>
        </w:rPr>
      </w:pPr>
    </w:p>
    <w:p>
      <w:pPr>
        <w:spacing w:after="0" w:line="245" w:lineRule="exact"/>
        <w:rPr>
          <w:sz w:val="20"/>
          <w:szCs w:val="20"/>
          <w:color w:val="auto"/>
        </w:rPr>
      </w:pPr>
    </w:p>
    <w:p>
      <w:pPr>
        <w:jc w:val="both"/>
        <w:ind w:left="2540"/>
        <w:spacing w:after="0" w:line="255" w:lineRule="auto"/>
        <w:rPr>
          <w:sz w:val="20"/>
          <w:szCs w:val="20"/>
          <w:color w:val="auto"/>
        </w:rPr>
      </w:pPr>
      <w:r>
        <w:rPr>
          <w:rFonts w:ascii="Times New Roman" w:cs="Times New Roman" w:eastAsia="Times New Roman" w:hAnsi="Times New Roman"/>
          <w:sz w:val="18"/>
          <w:szCs w:val="18"/>
          <w:color w:val="auto"/>
        </w:rPr>
        <w:t>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contemporaneously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89" w:lineRule="exact"/>
        <w:rPr>
          <w:sz w:val="20"/>
          <w:szCs w:val="20"/>
          <w:color w:val="auto"/>
        </w:rPr>
      </w:pPr>
    </w:p>
    <w:p>
      <w:pPr>
        <w:jc w:val="both"/>
        <w:ind w:left="420" w:firstLine="473"/>
        <w:spacing w:after="0" w:line="266" w:lineRule="auto"/>
        <w:tabs>
          <w:tab w:leader="none" w:pos="132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The Company may at any time during the term of this Warrant reduce the then current Exercise Price to any amount and for any period of time deemed appropriate by the Board of Directors of the Company; provided, however, that the Company agrees not to adjust the Exercise Price in any way that would violate the listing rules of the Nasdaq Stock Market.</w:t>
      </w:r>
    </w:p>
    <w:p>
      <w:pPr>
        <w:spacing w:after="0" w:line="17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Transfer of Warrant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420" w:firstLine="514"/>
        <w:spacing w:after="0" w:line="253" w:lineRule="auto"/>
        <w:tabs>
          <w:tab w:leader="none" w:pos="138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the Holder’s appropriate compliance with the restrictive legend on this Warrant and the transfer restrictions set forth herein and in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89" w:lineRule="exact"/>
        <w:rPr>
          <w:rFonts w:ascii="Times New Roman" w:cs="Times New Roman" w:eastAsia="Times New Roman" w:hAnsi="Times New Roman"/>
          <w:sz w:val="18"/>
          <w:szCs w:val="18"/>
          <w:color w:val="auto"/>
        </w:rPr>
      </w:pPr>
    </w:p>
    <w:p>
      <w:pPr>
        <w:jc w:val="both"/>
        <w:ind w:left="420" w:firstLine="514"/>
        <w:spacing w:after="0" w:line="255" w:lineRule="auto"/>
        <w:tabs>
          <w:tab w:leader="none" w:pos="136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Subject to compliance with applicable securities laws,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188" w:lineRule="exact"/>
        <w:rPr>
          <w:rFonts w:ascii="Times New Roman" w:cs="Times New Roman" w:eastAsia="Times New Roman" w:hAnsi="Times New Roman"/>
          <w:sz w:val="18"/>
          <w:szCs w:val="18"/>
          <w:color w:val="auto"/>
        </w:rPr>
      </w:pPr>
    </w:p>
    <w:p>
      <w:pPr>
        <w:jc w:val="both"/>
        <w:ind w:left="420" w:firstLine="514"/>
        <w:spacing w:after="0" w:line="261" w:lineRule="auto"/>
        <w:tabs>
          <w:tab w:leader="none" w:pos="127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color w:val="auto"/>
        </w:rPr>
      </w:pPr>
    </w:p>
    <w:p>
      <w:pPr>
        <w:jc w:val="both"/>
        <w:ind w:left="420" w:firstLine="514"/>
        <w:spacing w:after="0" w:line="257" w:lineRule="auto"/>
        <w:tabs>
          <w:tab w:leader="none" w:pos="118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w:t>
      </w:r>
    </w:p>
    <w:p>
      <w:pPr>
        <w:spacing w:after="0" w:line="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935990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765"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00" w:lineRule="exact"/>
        <w:rPr>
          <w:sz w:val="20"/>
          <w:szCs w:val="20"/>
          <w:color w:val="auto"/>
        </w:rPr>
      </w:pPr>
    </w:p>
    <w:p>
      <w:pPr>
        <w:spacing w:after="0" w:line="245" w:lineRule="exact"/>
        <w:rPr>
          <w:sz w:val="20"/>
          <w:szCs w:val="20"/>
          <w:color w:val="auto"/>
        </w:rPr>
      </w:pPr>
    </w:p>
    <w:p>
      <w:pPr>
        <w:jc w:val="both"/>
        <w:ind w:left="420"/>
        <w:spacing w:after="0" w:line="266" w:lineRule="auto"/>
        <w:rPr>
          <w:sz w:val="20"/>
          <w:szCs w:val="20"/>
          <w:color w:val="auto"/>
        </w:rPr>
      </w:pPr>
      <w:r>
        <w:rPr>
          <w:rFonts w:ascii="Times New Roman" w:cs="Times New Roman" w:eastAsia="Times New Roman" w:hAnsi="Times New Roman"/>
          <w:sz w:val="18"/>
          <w:szCs w:val="18"/>
          <w:color w:val="auto"/>
        </w:rPr>
        <w:t>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spacing w:after="0" w:line="176" w:lineRule="exact"/>
        <w:rPr>
          <w:sz w:val="20"/>
          <w:szCs w:val="20"/>
          <w:color w:val="auto"/>
        </w:rPr>
      </w:pPr>
    </w:p>
    <w:p>
      <w:pPr>
        <w:jc w:val="both"/>
        <w:ind w:left="420" w:firstLine="514"/>
        <w:spacing w:after="0" w:line="261" w:lineRule="auto"/>
        <w:tabs>
          <w:tab w:leader="none" w:pos="11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420" w:firstLine="514"/>
        <w:spacing w:after="0" w:line="263" w:lineRule="auto"/>
        <w:tabs>
          <w:tab w:leader="none" w:pos="130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2(d)(iv) herein, in no event shall the Company be required to net cash settle an exercise of this Warrant. For the avoidance of doubt, except as expressly set forth in this Warrant, in no event does this agreement result in the Company having an obligation to issue cash or other assets to the Holder.</w:t>
      </w:r>
    </w:p>
    <w:p>
      <w:pPr>
        <w:spacing w:after="0" w:line="178" w:lineRule="exact"/>
        <w:rPr>
          <w:rFonts w:ascii="Times New Roman" w:cs="Times New Roman" w:eastAsia="Times New Roman" w:hAnsi="Times New Roman"/>
          <w:sz w:val="18"/>
          <w:szCs w:val="18"/>
          <w:color w:val="auto"/>
        </w:rPr>
      </w:pPr>
    </w:p>
    <w:p>
      <w:pPr>
        <w:jc w:val="both"/>
        <w:ind w:left="420" w:firstLine="514"/>
        <w:spacing w:after="0" w:line="258" w:lineRule="auto"/>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ind w:left="420" w:right="20" w:firstLine="514"/>
        <w:spacing w:after="0" w:line="282" w:lineRule="auto"/>
        <w:tabs>
          <w:tab w:leader="none" w:pos="124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161" w:lineRule="exact"/>
        <w:rPr>
          <w:rFonts w:ascii="Times New Roman" w:cs="Times New Roman" w:eastAsia="Times New Roman" w:hAnsi="Times New Roman"/>
          <w:sz w:val="18"/>
          <w:szCs w:val="18"/>
          <w:color w:val="auto"/>
        </w:rPr>
      </w:pPr>
    </w:p>
    <w:p>
      <w:pPr>
        <w:ind w:left="1260" w:hanging="326"/>
        <w:spacing w:after="0"/>
        <w:tabs>
          <w:tab w:leader="none" w:pos="1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60" w:firstLine="1018"/>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shares of Common Stock a sufficient number of shares to provide for the issuance of the Warrant Shares underlying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and delivered as provided herein without violation of any applicable law or regulation, or of any requirements of the Trading Market upon which the Common Stock may be listed. The Company covenants that all Warrant Shares underlying the Warrant,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2" w:lineRule="exact"/>
        <w:rPr>
          <w:sz w:val="20"/>
          <w:szCs w:val="20"/>
          <w:color w:val="auto"/>
        </w:rPr>
      </w:pPr>
    </w:p>
    <w:p>
      <w:pPr>
        <w:jc w:val="both"/>
        <w:ind w:left="1360" w:right="20" w:firstLine="509"/>
        <w:spacing w:after="0" w:line="261"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w:t>
      </w:r>
    </w:p>
    <w:p>
      <w:pPr>
        <w:jc w:val="center"/>
        <w:ind w:right="50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935990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765"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00" w:lineRule="exact"/>
        <w:rPr>
          <w:sz w:val="20"/>
          <w:szCs w:val="20"/>
          <w:color w:val="auto"/>
        </w:rPr>
      </w:pPr>
    </w:p>
    <w:p>
      <w:pPr>
        <w:spacing w:after="0" w:line="245" w:lineRule="exact"/>
        <w:rPr>
          <w:sz w:val="20"/>
          <w:szCs w:val="20"/>
          <w:color w:val="auto"/>
        </w:rPr>
      </w:pPr>
    </w:p>
    <w:p>
      <w:pPr>
        <w:jc w:val="both"/>
        <w:ind w:left="940"/>
        <w:spacing w:after="0" w:line="254" w:lineRule="auto"/>
        <w:rPr>
          <w:sz w:val="20"/>
          <w:szCs w:val="20"/>
          <w:color w:val="auto"/>
        </w:rPr>
      </w:pPr>
      <w:r>
        <w:rPr>
          <w:rFonts w:ascii="Times New Roman" w:cs="Times New Roman" w:eastAsia="Times New Roman" w:hAnsi="Times New Roman"/>
          <w:sz w:val="18"/>
          <w:szCs w:val="18"/>
          <w:color w:val="auto"/>
        </w:rPr>
        <w:t>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88" w:lineRule="exact"/>
        <w:rPr>
          <w:sz w:val="20"/>
          <w:szCs w:val="20"/>
          <w:color w:val="auto"/>
        </w:rPr>
      </w:pPr>
    </w:p>
    <w:p>
      <w:pPr>
        <w:jc w:val="both"/>
        <w:ind w:left="940" w:right="20" w:firstLine="509"/>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firstLine="514"/>
        <w:spacing w:after="0" w:line="282" w:lineRule="auto"/>
        <w:tabs>
          <w:tab w:leader="none" w:pos="82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ind w:firstLine="514"/>
        <w:spacing w:after="0" w:line="282" w:lineRule="auto"/>
        <w:tabs>
          <w:tab w:leader="none" w:pos="82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if the Holder does not utilize cashless exercise, will have restrictions upon resale imposed by applicable state and federal securities laws.</w:t>
      </w:r>
    </w:p>
    <w:p>
      <w:pPr>
        <w:spacing w:after="0" w:line="161" w:lineRule="exact"/>
        <w:rPr>
          <w:rFonts w:ascii="Times New Roman" w:cs="Times New Roman" w:eastAsia="Times New Roman" w:hAnsi="Times New Roman"/>
          <w:sz w:val="18"/>
          <w:szCs w:val="18"/>
          <w:color w:val="auto"/>
        </w:rPr>
      </w:pPr>
    </w:p>
    <w:p>
      <w:pPr>
        <w:jc w:val="both"/>
        <w:ind w:firstLine="514"/>
        <w:spacing w:after="0" w:line="256" w:lineRule="auto"/>
        <w:tabs>
          <w:tab w:leader="none" w:pos="86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and documented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ind w:right="20" w:firstLine="514"/>
        <w:spacing w:after="0" w:line="282" w:lineRule="auto"/>
        <w:tabs>
          <w:tab w:leader="none" w:pos="85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161" w:lineRule="exact"/>
        <w:rPr>
          <w:rFonts w:ascii="Times New Roman" w:cs="Times New Roman" w:eastAsia="Times New Roman" w:hAnsi="Times New Roman"/>
          <w:sz w:val="18"/>
          <w:szCs w:val="18"/>
          <w:color w:val="auto"/>
        </w:rPr>
      </w:pPr>
    </w:p>
    <w:p>
      <w:pPr>
        <w:jc w:val="both"/>
        <w:ind w:firstLine="514"/>
        <w:spacing w:after="0" w:line="261" w:lineRule="auto"/>
        <w:tabs>
          <w:tab w:leader="none" w:pos="86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share of Common Stock or as a stockholder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jc w:val="both"/>
        <w:ind w:firstLine="514"/>
        <w:spacing w:after="0" w:line="261" w:lineRule="auto"/>
        <w:tabs>
          <w:tab w:leader="none" w:pos="83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ind w:left="880" w:hanging="366"/>
        <w:spacing w:after="0"/>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inure to the benefit of and be binding upon the successors and permitted assigns of the Company and the successors and permitted assigns of Holder. The provisions of this Warrant</w:t>
      </w:r>
    </w:p>
    <w:p>
      <w:pPr>
        <w:spacing w:after="0" w:line="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935990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1260" w:top="765"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00" w:lineRule="exact"/>
        <w:rPr>
          <w:sz w:val="20"/>
          <w:szCs w:val="20"/>
          <w:color w:val="auto"/>
        </w:rPr>
      </w:pPr>
    </w:p>
    <w:p>
      <w:pPr>
        <w:spacing w:after="0" w:line="2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are intended to be for the benefit of any Holder from time to time of this Warrant and shall be enforceable by the Holder or holder of Warrant Shares.</w:t>
      </w:r>
    </w:p>
    <w:p>
      <w:pPr>
        <w:spacing w:after="0" w:line="162" w:lineRule="exact"/>
        <w:rPr>
          <w:sz w:val="20"/>
          <w:szCs w:val="20"/>
          <w:color w:val="auto"/>
        </w:rPr>
      </w:pPr>
    </w:p>
    <w:p>
      <w:pPr>
        <w:ind w:firstLine="562"/>
        <w:spacing w:after="0" w:line="282" w:lineRule="auto"/>
        <w:tabs>
          <w:tab w:leader="none" w:pos="85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 the Holder.</w:t>
      </w:r>
    </w:p>
    <w:p>
      <w:pPr>
        <w:spacing w:after="0" w:line="162" w:lineRule="exact"/>
        <w:rPr>
          <w:sz w:val="20"/>
          <w:szCs w:val="20"/>
          <w:color w:val="auto"/>
        </w:rPr>
      </w:pPr>
    </w:p>
    <w:p>
      <w:pPr>
        <w:jc w:val="both"/>
        <w:ind w:firstLine="514"/>
        <w:spacing w:after="0" w:line="261" w:lineRule="auto"/>
        <w:tabs>
          <w:tab w:leader="none" w:pos="92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9" w:lineRule="exact"/>
        <w:rPr>
          <w:rFonts w:ascii="Times New Roman" w:cs="Times New Roman" w:eastAsia="Times New Roman" w:hAnsi="Times New Roman"/>
          <w:sz w:val="18"/>
          <w:szCs w:val="18"/>
          <w:color w:val="auto"/>
        </w:rPr>
      </w:pPr>
    </w:p>
    <w:p>
      <w:pPr>
        <w:ind w:firstLine="514"/>
        <w:spacing w:after="0" w:line="282" w:lineRule="auto"/>
        <w:tabs>
          <w:tab w:leader="none" w:pos="83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947420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1260" w:top="765"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00" w:lineRule="exact"/>
        <w:rPr>
          <w:sz w:val="20"/>
          <w:szCs w:val="20"/>
          <w:color w:val="auto"/>
        </w:rPr>
      </w:pPr>
    </w:p>
    <w:p>
      <w:pPr>
        <w:spacing w:after="0" w:line="245" w:lineRule="exact"/>
        <w:rPr>
          <w:sz w:val="20"/>
          <w:szCs w:val="20"/>
          <w:color w:val="auto"/>
        </w:rPr>
      </w:pPr>
    </w:p>
    <w:p>
      <w:pPr>
        <w:ind w:right="220" w:firstLine="1018"/>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7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947420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EXERCISE</w:t>
      </w:r>
    </w:p>
    <w:p>
      <w:pPr>
        <w:sectPr>
          <w:pgSz w:w="11900" w:h="16838" w:orient="portrait"/>
          <w:cols w:equalWidth="0" w:num="1">
            <w:col w:w="11240"/>
          </w:cols>
          <w:pgMar w:left="320" w:top="765" w:right="339" w:bottom="1440" w:gutter="0" w:footer="0" w:header="0"/>
        </w:sect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PLUS THERAPEUTICS, INC.</w:t>
      </w:r>
    </w:p>
    <w:p>
      <w:pPr>
        <w:spacing w:after="0" w:line="200" w:lineRule="exact"/>
        <w:rPr>
          <w:sz w:val="20"/>
          <w:szCs w:val="20"/>
          <w:color w:val="auto"/>
        </w:rPr>
      </w:pPr>
    </w:p>
    <w:p>
      <w:pPr>
        <w:sectPr>
          <w:pgSz w:w="11900" w:h="16838" w:orient="portrait"/>
          <w:cols w:equalWidth="0" w:num="2">
            <w:col w:w="300" w:space="180"/>
            <w:col w:w="10760"/>
          </w:cols>
          <w:pgMar w:left="320" w:top="765" w:right="339" w:bottom="1440" w:gutter="0" w:footer="0" w:header="0"/>
          <w:type w:val="continuous"/>
        </w:sectPr>
      </w:pPr>
    </w:p>
    <w:p>
      <w:pPr>
        <w:spacing w:after="0" w:line="50" w:lineRule="exact"/>
        <w:rPr>
          <w:sz w:val="20"/>
          <w:szCs w:val="20"/>
          <w:color w:val="auto"/>
        </w:rPr>
      </w:pPr>
    </w:p>
    <w:p>
      <w:pPr>
        <w:ind w:left="1020"/>
        <w:spacing w:after="0"/>
        <w:tabs>
          <w:tab w:leader="none" w:pos="1400" w:val="left"/>
          <w:tab w:leader="none" w:pos="5260" w:val="left"/>
        </w:tabs>
        <w:rPr>
          <w:sz w:val="20"/>
          <w:szCs w:val="20"/>
          <w:color w:val="auto"/>
        </w:rPr>
      </w:pPr>
      <w:r>
        <w:rPr>
          <w:rFonts w:ascii="Times New Roman" w:cs="Times New Roman" w:eastAsia="Times New Roman" w:hAnsi="Times New Roman"/>
          <w:sz w:val="18"/>
          <w:szCs w:val="18"/>
          <w:color w:val="auto"/>
        </w:rPr>
        <w:t>(1)</w:t>
        <w:tab/>
        <w:t>The undersigned hereby elects to purchase</w:t>
      </w:r>
      <w:r>
        <w:rPr>
          <w:sz w:val="20"/>
          <w:szCs w:val="20"/>
          <w:color w:val="auto"/>
        </w:rPr>
        <w:tab/>
      </w:r>
      <w:r>
        <w:rPr>
          <w:rFonts w:ascii="Times New Roman" w:cs="Times New Roman" w:eastAsia="Times New Roman" w:hAnsi="Times New Roman"/>
          <w:sz w:val="17"/>
          <w:szCs w:val="17"/>
          <w:color w:val="auto"/>
        </w:rPr>
        <w:t>Warrant Shares of the Company pursuant to the terms of the attached Warrant</w:t>
      </w:r>
    </w:p>
    <w:p>
      <w:pPr>
        <w:sectPr>
          <w:pgSz w:w="11900" w:h="16838" w:orient="portrait"/>
          <w:cols w:equalWidth="0" w:num="1">
            <w:col w:w="11240"/>
          </w:cols>
          <w:pgMar w:left="320" w:top="765" w:right="339"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if exercised in full), and tenders herewith payment of the exercise price in full, together with all applicable transfer taxes, if any.</w:t>
      </w:r>
    </w:p>
    <w:p>
      <w:pPr>
        <w:spacing w:after="0" w:line="207" w:lineRule="exact"/>
        <w:rPr>
          <w:sz w:val="20"/>
          <w:szCs w:val="20"/>
          <w:color w:val="auto"/>
        </w:rPr>
      </w:pPr>
    </w:p>
    <w:p>
      <w:pPr>
        <w:ind w:left="1420" w:hanging="394"/>
        <w:spacing w:after="0"/>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rFonts w:ascii="Times New Roman" w:cs="Times New Roman" w:eastAsia="Times New Roman" w:hAnsi="Times New Roman"/>
          <w:sz w:val="18"/>
          <w:szCs w:val="18"/>
          <w:color w:val="auto"/>
        </w:rPr>
      </w:pPr>
    </w:p>
    <w:p>
      <w:pPr>
        <w:ind w:left="3300" w:hanging="245"/>
        <w:spacing w:after="0"/>
        <w:tabs>
          <w:tab w:leader="none" w:pos="3300" w:val="left"/>
        </w:tabs>
        <w:numPr>
          <w:ilvl w:val="2"/>
          <w:numId w:val="4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lawful money of the United States; or</w:t>
      </w:r>
    </w:p>
    <w:p>
      <w:pPr>
        <w:spacing w:after="0" w:line="225" w:lineRule="exact"/>
        <w:rPr>
          <w:rFonts w:ascii="MS PGothic" w:cs="MS PGothic" w:eastAsia="MS PGothic" w:hAnsi="MS PGothic"/>
          <w:sz w:val="18"/>
          <w:szCs w:val="18"/>
          <w:color w:val="auto"/>
        </w:rPr>
      </w:pPr>
    </w:p>
    <w:p>
      <w:pPr>
        <w:ind w:left="3060" w:right="300" w:hanging="5"/>
        <w:spacing w:after="0" w:line="266" w:lineRule="auto"/>
        <w:tabs>
          <w:tab w:leader="none" w:pos="3312" w:val="left"/>
        </w:tabs>
        <w:numPr>
          <w:ilvl w:val="2"/>
          <w:numId w:val="4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rFonts w:ascii="MS PGothic" w:cs="MS PGothic" w:eastAsia="MS PGothic" w:hAnsi="MS PGothic"/>
          <w:sz w:val="18"/>
          <w:szCs w:val="18"/>
          <w:color w:val="auto"/>
        </w:rPr>
      </w:pPr>
    </w:p>
    <w:p>
      <w:pPr>
        <w:ind w:left="1420" w:hanging="394"/>
        <w:spacing w:after="0"/>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7" w:lineRule="exact"/>
        <w:rPr>
          <w:rFonts w:ascii="Times New Roman" w:cs="Times New Roman" w:eastAsia="Times New Roman" w:hAnsi="Times New Roman"/>
          <w:sz w:val="18"/>
          <w:szCs w:val="18"/>
          <w:color w:val="auto"/>
        </w:rPr>
      </w:pPr>
    </w:p>
    <w:p>
      <w:pPr>
        <w:ind w:right="140" w:firstLine="1071"/>
        <w:spacing w:after="0" w:line="282" w:lineRule="auto"/>
        <w:tabs>
          <w:tab w:leader="none" w:pos="131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(i) an “accredited investor” as defined in Regulation D promulgated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(ii) a “qualified institutional buyer” as defined in Rule 144A(a)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-442595</wp:posOffset>
            </wp:positionV>
            <wp:extent cx="17830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308610</wp:posOffset>
            </wp:positionV>
            <wp:extent cx="17830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746125</wp:posOffset>
            </wp:positionV>
            <wp:extent cx="17830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7">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1045845</wp:posOffset>
            </wp:positionV>
            <wp:extent cx="17830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of Investing Entity:</w:t>
      </w: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of Authorized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Signatory:</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spacing w:after="0" w:line="2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947420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left="520" w:right="1600"/>
        <w:spacing w:after="0" w:line="534"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purchase shares.)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3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4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(Please Print)</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1"/>
        </w:trPr>
        <w:tc>
          <w:tcPr>
            <w:tcW w:w="11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Address:</w:t>
            </w: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860" w:type="dxa"/>
            <w:vAlign w:val="bottom"/>
          </w:tcPr>
          <w:p>
            <w:pPr>
              <w:spacing w:after="0"/>
              <w:rPr>
                <w:sz w:val="3"/>
                <w:szCs w:val="3"/>
                <w:color w:val="auto"/>
              </w:rPr>
            </w:pPr>
          </w:p>
        </w:tc>
        <w:tc>
          <w:tcPr>
            <w:tcW w:w="4280" w:type="dxa"/>
            <w:vAlign w:val="bottom"/>
            <w:tcBorders>
              <w:bottom w:val="single" w:sz="8" w:color="auto"/>
            </w:tcBorders>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(Please Print)</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1"/>
        </w:trPr>
        <w:tc>
          <w:tcPr>
            <w:tcW w:w="11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w w:val="98"/>
              </w:rPr>
              <w:t>Phone Number:</w:t>
            </w: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11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Email Address:</w:t>
            </w: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Dated:</w:t>
            </w:r>
          </w:p>
        </w:tc>
        <w:tc>
          <w:tcPr>
            <w:tcW w:w="36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18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46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w w:val="87"/>
              </w:rPr>
              <w:t>,</w:t>
            </w:r>
          </w:p>
        </w:tc>
        <w:tc>
          <w:tcPr>
            <w:tcW w:w="1260" w:type="dxa"/>
            <w:vAlign w:val="bottom"/>
          </w:tcPr>
          <w:p>
            <w:pPr>
              <w:spacing w:after="0"/>
              <w:rPr>
                <w:sz w:val="3"/>
                <w:szCs w:val="3"/>
                <w:color w:val="auto"/>
              </w:rPr>
            </w:pPr>
          </w:p>
        </w:tc>
        <w:tc>
          <w:tcPr>
            <w:tcW w:w="2860" w:type="dxa"/>
            <w:vAlign w:val="bottom"/>
          </w:tcPr>
          <w:p>
            <w:pPr>
              <w:spacing w:after="0"/>
              <w:rPr>
                <w:sz w:val="3"/>
                <w:szCs w:val="3"/>
                <w:color w:val="auto"/>
              </w:rPr>
            </w:pPr>
          </w:p>
        </w:tc>
        <w:tc>
          <w:tcPr>
            <w:tcW w:w="4280" w:type="dxa"/>
            <w:vAlign w:val="bottom"/>
            <w:tcBorders>
              <w:bottom w:val="single" w:sz="8" w:color="auto"/>
            </w:tcBorders>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31"/>
        </w:trPr>
        <w:tc>
          <w:tcPr>
            <w:tcW w:w="540" w:type="dxa"/>
            <w:vAlign w:val="bottom"/>
            <w:vMerge w:val="continue"/>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60" w:type="dxa"/>
            <w:vAlign w:val="bottom"/>
            <w:vMerge w:val="continue"/>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20" w:type="dxa"/>
            <w:vAlign w:val="bottom"/>
            <w:vMerge w:val="continue"/>
          </w:tcPr>
          <w:p>
            <w:pPr>
              <w:spacing w:after="0"/>
              <w:rPr>
                <w:sz w:val="24"/>
                <w:szCs w:val="24"/>
                <w:color w:val="auto"/>
              </w:rPr>
            </w:pPr>
          </w:p>
        </w:tc>
        <w:tc>
          <w:tcPr>
            <w:tcW w:w="46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62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color w:val="auto"/>
              </w:rPr>
              <w:t>Holder’s Signature:</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_</w:t>
            </w:r>
          </w:p>
        </w:tc>
        <w:tc>
          <w:tcPr>
            <w:tcW w:w="286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03"/>
        </w:trPr>
        <w:tc>
          <w:tcPr>
            <w:tcW w:w="1620" w:type="dxa"/>
            <w:vAlign w:val="bottom"/>
            <w:gridSpan w:val="6"/>
            <w:vMerge w:val="continue"/>
          </w:tcPr>
          <w:p>
            <w:pPr>
              <w:spacing w:after="0"/>
              <w:rPr>
                <w:sz w:val="24"/>
                <w:szCs w:val="24"/>
                <w:color w:val="auto"/>
              </w:rPr>
            </w:pPr>
          </w:p>
        </w:tc>
        <w:tc>
          <w:tcPr>
            <w:tcW w:w="1260" w:type="dxa"/>
            <w:vAlign w:val="bottom"/>
            <w:tcBorders>
              <w:bottom w:val="single" w:sz="8" w:color="auto"/>
            </w:tcBorders>
            <w:vMerge w:val="continue"/>
          </w:tcPr>
          <w:p>
            <w:pPr>
              <w:spacing w:after="0"/>
              <w:rPr>
                <w:sz w:val="24"/>
                <w:szCs w:val="24"/>
                <w:color w:val="auto"/>
              </w:rPr>
            </w:pPr>
          </w:p>
        </w:tc>
        <w:tc>
          <w:tcPr>
            <w:tcW w:w="28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6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Holder’s Address:</w:t>
            </w:r>
          </w:p>
        </w:tc>
        <w:tc>
          <w:tcPr>
            <w:tcW w:w="12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4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2"/>
        </w:trPr>
        <w:tc>
          <w:tcPr>
            <w:tcW w:w="5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00" w:lineRule="exact"/>
        <w:rPr>
          <w:sz w:val="20"/>
          <w:szCs w:val="20"/>
          <w:color w:val="auto"/>
        </w:rPr>
      </w:pPr>
    </w:p>
    <w:p>
      <w:pPr>
        <w:spacing w:after="0" w:line="23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SERIES B COMMON STOCK PURCHASE WARRANT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220" w:lineRule="exact"/>
        <w:rPr>
          <w:sz w:val="20"/>
          <w:szCs w:val="20"/>
          <w:color w:val="auto"/>
        </w:rPr>
      </w:pPr>
    </w:p>
    <w:p>
      <w:pPr>
        <w:ind w:left="20"/>
        <w:spacing w:after="0"/>
        <w:tabs>
          <w:tab w:leader="none" w:pos="5800" w:val="left"/>
        </w:tabs>
        <w:rPr>
          <w:sz w:val="20"/>
          <w:szCs w:val="20"/>
          <w:color w:val="auto"/>
        </w:rPr>
      </w:pPr>
      <w:r>
        <w:rPr>
          <w:rFonts w:ascii="Times New Roman" w:cs="Times New Roman" w:eastAsia="Times New Roman" w:hAnsi="Times New Roman"/>
          <w:sz w:val="18"/>
          <w:szCs w:val="18"/>
          <w:color w:val="auto"/>
        </w:rPr>
        <w:t>Warrant Shares:</w:t>
      </w:r>
      <w:r>
        <w:rPr>
          <w:sz w:val="20"/>
          <w:szCs w:val="20"/>
          <w:color w:val="auto"/>
        </w:rPr>
        <w:tab/>
      </w:r>
      <w:r>
        <w:rPr>
          <w:rFonts w:ascii="Times New Roman" w:cs="Times New Roman" w:eastAsia="Times New Roman" w:hAnsi="Times New Roman"/>
          <w:sz w:val="17"/>
          <w:szCs w:val="17"/>
          <w:color w:val="auto"/>
        </w:rPr>
        <w:t>Issue Date: August 9, 2024</w:t>
      </w:r>
    </w:p>
    <w:p>
      <w:pPr>
        <w:spacing w:after="0" w:line="200" w:lineRule="exact"/>
        <w:rPr>
          <w:sz w:val="20"/>
          <w:szCs w:val="20"/>
          <w:color w:val="auto"/>
        </w:rPr>
      </w:pPr>
    </w:p>
    <w:p>
      <w:pPr>
        <w:spacing w:after="0" w:line="25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THIS SERIES B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________________ or its</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effective date of the Initial Registration Statement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the one year anniversary of the Initial Exercise Date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Plus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________________ shares (as subject to 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the Company’s common</w:t>
      </w:r>
    </w:p>
    <w:p>
      <w:pPr>
        <w:spacing w:after="0" w:line="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stock, par value $0.001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The purchase price of one Warrant Share under this Warrant shall be equal to the Exercise Price, as defined in Section 2(b).</w:t>
      </w:r>
    </w:p>
    <w:p>
      <w:pPr>
        <w:spacing w:after="0" w:line="18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May 5, 2024, among the Company and the purchasers signatory thereto.</w:t>
      </w:r>
    </w:p>
    <w:p>
      <w:pPr>
        <w:spacing w:after="0" w:line="162" w:lineRule="exact"/>
        <w:rPr>
          <w:sz w:val="20"/>
          <w:szCs w:val="20"/>
          <w:color w:val="auto"/>
        </w:rPr>
      </w:pPr>
    </w:p>
    <w:p>
      <w:pPr>
        <w:ind w:left="520"/>
        <w:spacing w:after="0"/>
        <w:tabs>
          <w:tab w:leader="none" w:pos="1400" w:val="left"/>
        </w:tabs>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Exercise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940" w:firstLine="514"/>
        <w:spacing w:after="0" w:line="255" w:lineRule="auto"/>
        <w:tabs>
          <w:tab w:leader="none" w:pos="179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as Exhibit A-1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On the earlier of (i) the second Trading Day and (ii) the last Trading Day of the applicable Standard Settlement Period (as defined in Section 2(d)</w:t>
      </w:r>
    </w:p>
    <w:p>
      <w:pPr>
        <w:spacing w:after="0" w:line="2" w:lineRule="exact"/>
        <w:rPr>
          <w:rFonts w:ascii="Times New Roman" w:cs="Times New Roman" w:eastAsia="Times New Roman" w:hAnsi="Times New Roman"/>
          <w:sz w:val="18"/>
          <w:szCs w:val="18"/>
          <w:color w:val="auto"/>
        </w:rPr>
      </w:pPr>
    </w:p>
    <w:p>
      <w:pPr>
        <w:jc w:val="both"/>
        <w:ind w:left="940" w:firstLine="5"/>
        <w:spacing w:after="0" w:line="250" w:lineRule="auto"/>
        <w:tabs>
          <w:tab w:leader="none" w:pos="11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herein) following the date said Notice of Exercise is delivered to the Company, the Holder shall deliver payment of the aggregate Exercise Price of the shares thereby purchased pursuant to the applicable Notice of Exercise by wire transfer or cashier’s check drawn on a United States bank or, if available, pursuant to the cashless exercise procedure specified in Section 2(c) below if specified in the applicable Notice of Exercise. No ink-original Notice of Exercise shall be required, nor shall any medallion guarantee (or other type of guarantee or notarization) of any Notice of Exercise form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five (5) Trading Days of the date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MACROBUTTON DocID \\4142-1432-0719 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00" w:lineRule="exact"/>
        <w:rPr>
          <w:sz w:val="20"/>
          <w:szCs w:val="20"/>
          <w:color w:val="auto"/>
        </w:rPr>
      </w:pPr>
    </w:p>
    <w:p>
      <w:pPr>
        <w:spacing w:after="0" w:line="245" w:lineRule="exact"/>
        <w:rPr>
          <w:sz w:val="20"/>
          <w:szCs w:val="20"/>
          <w:color w:val="auto"/>
        </w:rPr>
      </w:pPr>
    </w:p>
    <w:p>
      <w:pPr>
        <w:jc w:val="both"/>
        <w:ind w:left="940"/>
        <w:spacing w:after="0" w:line="258" w:lineRule="auto"/>
        <w:rPr>
          <w:sz w:val="20"/>
          <w:szCs w:val="20"/>
          <w:color w:val="auto"/>
        </w:rPr>
      </w:pPr>
      <w:r>
        <w:rPr>
          <w:rFonts w:ascii="Times New Roman" w:cs="Times New Roman" w:eastAsia="Times New Roman" w:hAnsi="Times New Roman"/>
          <w:sz w:val="18"/>
          <w:szCs w:val="18"/>
          <w:color w:val="auto"/>
        </w:rPr>
        <w:t xml:space="preserve">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8"/>
          <w:szCs w:val="18"/>
          <w:b w:val="1"/>
          <w:bCs w:val="1"/>
          <w:color w:val="auto"/>
        </w:rPr>
        <w:t>The Holder and any assignee, by acceptance of this Warrant, acknowledge and agree that, by reason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provisions of this paragraph, following the purchase of a portion of the Warrant Shares hereunder, the number of Warrant Shares available for purchase hereunder at any given time may be less than the amount stated on the face hereof.</w:t>
      </w:r>
    </w:p>
    <w:p>
      <w:pPr>
        <w:spacing w:after="0" w:line="183" w:lineRule="exact"/>
        <w:rPr>
          <w:sz w:val="20"/>
          <w:szCs w:val="20"/>
          <w:color w:val="auto"/>
        </w:rPr>
      </w:pPr>
    </w:p>
    <w:p>
      <w:pPr>
        <w:ind w:left="940" w:firstLine="559"/>
        <w:spacing w:after="0" w:line="282" w:lineRule="auto"/>
        <w:tabs>
          <w:tab w:leader="none" w:pos="182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of Common Stock under this Warrant shall be $1.772,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940" w:firstLine="514"/>
        <w:spacing w:after="0" w:line="261" w:lineRule="auto"/>
        <w:tabs>
          <w:tab w:leader="none" w:pos="183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any time after the six-month anniversary of the Closing Date, there is no effective Initial Registration Statement registering, or no current prospectus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395" w:lineRule="exact"/>
        <w:rPr>
          <w:rFonts w:ascii="Times New Roman" w:cs="Times New Roman" w:eastAsia="Times New Roman" w:hAnsi="Times New Roman"/>
          <w:sz w:val="18"/>
          <w:szCs w:val="18"/>
          <w:color w:val="auto"/>
        </w:rPr>
      </w:pPr>
    </w:p>
    <w:p>
      <w:pPr>
        <w:ind w:right="120" w:firstLine="1505"/>
        <w:spacing w:after="0" w:line="253" w:lineRule="auto"/>
        <w:tabs>
          <w:tab w:leader="none" w:pos="1792"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600(b)(68)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to the Company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94" w:lineRule="exact"/>
        <w:rPr>
          <w:rFonts w:ascii="Times New Roman" w:cs="Times New Roman" w:eastAsia="Times New Roman" w:hAnsi="Times New Roman"/>
          <w:sz w:val="18"/>
          <w:szCs w:val="18"/>
          <w:color w:val="auto"/>
        </w:rPr>
      </w:pPr>
    </w:p>
    <w:p>
      <w:pPr>
        <w:ind w:left="1800" w:hanging="295"/>
        <w:spacing w:after="0"/>
        <w:tabs>
          <w:tab w:leader="none" w:pos="180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as adjusted hereunder; and</w:t>
      </w:r>
    </w:p>
    <w:p>
      <w:pPr>
        <w:spacing w:after="0" w:line="225" w:lineRule="exact"/>
        <w:rPr>
          <w:sz w:val="20"/>
          <w:szCs w:val="20"/>
          <w:color w:val="auto"/>
        </w:rPr>
      </w:pPr>
    </w:p>
    <w:p>
      <w:pPr>
        <w:ind w:right="100" w:firstLine="1505"/>
        <w:spacing w:after="0" w:line="282" w:lineRule="auto"/>
        <w:tabs>
          <w:tab w:leader="none" w:pos="179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jc w:val="both"/>
        <w:ind w:firstLine="1448"/>
        <w:spacing w:after="0" w:line="26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on to the holding period of this Warrant. The Company agrees not to take any position contrary to this Section 2(c).</w:t>
      </w:r>
    </w:p>
    <w:p>
      <w:pPr>
        <w:spacing w:after="0" w:line="176" w:lineRule="exact"/>
        <w:rPr>
          <w:sz w:val="20"/>
          <w:szCs w:val="20"/>
          <w:color w:val="auto"/>
        </w:rPr>
      </w:pPr>
    </w:p>
    <w:p>
      <w:pPr>
        <w:jc w:val="both"/>
        <w:ind w:left="940" w:firstLine="50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the foregoing does not apply, the bid price of the Common Stock in the over-the-counter market on the electronic bulletin board for such Common Stock as reported by Bloomberg as of such time of determination, (c) if no bid price is reported for the Common Stock by Bloomberg as of such time of determination, the average of the bid prices of all of the market makers for the Common Stock as reported on the Pink Open Market (or a similar organization or agency succeeding to its functions of reporting prices) (the “</w:t>
      </w:r>
      <w:r>
        <w:rPr>
          <w:rFonts w:ascii="Times New Roman" w:cs="Times New Roman" w:eastAsia="Times New Roman" w:hAnsi="Times New Roman"/>
          <w:sz w:val="18"/>
          <w:szCs w:val="18"/>
          <w:u w:val="single" w:color="auto"/>
          <w:color w:val="auto"/>
        </w:rPr>
        <w:t>Pink Sheets</w:t>
      </w:r>
      <w:r>
        <w:rPr>
          <w:rFonts w:ascii="Times New Roman" w:cs="Times New Roman" w:eastAsia="Times New Roman" w:hAnsi="Times New Roman"/>
          <w:sz w:val="18"/>
          <w:szCs w:val="18"/>
          <w:color w:val="auto"/>
        </w:rPr>
        <w:t>”) as of such time of determination,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MACROBUTTON DocID \\4142-1432-0719 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900" w:firstLine="50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the foregoing does not apply, the bid price of the Common Stock in the over-the-counter market on the electronic bulletin board for such Common Stock as reported by Bloomberg as of such time of determination, (c) if no bid price is reported for the Common Stock by Bloomberg as of such time of determination, the average of the bid prices of all of the market makers for the Common Stock as reported in the Pink Sheets as of such time of determination,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jc w:val="both"/>
        <w:ind w:left="900" w:firstLine="509"/>
        <w:spacing w:after="0" w:line="282" w:lineRule="auto"/>
        <w:rPr>
          <w:sz w:val="20"/>
          <w:szCs w:val="20"/>
          <w:color w:val="auto"/>
        </w:rPr>
      </w:pPr>
      <w:r>
        <w:rPr>
          <w:rFonts w:ascii="Times New Roman" w:cs="Times New Roman" w:eastAsia="Times New Roman" w:hAnsi="Times New Roman"/>
          <w:sz w:val="18"/>
          <w:szCs w:val="18"/>
          <w:color w:val="auto"/>
        </w:rPr>
        <w:t>Notwithstanding anything herein to the contrary, on the Termination Date, if the conditions of a cashless exercise are otherwise met, this Warrant shall be automatically exercised via cashless exercise pursuant to this Section 2(c).</w:t>
      </w:r>
    </w:p>
    <w:p>
      <w:pPr>
        <w:spacing w:after="0" w:line="162" w:lineRule="exact"/>
        <w:rPr>
          <w:sz w:val="20"/>
          <w:szCs w:val="20"/>
          <w:color w:val="auto"/>
        </w:rPr>
      </w:pPr>
    </w:p>
    <w:p>
      <w:pPr>
        <w:ind w:left="1740" w:hanging="326"/>
        <w:spacing w:after="0"/>
        <w:tabs>
          <w:tab w:leader="none" w:pos="17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020" w:firstLine="504"/>
        <w:spacing w:after="0" w:line="251" w:lineRule="auto"/>
        <w:tabs>
          <w:tab w:leader="none" w:pos="38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Warrant Share Delivery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in each case subject to delivery of the aggregate Exercise Price to the Company (if applicable).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MACROBUTTON DocID \\4142-1432-0719 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490220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765"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00" w:lineRule="exact"/>
        <w:rPr>
          <w:sz w:val="20"/>
          <w:szCs w:val="20"/>
          <w:color w:val="auto"/>
        </w:rPr>
      </w:pPr>
    </w:p>
    <w:p>
      <w:pPr>
        <w:spacing w:after="0" w:line="24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Delivery Date until such Warrant Shares are delivered or Holder rescinds such exercise.</w:t>
      </w:r>
    </w:p>
    <w:p>
      <w:pPr>
        <w:spacing w:after="0" w:line="225" w:lineRule="exact"/>
        <w:rPr>
          <w:sz w:val="20"/>
          <w:szCs w:val="20"/>
          <w:color w:val="auto"/>
        </w:rPr>
      </w:pPr>
    </w:p>
    <w:p>
      <w:pPr>
        <w:jc w:val="both"/>
        <w:ind w:left="3020" w:firstLine="504"/>
        <w:spacing w:after="0" w:line="258" w:lineRule="auto"/>
        <w:tabs>
          <w:tab w:leader="none" w:pos="394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83" w:lineRule="exact"/>
        <w:rPr>
          <w:rFonts w:ascii="Times New Roman" w:cs="Times New Roman" w:eastAsia="Times New Roman" w:hAnsi="Times New Roman"/>
          <w:sz w:val="18"/>
          <w:szCs w:val="18"/>
          <w:color w:val="auto"/>
        </w:rPr>
      </w:pPr>
    </w:p>
    <w:p>
      <w:pPr>
        <w:jc w:val="both"/>
        <w:ind w:left="3020" w:firstLine="563"/>
        <w:spacing w:after="0" w:line="261" w:lineRule="auto"/>
        <w:tabs>
          <w:tab w:leader="none" w:pos="401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 by delivering written notice to the Company at any time prior to the Company delivering such Warrant Shares.</w:t>
      </w:r>
    </w:p>
    <w:p>
      <w:pPr>
        <w:spacing w:after="0" w:line="180" w:lineRule="exact"/>
        <w:rPr>
          <w:sz w:val="20"/>
          <w:szCs w:val="20"/>
          <w:color w:val="auto"/>
        </w:rPr>
      </w:pPr>
    </w:p>
    <w:p>
      <w:pPr>
        <w:jc w:val="both"/>
        <w:ind w:left="3020" w:firstLine="504"/>
        <w:spacing w:after="0" w:line="251" w:lineRule="auto"/>
        <w:tabs>
          <w:tab w:leader="none" w:pos="388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(other than any failure due solely to any action or inaction by the Holder with respect to such exercise),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was entitled to receive upon such exercise but did not receive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but did not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Warrants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Warrant Shares upon exercise of the Warrant as required pursuant to the terms hereof.</w:t>
      </w:r>
    </w:p>
    <w:p>
      <w:pPr>
        <w:spacing w:after="0" w:line="204" w:lineRule="exact"/>
        <w:rPr>
          <w:rFonts w:ascii="Times New Roman" w:cs="Times New Roman" w:eastAsia="Times New Roman" w:hAnsi="Times New Roman"/>
          <w:sz w:val="18"/>
          <w:szCs w:val="18"/>
          <w:color w:val="auto"/>
        </w:rPr>
      </w:pPr>
    </w:p>
    <w:p>
      <w:pPr>
        <w:ind w:left="3860" w:hanging="336"/>
        <w:spacing w:after="0"/>
        <w:tabs>
          <w:tab w:leader="none" w:pos="38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Warrant Shares or scrip representing fractional Warrant</w:t>
      </w:r>
    </w:p>
    <w:p>
      <w:pPr>
        <w:spacing w:after="0" w:line="27" w:lineRule="exact"/>
        <w:rPr>
          <w:sz w:val="20"/>
          <w:szCs w:val="20"/>
          <w:color w:val="auto"/>
        </w:rPr>
      </w:pPr>
    </w:p>
    <w:p>
      <w:pPr>
        <w:jc w:val="both"/>
        <w:ind w:left="3020"/>
        <w:spacing w:after="0" w:line="250" w:lineRule="auto"/>
        <w:rPr>
          <w:sz w:val="20"/>
          <w:szCs w:val="20"/>
          <w:color w:val="auto"/>
        </w:rPr>
      </w:pPr>
      <w:r>
        <w:rPr>
          <w:rFonts w:ascii="Times New Roman" w:cs="Times New Roman" w:eastAsia="Times New Roman" w:hAnsi="Times New Roman"/>
          <w:sz w:val="18"/>
          <w:szCs w:val="18"/>
          <w:color w:val="auto"/>
        </w:rPr>
        <w:t>Shares shall be issued upon the exercise of this Warrant. As to any fraction of a Warrant Share which the Holder would otherwise be entitled to purchase upon such exercise, the Company shall, at its election and in lieu of the issuance of such fractional Warrant Share, either pay a cash</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MACROBUTTON DocID \\4142-1432-0719 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490220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765"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00" w:lineRule="exact"/>
        <w:rPr>
          <w:sz w:val="20"/>
          <w:szCs w:val="20"/>
          <w:color w:val="auto"/>
        </w:rPr>
      </w:pPr>
    </w:p>
    <w:p>
      <w:pPr>
        <w:spacing w:after="0" w:line="245" w:lineRule="exact"/>
        <w:rPr>
          <w:sz w:val="20"/>
          <w:szCs w:val="20"/>
          <w:color w:val="auto"/>
        </w:rPr>
      </w:pPr>
    </w:p>
    <w:p>
      <w:pPr>
        <w:jc w:val="both"/>
        <w:ind w:left="3020"/>
        <w:spacing w:after="0" w:line="282" w:lineRule="auto"/>
        <w:rPr>
          <w:sz w:val="20"/>
          <w:szCs w:val="20"/>
          <w:color w:val="auto"/>
        </w:rPr>
      </w:pPr>
      <w:r>
        <w:rPr>
          <w:rFonts w:ascii="Times New Roman" w:cs="Times New Roman" w:eastAsia="Times New Roman" w:hAnsi="Times New Roman"/>
          <w:sz w:val="18"/>
          <w:szCs w:val="18"/>
          <w:color w:val="auto"/>
        </w:rPr>
        <w:t>adjustment in respect of such final fraction in an amount equal to such fraction multiplied by the Exercise Price or round up to the next whole Warrant Share.</w:t>
      </w:r>
    </w:p>
    <w:p>
      <w:pPr>
        <w:spacing w:after="0" w:line="162" w:lineRule="exact"/>
        <w:rPr>
          <w:sz w:val="20"/>
          <w:szCs w:val="20"/>
          <w:color w:val="auto"/>
        </w:rPr>
      </w:pPr>
    </w:p>
    <w:p>
      <w:pPr>
        <w:jc w:val="both"/>
        <w:ind w:left="3020" w:firstLine="504"/>
        <w:spacing w:after="0" w:line="253" w:lineRule="auto"/>
        <w:tabs>
          <w:tab w:leader="none" w:pos="400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91" w:lineRule="exact"/>
        <w:rPr>
          <w:rFonts w:ascii="Times New Roman" w:cs="Times New Roman" w:eastAsia="Times New Roman" w:hAnsi="Times New Roman"/>
          <w:sz w:val="18"/>
          <w:szCs w:val="18"/>
          <w:color w:val="auto"/>
        </w:rPr>
      </w:pPr>
    </w:p>
    <w:p>
      <w:pPr>
        <w:ind w:left="3020" w:firstLine="504"/>
        <w:spacing w:after="0" w:line="282" w:lineRule="auto"/>
        <w:tabs>
          <w:tab w:leader="none" w:pos="403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161" w:lineRule="exact"/>
        <w:rPr>
          <w:rFonts w:ascii="Times New Roman" w:cs="Times New Roman" w:eastAsia="Times New Roman" w:hAnsi="Times New Roman"/>
          <w:sz w:val="18"/>
          <w:szCs w:val="18"/>
          <w:color w:val="auto"/>
        </w:rPr>
      </w:pPr>
    </w:p>
    <w:p>
      <w:pPr>
        <w:jc w:val="both"/>
        <w:ind w:left="900" w:firstLine="514"/>
        <w:spacing w:after="0" w:line="252" w:lineRule="auto"/>
        <w:tabs>
          <w:tab w:leader="none" w:pos="174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w:t>
      </w:r>
    </w:p>
    <w:p>
      <w:pPr>
        <w:spacing w:after="0" w:line="196" w:lineRule="exact"/>
        <w:rPr>
          <w:sz w:val="20"/>
          <w:szCs w:val="20"/>
          <w:color w:val="auto"/>
        </w:rPr>
      </w:pPr>
    </w:p>
    <w:p>
      <w:pPr>
        <w:jc w:val="both"/>
        <w:ind w:left="900" w:firstLine="509"/>
        <w:spacing w:after="0" w:line="254" w:lineRule="auto"/>
        <w:rPr>
          <w:sz w:val="20"/>
          <w:szCs w:val="20"/>
          <w:color w:val="auto"/>
        </w:rPr>
      </w:pPr>
      <w:r>
        <w:rPr>
          <w:rFonts w:ascii="Times New Roman" w:cs="Times New Roman" w:eastAsia="Times New Roman" w:hAnsi="Times New Roman"/>
          <w:sz w:val="18"/>
          <w:szCs w:val="18"/>
          <w:color w:val="auto"/>
        </w:rPr>
        <w:t>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MACROBUTTON DocID \\4142-1432-0719 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490220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765"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00" w:lineRule="exact"/>
        <w:rPr>
          <w:sz w:val="20"/>
          <w:szCs w:val="20"/>
          <w:color w:val="auto"/>
        </w:rPr>
      </w:pPr>
    </w:p>
    <w:p>
      <w:pPr>
        <w:spacing w:after="0" w:line="245" w:lineRule="exact"/>
        <w:rPr>
          <w:sz w:val="20"/>
          <w:szCs w:val="20"/>
          <w:color w:val="auto"/>
        </w:rPr>
      </w:pPr>
    </w:p>
    <w:p>
      <w:pPr>
        <w:jc w:val="both"/>
        <w:ind w:left="900" w:firstLine="509"/>
        <w:spacing w:after="0" w:line="252" w:lineRule="auto"/>
        <w:rPr>
          <w:sz w:val="20"/>
          <w:szCs w:val="20"/>
          <w:color w:val="auto"/>
        </w:rPr>
      </w:pPr>
      <w:r>
        <w:rPr>
          <w:rFonts w:ascii="Times New Roman" w:cs="Times New Roman" w:eastAsia="Times New Roman" w:hAnsi="Times New Roman"/>
          <w:sz w:val="18"/>
          <w:szCs w:val="18"/>
          <w:color w:val="auto"/>
        </w:rPr>
        <w:t>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two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w:t>
      </w:r>
    </w:p>
    <w:p>
      <w:pPr>
        <w:spacing w:after="0" w:line="2" w:lineRule="exact"/>
        <w:rPr>
          <w:sz w:val="20"/>
          <w:szCs w:val="20"/>
          <w:color w:val="auto"/>
        </w:rPr>
      </w:pPr>
    </w:p>
    <w:p>
      <w:pPr>
        <w:jc w:val="both"/>
        <w:ind w:left="900"/>
        <w:spacing w:after="0" w:line="229" w:lineRule="auto"/>
        <w:rPr>
          <w:sz w:val="20"/>
          <w:szCs w:val="20"/>
          <w:color w:val="auto"/>
        </w:rPr>
      </w:pPr>
      <w:r>
        <w:rPr>
          <w:rFonts w:ascii="Times New Roman" w:cs="Times New Roman" w:eastAsia="Times New Roman" w:hAnsi="Times New Roman"/>
          <w:sz w:val="18"/>
          <w:szCs w:val="18"/>
          <w:color w:val="auto"/>
        </w:rPr>
        <w:t>2(e) shall continue to apply. Any increase in the Beneficial Ownership Limitation will not be effective until the 61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spacing w:after="0" w:line="215" w:lineRule="exact"/>
        <w:rPr>
          <w:sz w:val="20"/>
          <w:szCs w:val="20"/>
          <w:color w:val="auto"/>
        </w:rPr>
      </w:pPr>
    </w:p>
    <w:p>
      <w:pPr>
        <w:ind w:left="480"/>
        <w:spacing w:after="0"/>
        <w:tabs>
          <w:tab w:leader="none" w:pos="1360" w:val="left"/>
        </w:tabs>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Certain Adjustments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900" w:firstLine="514"/>
        <w:spacing w:after="0" w:line="257" w:lineRule="auto"/>
        <w:tabs>
          <w:tab w:leader="none" w:pos="175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Warrant Shares issued by the Company upon exercise of this Warrant),</w:t>
      </w:r>
    </w:p>
    <w:p>
      <w:pPr>
        <w:spacing w:after="0" w:line="1" w:lineRule="exact"/>
        <w:rPr>
          <w:rFonts w:ascii="Times New Roman" w:cs="Times New Roman" w:eastAsia="Times New Roman" w:hAnsi="Times New Roman"/>
          <w:sz w:val="18"/>
          <w:szCs w:val="18"/>
          <w:color w:val="auto"/>
        </w:rPr>
      </w:pPr>
    </w:p>
    <w:p>
      <w:pPr>
        <w:jc w:val="both"/>
        <w:ind w:left="900" w:firstLine="5"/>
        <w:spacing w:after="0" w:line="251" w:lineRule="auto"/>
        <w:tabs>
          <w:tab w:leader="none" w:pos="117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subdivides outstanding shares of Common Stock into a larger number of shares, (iii) combines (including by way of reverse stock split) outstanding shares of Common Stock into a smaller number of shares, or (iv) issues by reclassification of shares of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93" w:lineRule="exact"/>
        <w:rPr>
          <w:rFonts w:ascii="Times New Roman" w:cs="Times New Roman" w:eastAsia="Times New Roman" w:hAnsi="Times New Roman"/>
          <w:sz w:val="18"/>
          <w:szCs w:val="18"/>
          <w:color w:val="auto"/>
        </w:rPr>
      </w:pPr>
    </w:p>
    <w:p>
      <w:pPr>
        <w:jc w:val="both"/>
        <w:ind w:left="900" w:firstLine="514"/>
        <w:spacing w:after="0" w:line="252" w:lineRule="auto"/>
        <w:tabs>
          <w:tab w:leader="none" w:pos="179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xml:space="preserve"> In addition to (but without duplication of) any adjustments pursuant to Section 3(a) above, if at any time while this Warrant is outstanding the Company grants, issues or sells any Common Stock Equivalents or rights to purchase stock, warrants, securities or other property pro rata to all record holders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MACROBUTTON DocID \\4142-1432-0719 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490220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765"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00" w:lineRule="exact"/>
        <w:rPr>
          <w:sz w:val="20"/>
          <w:szCs w:val="20"/>
          <w:color w:val="auto"/>
        </w:rPr>
      </w:pPr>
    </w:p>
    <w:p>
      <w:pPr>
        <w:spacing w:after="0" w:line="245" w:lineRule="exact"/>
        <w:rPr>
          <w:sz w:val="20"/>
          <w:szCs w:val="20"/>
          <w:color w:val="auto"/>
        </w:rPr>
      </w:pPr>
    </w:p>
    <w:p>
      <w:pPr>
        <w:jc w:val="both"/>
        <w:ind w:left="900"/>
        <w:spacing w:after="0" w:line="282" w:lineRule="auto"/>
        <w:rPr>
          <w:sz w:val="20"/>
          <w:szCs w:val="20"/>
          <w:color w:val="auto"/>
        </w:rPr>
      </w:pPr>
      <w:r>
        <w:rPr>
          <w:rFonts w:ascii="Times New Roman" w:cs="Times New Roman" w:eastAsia="Times New Roman" w:hAnsi="Times New Roman"/>
          <w:sz w:val="18"/>
          <w:szCs w:val="18"/>
          <w:color w:val="auto"/>
        </w:rPr>
        <w:t>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62" w:lineRule="exact"/>
        <w:rPr>
          <w:sz w:val="20"/>
          <w:szCs w:val="20"/>
          <w:color w:val="auto"/>
        </w:rPr>
      </w:pPr>
    </w:p>
    <w:p>
      <w:pPr>
        <w:jc w:val="both"/>
        <w:ind w:left="900" w:firstLine="514"/>
        <w:spacing w:after="0" w:line="252" w:lineRule="auto"/>
        <w:tabs>
          <w:tab w:leader="none" w:pos="159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all holders of shares of Common Stock, by way of return of capital or otherwise (including, without limitation, any distribution of cash, stock or other securities (other than as contemplated by Section 3(a) above),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97" w:lineRule="exact"/>
        <w:rPr>
          <w:rFonts w:ascii="Times New Roman" w:cs="Times New Roman" w:eastAsia="Times New Roman" w:hAnsi="Times New Roman"/>
          <w:sz w:val="18"/>
          <w:szCs w:val="18"/>
          <w:color w:val="auto"/>
        </w:rPr>
      </w:pPr>
    </w:p>
    <w:p>
      <w:pPr>
        <w:jc w:val="both"/>
        <w:ind w:left="900" w:firstLine="514"/>
        <w:spacing w:after="0" w:line="251" w:lineRule="auto"/>
        <w:tabs>
          <w:tab w:leader="none" w:pos="175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(other than a transaction solely to change the domicile of the Company),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MACROBUTTON DocID \\4142-1432-0719 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490220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765"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00" w:lineRule="exact"/>
        <w:rPr>
          <w:sz w:val="20"/>
          <w:szCs w:val="20"/>
          <w:color w:val="auto"/>
        </w:rPr>
      </w:pPr>
    </w:p>
    <w:p>
      <w:pPr>
        <w:spacing w:after="0" w:line="245" w:lineRule="exact"/>
        <w:rPr>
          <w:sz w:val="20"/>
          <w:szCs w:val="20"/>
          <w:color w:val="auto"/>
        </w:rPr>
      </w:pPr>
    </w:p>
    <w:p>
      <w:pPr>
        <w:jc w:val="both"/>
        <w:ind w:left="900"/>
        <w:spacing w:after="0" w:line="250" w:lineRule="auto"/>
        <w:rPr>
          <w:sz w:val="20"/>
          <w:szCs w:val="20"/>
          <w:color w:val="auto"/>
        </w:rPr>
      </w:pPr>
      <w:r>
        <w:rPr>
          <w:rFonts w:ascii="Times New Roman" w:cs="Times New Roman" w:eastAsia="Times New Roman" w:hAnsi="Times New Roman"/>
          <w:sz w:val="18"/>
          <w:szCs w:val="18"/>
          <w:color w:val="auto"/>
        </w:rPr>
        <w:t xml:space="preserve">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 “</w:t>
      </w:r>
      <w:r>
        <w:rPr>
          <w:rFonts w:ascii="Times New Roman" w:cs="Times New Roman" w:eastAsia="Times New Roman" w:hAnsi="Times New Roman"/>
          <w:sz w:val="18"/>
          <w:szCs w:val="18"/>
          <w:u w:val="single" w:color="auto"/>
          <w:color w:val="auto"/>
        </w:rPr>
        <w:t>Black Scholes Value</w:t>
      </w:r>
      <w:r>
        <w:rPr>
          <w:rFonts w:ascii="Times New Roman" w:cs="Times New Roman" w:eastAsia="Times New Roman" w:hAnsi="Times New Roman"/>
          <w:sz w:val="18"/>
          <w:szCs w:val="18"/>
          <w:color w:val="auto"/>
        </w:rPr>
        <w:t>” means the value of this Warrant based on the Black-Scholes Option Pricing Model obtained from the “OV” function on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100, (C) the underlying price per share used in such calculation shall be the sum of the price per share being offered in cash, if any, plus the value of any non-cash consideration, if any, being offered in such Fundamental Transaction, (D) the sum of the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shares of Common</w:t>
      </w:r>
    </w:p>
    <w:p>
      <w:pPr>
        <w:spacing w:after="0" w:line="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MACROBUTTON DocID \\4142-1432-0719 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490220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765"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00" w:lineRule="exact"/>
        <w:rPr>
          <w:sz w:val="20"/>
          <w:szCs w:val="20"/>
          <w:color w:val="auto"/>
        </w:rPr>
      </w:pPr>
    </w:p>
    <w:p>
      <w:pPr>
        <w:spacing w:after="0" w:line="24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Stock for the issuance of Warrant Shares and/or (ii) whether a Fundamental Transaction occurs prior to the Initial Exercise Date.</w:t>
      </w:r>
    </w:p>
    <w:p>
      <w:pPr>
        <w:spacing w:after="0" w:line="225" w:lineRule="exact"/>
        <w:rPr>
          <w:sz w:val="20"/>
          <w:szCs w:val="20"/>
          <w:color w:val="auto"/>
        </w:rPr>
      </w:pPr>
    </w:p>
    <w:p>
      <w:pPr>
        <w:ind w:left="1720" w:hanging="306"/>
        <w:spacing w:after="0"/>
        <w:tabs>
          <w:tab w:leader="none" w:pos="1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020" w:firstLine="504"/>
        <w:spacing w:after="0" w:line="261" w:lineRule="auto"/>
        <w:tabs>
          <w:tab w:leader="none" w:pos="384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79" w:lineRule="exact"/>
        <w:rPr>
          <w:rFonts w:ascii="Times New Roman" w:cs="Times New Roman" w:eastAsia="Times New Roman" w:hAnsi="Times New Roman"/>
          <w:sz w:val="18"/>
          <w:szCs w:val="18"/>
          <w:color w:val="auto"/>
        </w:rPr>
      </w:pPr>
    </w:p>
    <w:p>
      <w:pPr>
        <w:jc w:val="both"/>
        <w:ind w:left="3020" w:firstLine="504"/>
        <w:spacing w:after="0" w:line="251" w:lineRule="auto"/>
        <w:tabs>
          <w:tab w:leader="none" w:pos="394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(other than a transaction solely to change the domicile of the Company),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contemporaneously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204" w:lineRule="exact"/>
        <w:rPr>
          <w:rFonts w:ascii="Times New Roman" w:cs="Times New Roman" w:eastAsia="Times New Roman" w:hAnsi="Times New Roman"/>
          <w:sz w:val="18"/>
          <w:szCs w:val="18"/>
          <w:color w:val="auto"/>
        </w:rPr>
      </w:pPr>
    </w:p>
    <w:p>
      <w:pPr>
        <w:jc w:val="both"/>
        <w:ind w:left="900" w:firstLine="473"/>
        <w:spacing w:after="0" w:line="266" w:lineRule="auto"/>
        <w:tabs>
          <w:tab w:leader="none" w:pos="180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The Company may at any time during the term of this Warrant reduce the then current Exercise Price to any amount and for any period of time deemed appropriate by the Board of Directors of the Company; provided, however, that the Company agrees not to adjust the Exercise Price in any way that would violate the listing rules of the Nasdaq Stock Market.</w:t>
      </w:r>
    </w:p>
    <w:p>
      <w:pPr>
        <w:spacing w:after="0" w:line="176" w:lineRule="exact"/>
        <w:rPr>
          <w:sz w:val="20"/>
          <w:szCs w:val="20"/>
          <w:color w:val="auto"/>
        </w:rPr>
      </w:pPr>
    </w:p>
    <w:p>
      <w:pPr>
        <w:ind w:left="480"/>
        <w:spacing w:after="0"/>
        <w:tabs>
          <w:tab w:leader="none" w:pos="1360" w:val="left"/>
        </w:tabs>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Transfer of Warrant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MACROBUTTON DocID \\4142-1432-0719 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490220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765"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00" w:lineRule="exact"/>
        <w:rPr>
          <w:sz w:val="20"/>
          <w:szCs w:val="20"/>
          <w:color w:val="auto"/>
        </w:rPr>
      </w:pPr>
    </w:p>
    <w:p>
      <w:pPr>
        <w:spacing w:after="0" w:line="245" w:lineRule="exact"/>
        <w:rPr>
          <w:sz w:val="20"/>
          <w:szCs w:val="20"/>
          <w:color w:val="auto"/>
        </w:rPr>
      </w:pPr>
    </w:p>
    <w:p>
      <w:pPr>
        <w:jc w:val="both"/>
        <w:ind w:left="900" w:firstLine="514"/>
        <w:spacing w:after="0" w:line="253" w:lineRule="auto"/>
        <w:tabs>
          <w:tab w:leader="none" w:pos="186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the Holder’s appropriate compliance with the restrictive legend on this Warrant and the transfer restrictions set forth herein and in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89" w:lineRule="exact"/>
        <w:rPr>
          <w:rFonts w:ascii="Times New Roman" w:cs="Times New Roman" w:eastAsia="Times New Roman" w:hAnsi="Times New Roman"/>
          <w:sz w:val="18"/>
          <w:szCs w:val="18"/>
          <w:color w:val="auto"/>
        </w:rPr>
      </w:pPr>
    </w:p>
    <w:p>
      <w:pPr>
        <w:jc w:val="both"/>
        <w:ind w:left="900" w:firstLine="514"/>
        <w:spacing w:after="0" w:line="255" w:lineRule="auto"/>
        <w:tabs>
          <w:tab w:leader="none" w:pos="184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Subject to compliance with applicable securities laws,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188" w:lineRule="exact"/>
        <w:rPr>
          <w:rFonts w:ascii="Times New Roman" w:cs="Times New Roman" w:eastAsia="Times New Roman" w:hAnsi="Times New Roman"/>
          <w:sz w:val="18"/>
          <w:szCs w:val="18"/>
          <w:color w:val="auto"/>
        </w:rPr>
      </w:pPr>
    </w:p>
    <w:p>
      <w:pPr>
        <w:jc w:val="both"/>
        <w:ind w:left="900" w:firstLine="514"/>
        <w:spacing w:after="0" w:line="261" w:lineRule="auto"/>
        <w:tabs>
          <w:tab w:leader="none" w:pos="175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color w:val="auto"/>
        </w:rPr>
      </w:pPr>
    </w:p>
    <w:p>
      <w:pPr>
        <w:jc w:val="both"/>
        <w:ind w:left="900" w:firstLine="514"/>
        <w:spacing w:after="0" w:line="258" w:lineRule="auto"/>
        <w:tabs>
          <w:tab w:leader="none" w:pos="166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spacing w:after="0" w:line="183" w:lineRule="exact"/>
        <w:rPr>
          <w:rFonts w:ascii="Times New Roman" w:cs="Times New Roman" w:eastAsia="Times New Roman" w:hAnsi="Times New Roman"/>
          <w:sz w:val="18"/>
          <w:szCs w:val="18"/>
          <w:color w:val="auto"/>
        </w:rPr>
      </w:pPr>
    </w:p>
    <w:p>
      <w:pPr>
        <w:jc w:val="both"/>
        <w:ind w:left="900" w:firstLine="514"/>
        <w:spacing w:after="0" w:line="261" w:lineRule="auto"/>
        <w:tabs>
          <w:tab w:leader="none" w:pos="165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ind w:left="480"/>
        <w:spacing w:after="0"/>
        <w:tabs>
          <w:tab w:leader="none" w:pos="1360" w:val="left"/>
        </w:tabs>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900" w:firstLine="514"/>
        <w:spacing w:after="0" w:line="260" w:lineRule="auto"/>
        <w:tabs>
          <w:tab w:leader="none" w:pos="178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2(d)(iv) herein, in no event shall the Company be required to net cash settle an exercise of this Warrant. For the avoidance of doubt, except as expressly set forth in this</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MACROBUTTON DocID \\4142-1432-0719 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490220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765"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00" w:lineRule="exact"/>
        <w:rPr>
          <w:sz w:val="20"/>
          <w:szCs w:val="20"/>
          <w:color w:val="auto"/>
        </w:rPr>
      </w:pPr>
    </w:p>
    <w:p>
      <w:pPr>
        <w:spacing w:after="0" w:line="24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Warrant, in no event does this agreement result in the Company having an obligation to issue cash or other assets to the Holder.</w:t>
      </w:r>
    </w:p>
    <w:p>
      <w:pPr>
        <w:spacing w:after="0" w:line="225" w:lineRule="exact"/>
        <w:rPr>
          <w:sz w:val="20"/>
          <w:szCs w:val="20"/>
          <w:color w:val="auto"/>
        </w:rPr>
      </w:pPr>
    </w:p>
    <w:p>
      <w:pPr>
        <w:jc w:val="both"/>
        <w:ind w:left="900" w:firstLine="514"/>
        <w:spacing w:after="0" w:line="258" w:lineRule="auto"/>
        <w:tabs>
          <w:tab w:leader="none" w:pos="18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ind w:left="900" w:right="20" w:firstLine="514"/>
        <w:spacing w:after="0" w:line="282" w:lineRule="auto"/>
        <w:tabs>
          <w:tab w:leader="none" w:pos="172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161" w:lineRule="exact"/>
        <w:rPr>
          <w:rFonts w:ascii="Times New Roman" w:cs="Times New Roman" w:eastAsia="Times New Roman" w:hAnsi="Times New Roman"/>
          <w:sz w:val="18"/>
          <w:szCs w:val="18"/>
          <w:color w:val="auto"/>
        </w:rPr>
      </w:pPr>
    </w:p>
    <w:p>
      <w:pPr>
        <w:ind w:left="1740" w:hanging="326"/>
        <w:spacing w:after="0"/>
        <w:tabs>
          <w:tab w:leader="none" w:pos="17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40" w:firstLine="1018"/>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shares of Common Stock a sufficient number of shares to provide for the issuance of the Warrant Shares underlying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and delivered as provided herein without violation of any applicable law or regulation, or of any requirements of the Trading Market upon which the Common Stock may be listed. The Company covenants that all Warrant Shares underlying this Warrant,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2" w:lineRule="exact"/>
        <w:rPr>
          <w:sz w:val="20"/>
          <w:szCs w:val="20"/>
          <w:color w:val="auto"/>
        </w:rPr>
      </w:pPr>
    </w:p>
    <w:p>
      <w:pPr>
        <w:jc w:val="both"/>
        <w:ind w:left="1840" w:firstLine="509"/>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92" w:lineRule="exact"/>
        <w:rPr>
          <w:sz w:val="20"/>
          <w:szCs w:val="20"/>
          <w:color w:val="auto"/>
        </w:rPr>
      </w:pPr>
    </w:p>
    <w:p>
      <w:pPr>
        <w:jc w:val="both"/>
        <w:ind w:left="1840" w:right="20" w:firstLine="509"/>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left="900" w:firstLine="514"/>
        <w:spacing w:after="0" w:line="261" w:lineRule="auto"/>
        <w:tabs>
          <w:tab w:leader="none" w:pos="172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MACROBUTTON DocID \\4142-1432-0719 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490220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765"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900" w:firstLine="514"/>
        <w:spacing w:after="0" w:line="282" w:lineRule="auto"/>
        <w:tabs>
          <w:tab w:leader="none" w:pos="172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if the Holder does not utilize cashless exercise, will have restrictions upon resale imposed by applicable state and federal securities laws.</w:t>
      </w:r>
    </w:p>
    <w:p>
      <w:pPr>
        <w:spacing w:after="0" w:line="161" w:lineRule="exact"/>
        <w:rPr>
          <w:rFonts w:ascii="Times New Roman" w:cs="Times New Roman" w:eastAsia="Times New Roman" w:hAnsi="Times New Roman"/>
          <w:sz w:val="18"/>
          <w:szCs w:val="18"/>
          <w:color w:val="auto"/>
        </w:rPr>
      </w:pPr>
    </w:p>
    <w:p>
      <w:pPr>
        <w:jc w:val="both"/>
        <w:ind w:left="900" w:firstLine="514"/>
        <w:spacing w:after="0" w:line="256" w:lineRule="auto"/>
        <w:tabs>
          <w:tab w:leader="none" w:pos="176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and documented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ind w:left="900" w:right="20" w:firstLine="514"/>
        <w:spacing w:after="0" w:line="282" w:lineRule="auto"/>
        <w:tabs>
          <w:tab w:leader="none" w:pos="175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161" w:lineRule="exact"/>
        <w:rPr>
          <w:rFonts w:ascii="Times New Roman" w:cs="Times New Roman" w:eastAsia="Times New Roman" w:hAnsi="Times New Roman"/>
          <w:sz w:val="18"/>
          <w:szCs w:val="18"/>
          <w:color w:val="auto"/>
        </w:rPr>
      </w:pPr>
    </w:p>
    <w:p>
      <w:pPr>
        <w:jc w:val="both"/>
        <w:ind w:left="900" w:firstLine="514"/>
        <w:spacing w:after="0" w:line="261" w:lineRule="auto"/>
        <w:tabs>
          <w:tab w:leader="none" w:pos="176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jc w:val="both"/>
        <w:ind w:left="900" w:firstLine="514"/>
        <w:spacing w:after="0" w:line="261" w:lineRule="auto"/>
        <w:tabs>
          <w:tab w:leader="none" w:pos="173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left="900" w:firstLine="514"/>
        <w:spacing w:after="0" w:line="261" w:lineRule="auto"/>
        <w:tabs>
          <w:tab w:leader="none" w:pos="176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80" w:lineRule="exact"/>
        <w:rPr>
          <w:sz w:val="20"/>
          <w:szCs w:val="20"/>
          <w:color w:val="auto"/>
        </w:rPr>
      </w:pPr>
    </w:p>
    <w:p>
      <w:pPr>
        <w:ind w:left="900" w:firstLine="562"/>
        <w:spacing w:after="0" w:line="282" w:lineRule="auto"/>
        <w:tabs>
          <w:tab w:leader="none" w:pos="175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 the Holder.</w:t>
      </w:r>
    </w:p>
    <w:p>
      <w:pPr>
        <w:spacing w:after="0" w:line="162" w:lineRule="exact"/>
        <w:rPr>
          <w:sz w:val="20"/>
          <w:szCs w:val="20"/>
          <w:color w:val="auto"/>
        </w:rPr>
      </w:pPr>
    </w:p>
    <w:p>
      <w:pPr>
        <w:jc w:val="both"/>
        <w:ind w:left="900" w:firstLine="514"/>
        <w:spacing w:after="0" w:line="261" w:lineRule="auto"/>
        <w:tabs>
          <w:tab w:leader="none" w:pos="182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9" w:lineRule="exact"/>
        <w:rPr>
          <w:rFonts w:ascii="Times New Roman" w:cs="Times New Roman" w:eastAsia="Times New Roman" w:hAnsi="Times New Roman"/>
          <w:sz w:val="18"/>
          <w:szCs w:val="18"/>
          <w:color w:val="auto"/>
        </w:rPr>
      </w:pPr>
    </w:p>
    <w:p>
      <w:pPr>
        <w:ind w:left="900" w:firstLine="514"/>
        <w:spacing w:after="0" w:line="282" w:lineRule="auto"/>
        <w:tabs>
          <w:tab w:leader="none" w:pos="173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MACROBUTTON DocID \\4142-1432-0719 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490220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765"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MACROBUTTON DocID \\4142-1432-0719 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490220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765"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00" w:lineRule="exact"/>
        <w:rPr>
          <w:sz w:val="20"/>
          <w:szCs w:val="20"/>
          <w:color w:val="auto"/>
        </w:rPr>
      </w:pPr>
    </w:p>
    <w:p>
      <w:pPr>
        <w:spacing w:after="0" w:line="245" w:lineRule="exact"/>
        <w:rPr>
          <w:sz w:val="20"/>
          <w:szCs w:val="20"/>
          <w:color w:val="auto"/>
        </w:rPr>
      </w:pPr>
    </w:p>
    <w:p>
      <w:pPr>
        <w:ind w:right="220" w:firstLine="1018"/>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7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3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MACROBUTTON DocID \\4142-1432-0719 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EXERCISE</w:t>
      </w:r>
    </w:p>
    <w:p>
      <w:pPr>
        <w:sectPr>
          <w:pgSz w:w="11900" w:h="16838" w:orient="portrait"/>
          <w:cols w:equalWidth="0" w:num="1">
            <w:col w:w="11240"/>
          </w:cols>
          <w:pgMar w:left="320" w:top="765" w:right="339" w:bottom="1440" w:gutter="0" w:footer="0" w:header="0"/>
        </w:sectPr>
      </w:pP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PLUS THERAPEUTICS, INC.</w:t>
      </w:r>
    </w:p>
    <w:p>
      <w:pPr>
        <w:spacing w:after="0" w:line="200" w:lineRule="exact"/>
        <w:rPr>
          <w:sz w:val="20"/>
          <w:szCs w:val="20"/>
          <w:color w:val="auto"/>
        </w:rPr>
      </w:pPr>
    </w:p>
    <w:p>
      <w:pPr>
        <w:sectPr>
          <w:pgSz w:w="11900" w:h="16838" w:orient="portrait"/>
          <w:cols w:equalWidth="0" w:num="2">
            <w:col w:w="300" w:space="180"/>
            <w:col w:w="10760"/>
          </w:cols>
          <w:pgMar w:left="320" w:top="765" w:right="339" w:bottom="1440" w:gutter="0" w:footer="0" w:header="0"/>
          <w:type w:val="continuous"/>
        </w:sectPr>
      </w:pPr>
    </w:p>
    <w:p>
      <w:pPr>
        <w:spacing w:after="0" w:line="50" w:lineRule="exact"/>
        <w:rPr>
          <w:sz w:val="20"/>
          <w:szCs w:val="20"/>
          <w:color w:val="auto"/>
        </w:rPr>
      </w:pPr>
    </w:p>
    <w:p>
      <w:pPr>
        <w:ind w:left="1020"/>
        <w:spacing w:after="0"/>
        <w:tabs>
          <w:tab w:leader="none" w:pos="1400" w:val="left"/>
          <w:tab w:leader="none" w:pos="5260" w:val="left"/>
        </w:tabs>
        <w:rPr>
          <w:sz w:val="20"/>
          <w:szCs w:val="20"/>
          <w:color w:val="auto"/>
        </w:rPr>
      </w:pPr>
      <w:r>
        <w:rPr>
          <w:rFonts w:ascii="Times New Roman" w:cs="Times New Roman" w:eastAsia="Times New Roman" w:hAnsi="Times New Roman"/>
          <w:sz w:val="18"/>
          <w:szCs w:val="18"/>
          <w:color w:val="auto"/>
        </w:rPr>
        <w:t>(1)</w:t>
        <w:tab/>
        <w:t>The undersigned hereby elects to purchase</w:t>
      </w:r>
      <w:r>
        <w:rPr>
          <w:sz w:val="20"/>
          <w:szCs w:val="20"/>
          <w:color w:val="auto"/>
        </w:rPr>
        <w:tab/>
      </w:r>
      <w:r>
        <w:rPr>
          <w:rFonts w:ascii="Times New Roman" w:cs="Times New Roman" w:eastAsia="Times New Roman" w:hAnsi="Times New Roman"/>
          <w:sz w:val="17"/>
          <w:szCs w:val="17"/>
          <w:color w:val="auto"/>
        </w:rPr>
        <w:t>Warrant Shares of the Company pursuant to the terms of the attached Warrant</w:t>
      </w:r>
    </w:p>
    <w:p>
      <w:pPr>
        <w:sectPr>
          <w:pgSz w:w="11900" w:h="16838" w:orient="portrait"/>
          <w:cols w:equalWidth="0" w:num="1">
            <w:col w:w="11240"/>
          </w:cols>
          <w:pgMar w:left="320" w:top="765" w:right="339"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if exercised in full), and tenders herewith payment of the exercise price in full, together with all applicable transfer taxes, if any.</w:t>
      </w:r>
    </w:p>
    <w:p>
      <w:pPr>
        <w:spacing w:after="0" w:line="207" w:lineRule="exact"/>
        <w:rPr>
          <w:sz w:val="20"/>
          <w:szCs w:val="20"/>
          <w:color w:val="auto"/>
        </w:rPr>
      </w:pPr>
    </w:p>
    <w:p>
      <w:pPr>
        <w:ind w:left="1420" w:hanging="394"/>
        <w:spacing w:after="0"/>
        <w:tabs>
          <w:tab w:leader="none" w:pos="14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rFonts w:ascii="Times New Roman" w:cs="Times New Roman" w:eastAsia="Times New Roman" w:hAnsi="Times New Roman"/>
          <w:sz w:val="18"/>
          <w:szCs w:val="18"/>
          <w:color w:val="auto"/>
        </w:rPr>
      </w:pPr>
    </w:p>
    <w:p>
      <w:pPr>
        <w:ind w:left="3300" w:hanging="245"/>
        <w:spacing w:after="0"/>
        <w:tabs>
          <w:tab w:leader="none" w:pos="3300" w:val="left"/>
        </w:tabs>
        <w:numPr>
          <w:ilvl w:val="1"/>
          <w:numId w:val="6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lawful money of the United States; or</w:t>
      </w:r>
    </w:p>
    <w:p>
      <w:pPr>
        <w:spacing w:after="0" w:line="225" w:lineRule="exact"/>
        <w:rPr>
          <w:rFonts w:ascii="MS PGothic" w:cs="MS PGothic" w:eastAsia="MS PGothic" w:hAnsi="MS PGothic"/>
          <w:sz w:val="18"/>
          <w:szCs w:val="18"/>
          <w:color w:val="auto"/>
        </w:rPr>
      </w:pPr>
    </w:p>
    <w:p>
      <w:pPr>
        <w:ind w:left="3060" w:right="300" w:hanging="5"/>
        <w:spacing w:after="0" w:line="266" w:lineRule="auto"/>
        <w:tabs>
          <w:tab w:leader="none" w:pos="3312" w:val="left"/>
        </w:tabs>
        <w:numPr>
          <w:ilvl w:val="1"/>
          <w:numId w:val="6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rFonts w:ascii="MS PGothic" w:cs="MS PGothic" w:eastAsia="MS PGothic" w:hAnsi="MS PGothic"/>
          <w:sz w:val="18"/>
          <w:szCs w:val="18"/>
          <w:color w:val="auto"/>
        </w:rPr>
      </w:pPr>
    </w:p>
    <w:p>
      <w:pPr>
        <w:ind w:left="1420" w:hanging="394"/>
        <w:spacing w:after="0"/>
        <w:tabs>
          <w:tab w:leader="none" w:pos="14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308610</wp:posOffset>
            </wp:positionV>
            <wp:extent cx="17830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308610</wp:posOffset>
            </wp:positionV>
            <wp:extent cx="17830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8">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746125</wp:posOffset>
            </wp:positionV>
            <wp:extent cx="17830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9">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1045845</wp:posOffset>
            </wp:positionV>
            <wp:extent cx="17830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80" w:firstLine="1026"/>
        <w:spacing w:after="0" w:line="282" w:lineRule="auto"/>
        <w:tabs>
          <w:tab w:leader="none" w:pos="127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(i) an “accredited investor” as defined in Regulation D promulgated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(ii) a “qualified institutional buyer” as defined in Rule 144A(a) under the Securities Act.</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of Investing Entity:</w:t>
      </w: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of Authorized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Signatory:</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3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MACROBUTTON DocID \\4142-1432-0719 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left="500" w:right="1600"/>
        <w:spacing w:after="0" w:line="534"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purchase shares.)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43180</wp:posOffset>
            </wp:positionV>
            <wp:extent cx="270891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2">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(Please Print)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43180</wp:posOffset>
            </wp:positionV>
            <wp:extent cx="270891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3">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(Please Print)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43180</wp:posOffset>
            </wp:positionV>
            <wp:extent cx="270891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4">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30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26035</wp:posOffset>
            </wp:positionV>
            <wp:extent cx="270891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5">
                      <a:extLst>
                        <a:ext uri="{28A0092B-C50C-407E-A947-70E740481C1C}"/>
                      </a:extLst>
                    </a:blip>
                    <a:srcRect/>
                    <a:stretch>
                      <a:fillRect/>
                    </a:stretch>
                  </pic:blipFill>
                  <pic:spPr bwMode="auto">
                    <a:xfrm>
                      <a:off x="0" y="0"/>
                      <a:ext cx="2708910" cy="8255"/>
                    </a:xfrm>
                    <a:prstGeom prst="rect">
                      <a:avLst/>
                    </a:prstGeom>
                    <a:noFill/>
                  </pic:spPr>
                </pic:pic>
              </a:graphicData>
            </a:graphic>
          </wp:anchor>
        </w:drawing>
        <w:drawing>
          <wp:anchor simplePos="0" relativeHeight="251657728" behindDoc="1" locked="0" layoutInCell="0" allowOverlap="1">
            <wp:simplePos x="0" y="0"/>
            <wp:positionH relativeFrom="column">
              <wp:posOffset>334010</wp:posOffset>
            </wp:positionH>
            <wp:positionV relativeFrom="paragraph">
              <wp:posOffset>-7620</wp:posOffset>
            </wp:positionV>
            <wp:extent cx="37147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6">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246" w:lineRule="exact"/>
        <w:rPr>
          <w:sz w:val="20"/>
          <w:szCs w:val="20"/>
          <w:color w:val="auto"/>
        </w:rPr>
      </w:pPr>
    </w:p>
    <w:p>
      <w:pPr>
        <w:spacing w:after="0"/>
        <w:tabs>
          <w:tab w:leader="none" w:pos="2740" w:val="left"/>
        </w:tabs>
        <w:rPr>
          <w:sz w:val="20"/>
          <w:szCs w:val="20"/>
          <w:color w:val="auto"/>
        </w:rPr>
      </w:pPr>
      <w:r>
        <w:rPr>
          <w:rFonts w:ascii="Times New Roman" w:cs="Times New Roman" w:eastAsia="Times New Roman" w:hAnsi="Times New Roman"/>
          <w:sz w:val="18"/>
          <w:szCs w:val="18"/>
          <w:color w:val="auto"/>
        </w:rPr>
        <w:t>Holder’s Signature:</w:t>
      </w:r>
      <w:r>
        <w:rPr>
          <w:sz w:val="20"/>
          <w:szCs w:val="20"/>
          <w:color w:val="auto"/>
        </w:rPr>
        <w:tab/>
      </w:r>
      <w:r>
        <w:rPr>
          <w:rFonts w:ascii="Times New Roman" w:cs="Times New Roman" w:eastAsia="Times New Roman" w:hAnsi="Times New Roman"/>
          <w:sz w:val="18"/>
          <w:szCs w:val="18"/>
          <w:color w:val="auto"/>
        </w:rPr>
        <w:t>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1012190</wp:posOffset>
            </wp:positionH>
            <wp:positionV relativeFrom="paragraph">
              <wp:posOffset>-7620</wp:posOffset>
            </wp:positionV>
            <wp:extent cx="80010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7">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16</w:t>
      </w:r>
    </w:p>
    <w:p>
      <w:pPr>
        <w:spacing w:after="0" w:line="3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MACROBUTTON DocID \\4142-1432-0719 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490220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65"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4.7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AND RESTATEMENT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A COMMON STOCK PURCHASE WARRANT</w:t>
      </w:r>
    </w:p>
    <w:p>
      <w:pPr>
        <w:spacing w:after="0" w:line="207" w:lineRule="exact"/>
        <w:rPr>
          <w:sz w:val="20"/>
          <w:szCs w:val="20"/>
          <w:color w:val="auto"/>
        </w:rPr>
      </w:pPr>
    </w:p>
    <w:p>
      <w:pPr>
        <w:jc w:val="both"/>
        <w:ind w:left="120" w:firstLine="360"/>
        <w:spacing w:after="0" w:line="261" w:lineRule="auto"/>
        <w:rPr>
          <w:sz w:val="20"/>
          <w:szCs w:val="20"/>
          <w:color w:val="auto"/>
        </w:rPr>
      </w:pPr>
      <w:r>
        <w:rPr>
          <w:rFonts w:ascii="Times New Roman" w:cs="Times New Roman" w:eastAsia="Times New Roman" w:hAnsi="Times New Roman"/>
          <w:sz w:val="18"/>
          <w:szCs w:val="18"/>
          <w:color w:val="auto"/>
        </w:rPr>
        <w:t>This Amendment and Restatement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August 9, 2024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is made and entered into by and between Plus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and amends the Series A Common Stock Purchase Warrant to purchase up to [•] shares of the Company’s common stock, par value $0.001 per share, at an exercise price of $[•] per share, originally issued by the Company to the Holder on May 9, 2024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WHEREAS, the Holder is the holder of the Warrant; and</w:t>
      </w:r>
    </w:p>
    <w:p>
      <w:pPr>
        <w:spacing w:after="0" w:line="225" w:lineRule="exact"/>
        <w:rPr>
          <w:sz w:val="20"/>
          <w:szCs w:val="20"/>
          <w:color w:val="auto"/>
        </w:rPr>
      </w:pPr>
    </w:p>
    <w:p>
      <w:pPr>
        <w:ind w:firstLine="702"/>
        <w:spacing w:after="0" w:line="282" w:lineRule="auto"/>
        <w:rPr>
          <w:sz w:val="20"/>
          <w:szCs w:val="20"/>
          <w:color w:val="auto"/>
        </w:rPr>
      </w:pPr>
      <w:r>
        <w:rPr>
          <w:rFonts w:ascii="Times New Roman" w:cs="Times New Roman" w:eastAsia="Times New Roman" w:hAnsi="Times New Roman"/>
          <w:sz w:val="18"/>
          <w:szCs w:val="18"/>
          <w:color w:val="auto"/>
        </w:rPr>
        <w:t>WHEREAS, the Holder and the Company have agreed to amend and restate the Warrant pursuant to the provisions of Section 2(a), Section 2(d) (ii) and deletion of Section 2(f) of the Warrant.</w:t>
      </w:r>
    </w:p>
    <w:p>
      <w:pPr>
        <w:spacing w:after="0" w:line="162" w:lineRule="exact"/>
        <w:rPr>
          <w:sz w:val="20"/>
          <w:szCs w:val="20"/>
          <w:color w:val="auto"/>
        </w:rPr>
      </w:pPr>
    </w:p>
    <w:p>
      <w:pPr>
        <w:ind w:firstLine="702"/>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other good and valuable consideration, the receipt and sufficiency of which are hereby acknowledged, the parties hereto agree as follows:</w:t>
      </w:r>
    </w:p>
    <w:p>
      <w:pPr>
        <w:spacing w:after="0" w:line="160" w:lineRule="exact"/>
        <w:rPr>
          <w:sz w:val="20"/>
          <w:szCs w:val="20"/>
          <w:color w:val="auto"/>
        </w:rPr>
      </w:pPr>
    </w:p>
    <w:p>
      <w:pPr>
        <w:ind w:firstLine="712"/>
        <w:spacing w:after="0" w:line="284" w:lineRule="auto"/>
        <w:tabs>
          <w:tab w:leader="none" w:pos="101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 and Restatement</w:t>
      </w:r>
      <w:r>
        <w:rPr>
          <w:rFonts w:ascii="Times New Roman" w:cs="Times New Roman" w:eastAsia="Times New Roman" w:hAnsi="Times New Roman"/>
          <w:sz w:val="18"/>
          <w:szCs w:val="18"/>
          <w:color w:val="auto"/>
        </w:rPr>
        <w:t>. The Warrant is hereby amended and restated in its entirety to delete the stricken text (indicated textually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same manner as the following example: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auto"/>
        </w:rPr>
        <w:t xml:space="preserve">)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158" w:lineRule="exact"/>
        <w:rPr>
          <w:rFonts w:ascii="Times New Roman" w:cs="Times New Roman" w:eastAsia="Times New Roman" w:hAnsi="Times New Roman"/>
          <w:sz w:val="18"/>
          <w:szCs w:val="18"/>
          <w:color w:val="auto"/>
        </w:rPr>
      </w:pPr>
    </w:p>
    <w:p>
      <w:pPr>
        <w:jc w:val="both"/>
        <w:ind w:firstLine="712"/>
        <w:spacing w:after="0" w:line="267" w:lineRule="auto"/>
        <w:tabs>
          <w:tab w:leader="none" w:pos="101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Replacement Warrant. </w:t>
      </w:r>
      <w:r>
        <w:rPr>
          <w:rFonts w:ascii="Times New Roman" w:cs="Times New Roman" w:eastAsia="Times New Roman" w:hAnsi="Times New Roman"/>
          <w:sz w:val="18"/>
          <w:szCs w:val="18"/>
          <w:color w:val="auto"/>
        </w:rPr>
        <w:t>As soon as reasonably practicable following delivery of the original Warrant to the principal office of the Company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4200 Marathon Blvd., Suite 200, Austin, TX 78756, the Company shall execute and deliver to the Holder a new Warrant in exchange for the original Warrant.</w:t>
      </w:r>
    </w:p>
    <w:p>
      <w:pPr>
        <w:spacing w:after="0" w:line="173" w:lineRule="exact"/>
        <w:rPr>
          <w:rFonts w:ascii="Times New Roman" w:cs="Times New Roman" w:eastAsia="Times New Roman" w:hAnsi="Times New Roman"/>
          <w:sz w:val="18"/>
          <w:szCs w:val="18"/>
          <w:color w:val="auto"/>
        </w:rPr>
      </w:pPr>
    </w:p>
    <w:p>
      <w:pPr>
        <w:ind w:left="1020" w:hanging="308"/>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1408"/>
        <w:spacing w:after="0" w:line="282" w:lineRule="auto"/>
        <w:rPr>
          <w:sz w:val="20"/>
          <w:szCs w:val="20"/>
          <w:color w:val="auto"/>
        </w:rPr>
      </w:pPr>
      <w:r>
        <w:rPr>
          <w:rFonts w:ascii="Times New Roman" w:cs="Times New Roman" w:eastAsia="Times New Roman" w:hAnsi="Times New Roman"/>
          <w:sz w:val="18"/>
          <w:szCs w:val="18"/>
          <w:u w:val="single" w:color="auto"/>
          <w:color w:val="auto"/>
        </w:rPr>
        <w:t>a.Governing Law</w:t>
      </w:r>
      <w:r>
        <w:rPr>
          <w:rFonts w:ascii="Times New Roman" w:cs="Times New Roman" w:eastAsia="Times New Roman" w:hAnsi="Times New Roman"/>
          <w:sz w:val="18"/>
          <w:szCs w:val="18"/>
          <w:color w:val="auto"/>
        </w:rPr>
        <w:t>. This Amendment shall be governed by, and construed in accordance with, the laws of the State of New York applicable to contracts executed in and to be performed in that state, without reference to conflict of laws principles thereof.</w:t>
      </w:r>
    </w:p>
    <w:p>
      <w:pPr>
        <w:spacing w:after="0" w:line="162" w:lineRule="exact"/>
        <w:rPr>
          <w:sz w:val="20"/>
          <w:szCs w:val="20"/>
          <w:color w:val="auto"/>
        </w:rPr>
      </w:pPr>
    </w:p>
    <w:p>
      <w:pPr>
        <w:jc w:val="both"/>
        <w:ind w:firstLine="1408"/>
        <w:spacing w:after="0" w:line="266" w:lineRule="auto"/>
        <w:rPr>
          <w:sz w:val="20"/>
          <w:szCs w:val="20"/>
          <w:color w:val="auto"/>
        </w:rPr>
      </w:pPr>
      <w:r>
        <w:rPr>
          <w:rFonts w:ascii="Times New Roman" w:cs="Times New Roman" w:eastAsia="Times New Roman" w:hAnsi="Times New Roman"/>
          <w:sz w:val="18"/>
          <w:szCs w:val="18"/>
          <w:u w:val="single" w:color="auto"/>
          <w:color w:val="auto"/>
        </w:rPr>
        <w:t>b.Counterparts</w:t>
      </w:r>
      <w:r>
        <w:rPr>
          <w:rFonts w:ascii="Times New Roman" w:cs="Times New Roman" w:eastAsia="Times New Roman" w:hAnsi="Times New Roman"/>
          <w:sz w:val="18"/>
          <w:szCs w:val="18"/>
          <w:color w:val="auto"/>
        </w:rPr>
        <w:t>. This Amendment may be executed and delivered (including by electronic transmission) in any number of counterparts, and by the different parties hereto in separate counterparts, each of which when executed (including by the affixing of signatures electronically) and delivered shall be deemed to be an original but all of which taken together shall constitute one and the same agreement.</w:t>
      </w:r>
    </w:p>
    <w:p>
      <w:pPr>
        <w:spacing w:after="0" w:line="176" w:lineRule="exact"/>
        <w:rPr>
          <w:sz w:val="20"/>
          <w:szCs w:val="20"/>
          <w:color w:val="auto"/>
        </w:rPr>
      </w:pPr>
    </w:p>
    <w:p>
      <w:pPr>
        <w:jc w:val="both"/>
        <w:ind w:firstLine="1413"/>
        <w:spacing w:after="0" w:line="266" w:lineRule="auto"/>
        <w:tabs>
          <w:tab w:leader="none" w:pos="176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Continuation of the Warrant</w:t>
      </w:r>
      <w:r>
        <w:rPr>
          <w:rFonts w:ascii="Times New Roman" w:cs="Times New Roman" w:eastAsia="Times New Roman" w:hAnsi="Times New Roman"/>
          <w:sz w:val="18"/>
          <w:szCs w:val="18"/>
          <w:color w:val="auto"/>
        </w:rPr>
        <w:t>. Except as expressly modified by this Amendment, the Warrant shall continue to be and remain in full force and effect in accordance with its terms. Any future reference to the Warrant shall be deemed to be a reference to the Warrant as modified by this Amendment.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0" w:lineRule="exact"/>
        <w:rPr>
          <w:sz w:val="20"/>
          <w:szCs w:val="20"/>
          <w:color w:val="auto"/>
        </w:rPr>
      </w:pPr>
    </w:p>
    <w:p>
      <w:pPr>
        <w:spacing w:after="0" w:line="3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MACROBUTTON DocID \\4148-5750-2290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4.7</w:t>
      </w:r>
    </w:p>
    <w:p>
      <w:pPr>
        <w:spacing w:after="0" w:line="200" w:lineRule="exact"/>
        <w:rPr>
          <w:sz w:val="20"/>
          <w:szCs w:val="20"/>
          <w:color w:val="auto"/>
        </w:rPr>
      </w:pPr>
    </w:p>
    <w:p>
      <w:pPr>
        <w:spacing w:after="0" w:line="2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WITNESS WHEREOF, the undersigned has executed this Amendment as of the date first written above.</w:t>
      </w:r>
    </w:p>
    <w:p>
      <w:pPr>
        <w:spacing w:after="0" w:line="200" w:lineRule="exact"/>
        <w:rPr>
          <w:sz w:val="20"/>
          <w:szCs w:val="20"/>
          <w:color w:val="auto"/>
        </w:rPr>
      </w:pP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229" w:lineRule="exact"/>
        <w:rPr>
          <w:sz w:val="20"/>
          <w:szCs w:val="20"/>
          <w:color w:val="auto"/>
        </w:rPr>
      </w:pPr>
    </w:p>
    <w:p>
      <w:pPr>
        <w:ind w:left="4500"/>
        <w:spacing w:after="0"/>
        <w:tabs>
          <w:tab w:leader="none" w:pos="10600" w:val="left"/>
        </w:tabs>
        <w:rPr>
          <w:sz w:val="20"/>
          <w:szCs w:val="20"/>
          <w:color w:val="auto"/>
        </w:rPr>
      </w:pPr>
      <w:r>
        <w:rPr>
          <w:rFonts w:ascii="Times New Roman" w:cs="Times New Roman" w:eastAsia="Times New Roman" w:hAnsi="Times New Roman"/>
          <w:sz w:val="18"/>
          <w:szCs w:val="18"/>
          <w:color w:val="auto"/>
        </w:rPr>
        <w:t>By:________________________________</w:t>
      </w:r>
      <w:r>
        <w:rPr>
          <w:sz w:val="20"/>
          <w:szCs w:val="20"/>
          <w:color w:val="auto"/>
        </w:rPr>
        <w:tab/>
      </w: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Sims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3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MACROBUTTON DocID \\4148-5750-2290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9" w:name="page70"/>
    <w:bookmarkEnd w:id="69"/>
    <w:p>
      <w:pPr>
        <w:ind w:left="10160"/>
        <w:spacing w:after="0"/>
        <w:rPr>
          <w:sz w:val="20"/>
          <w:szCs w:val="20"/>
          <w:color w:val="auto"/>
        </w:rPr>
      </w:pPr>
      <w:r>
        <w:rPr>
          <w:rFonts w:ascii="Times New Roman" w:cs="Times New Roman" w:eastAsia="Times New Roman" w:hAnsi="Times New Roman"/>
          <w:sz w:val="17"/>
          <w:szCs w:val="17"/>
          <w:b w:val="1"/>
          <w:bCs w:val="1"/>
          <w:color w:val="auto"/>
        </w:rPr>
        <w:t>EXHIBIT 4.7</w:t>
      </w:r>
    </w:p>
    <w:p>
      <w:pPr>
        <w:spacing w:after="0" w:line="200" w:lineRule="exact"/>
        <w:rPr>
          <w:sz w:val="20"/>
          <w:szCs w:val="20"/>
          <w:color w:val="auto"/>
        </w:rPr>
      </w:pP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 WITNESS WHEREOF, the undersigned has executed this Amendment as of the date first written above.</w:t>
      </w:r>
    </w:p>
    <w:p>
      <w:pPr>
        <w:spacing w:after="0" w:line="200" w:lineRule="exact"/>
        <w:rPr>
          <w:sz w:val="20"/>
          <w:szCs w:val="20"/>
          <w:color w:val="auto"/>
        </w:rPr>
      </w:pPr>
    </w:p>
    <w:p>
      <w:pPr>
        <w:spacing w:after="0" w:line="23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212529"/>
        </w:rPr>
        <w:t>H</w:t>
      </w:r>
      <w:r>
        <w:rPr>
          <w:rFonts w:ascii="Times New Roman" w:cs="Times New Roman" w:eastAsia="Times New Roman" w:hAnsi="Times New Roman"/>
          <w:sz w:val="12"/>
          <w:szCs w:val="12"/>
          <w:b w:val="1"/>
          <w:bCs w:val="1"/>
          <w:color w:val="212529"/>
        </w:rPr>
        <w:t>older</w:t>
      </w:r>
      <w:r>
        <w:rPr>
          <w:rFonts w:ascii="Times New Roman" w:cs="Times New Roman" w:eastAsia="Times New Roman" w:hAnsi="Times New Roman"/>
          <w:sz w:val="18"/>
          <w:szCs w:val="18"/>
          <w:b w:val="1"/>
          <w:bCs w:val="1"/>
          <w:color w:val="212529"/>
        </w:rPr>
        <w:t xml:space="preserve"> N</w:t>
      </w:r>
      <w:r>
        <w:rPr>
          <w:rFonts w:ascii="Times New Roman" w:cs="Times New Roman" w:eastAsia="Times New Roman" w:hAnsi="Times New Roman"/>
          <w:sz w:val="12"/>
          <w:szCs w:val="12"/>
          <w:b w:val="1"/>
          <w:bCs w:val="1"/>
          <w:color w:val="212529"/>
        </w:rPr>
        <w:t>ame</w:t>
      </w:r>
    </w:p>
    <w:p>
      <w:pPr>
        <w:sectPr>
          <w:pgSz w:w="11900" w:h="16838" w:orient="portrait"/>
          <w:cols w:equalWidth="0" w:num="1">
            <w:col w:w="11200"/>
          </w:cols>
          <w:pgMar w:left="360" w:top="765" w:right="339" w:bottom="1440" w:gutter="0" w:footer="0" w:header="0"/>
        </w:sectPr>
      </w:pPr>
    </w:p>
    <w:p>
      <w:pPr>
        <w:spacing w:after="0" w:line="22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By:________________________________</w:t>
      </w:r>
    </w:p>
    <w:p>
      <w:pPr>
        <w:spacing w:after="0" w:line="3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434" w:lineRule="exact"/>
        <w:rPr>
          <w:sz w:val="20"/>
          <w:szCs w:val="20"/>
          <w:color w:val="auto"/>
        </w:rPr>
      </w:pPr>
    </w:p>
    <w:p>
      <w:pPr>
        <w:sectPr>
          <w:pgSz w:w="11900" w:h="16838" w:orient="portrait"/>
          <w:cols w:equalWidth="0" w:num="2">
            <w:col w:w="9500" w:space="720"/>
            <w:col w:w="980"/>
          </w:cols>
          <w:pgMar w:left="360" w:top="76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MACROBUTTON DocID \\4148-5750-2290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497205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765" w:right="339" w:bottom="1440" w:gutter="0" w:footer="0" w:header="0"/>
          <w:type w:val="continuous"/>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4.7</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Form of Series A Common Stock Purchase Warrant, as Amended and Restated</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attached)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MACROBUTTON DocID \\4148-5750-2290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490220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765"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4.8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AND RESTATEMENT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B COMMON STOCK PURCHASE WARRANT</w:t>
      </w:r>
    </w:p>
    <w:p>
      <w:pPr>
        <w:spacing w:after="0" w:line="207" w:lineRule="exact"/>
        <w:rPr>
          <w:sz w:val="20"/>
          <w:szCs w:val="20"/>
          <w:color w:val="auto"/>
        </w:rPr>
      </w:pPr>
    </w:p>
    <w:p>
      <w:pPr>
        <w:jc w:val="both"/>
        <w:ind w:left="120" w:firstLine="360"/>
        <w:spacing w:after="0" w:line="261" w:lineRule="auto"/>
        <w:rPr>
          <w:sz w:val="20"/>
          <w:szCs w:val="20"/>
          <w:color w:val="auto"/>
        </w:rPr>
      </w:pPr>
      <w:r>
        <w:rPr>
          <w:rFonts w:ascii="Times New Roman" w:cs="Times New Roman" w:eastAsia="Times New Roman" w:hAnsi="Times New Roman"/>
          <w:sz w:val="18"/>
          <w:szCs w:val="18"/>
          <w:color w:val="auto"/>
        </w:rPr>
        <w:t>This Amendment and Restatement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August 9, 2024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is made and entered into by and between Plus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and amends the Series B Common Stock Purchase Warrant to purchase up to [•] shares of the Company’s common stock, par value $0.001 per share, at an exercise price of $[•] per share, originally issued by the Company to the Holder on May 9, 2024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WHEREAS, the Holder is the holder of the Warrant; and</w:t>
      </w:r>
    </w:p>
    <w:p>
      <w:pPr>
        <w:spacing w:after="0" w:line="225" w:lineRule="exact"/>
        <w:rPr>
          <w:sz w:val="20"/>
          <w:szCs w:val="20"/>
          <w:color w:val="auto"/>
        </w:rPr>
      </w:pPr>
    </w:p>
    <w:p>
      <w:pPr>
        <w:ind w:right="20" w:firstLine="702"/>
        <w:spacing w:after="0" w:line="282" w:lineRule="auto"/>
        <w:rPr>
          <w:sz w:val="20"/>
          <w:szCs w:val="20"/>
          <w:color w:val="auto"/>
        </w:rPr>
      </w:pPr>
      <w:r>
        <w:rPr>
          <w:rFonts w:ascii="Times New Roman" w:cs="Times New Roman" w:eastAsia="Times New Roman" w:hAnsi="Times New Roman"/>
          <w:sz w:val="18"/>
          <w:szCs w:val="18"/>
          <w:color w:val="auto"/>
        </w:rPr>
        <w:t>WHEREAS, the Holder and the Company have agreed to amend and restate the Warrant pursuant to the provisions of Section 2(a) and Section 2(d)(ii) of the Warrant.</w:t>
      </w:r>
    </w:p>
    <w:p>
      <w:pPr>
        <w:spacing w:after="0" w:line="162" w:lineRule="exact"/>
        <w:rPr>
          <w:sz w:val="20"/>
          <w:szCs w:val="20"/>
          <w:color w:val="auto"/>
        </w:rPr>
      </w:pPr>
    </w:p>
    <w:p>
      <w:pPr>
        <w:ind w:firstLine="702"/>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other good and valuable consideration, the receipt and sufficiency of which are hereby acknowledged, the parties hereto agree as follows:</w:t>
      </w:r>
    </w:p>
    <w:p>
      <w:pPr>
        <w:spacing w:after="0" w:line="160" w:lineRule="exact"/>
        <w:rPr>
          <w:sz w:val="20"/>
          <w:szCs w:val="20"/>
          <w:color w:val="auto"/>
        </w:rPr>
      </w:pPr>
    </w:p>
    <w:p>
      <w:pPr>
        <w:ind w:firstLine="712"/>
        <w:spacing w:after="0" w:line="284" w:lineRule="auto"/>
        <w:tabs>
          <w:tab w:leader="none" w:pos="101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 and Restatement</w:t>
      </w:r>
      <w:r>
        <w:rPr>
          <w:rFonts w:ascii="Times New Roman" w:cs="Times New Roman" w:eastAsia="Times New Roman" w:hAnsi="Times New Roman"/>
          <w:sz w:val="18"/>
          <w:szCs w:val="18"/>
          <w:color w:val="auto"/>
        </w:rPr>
        <w:t>. The Warrant is hereby amended and restated in its entirety to delete the stricken text (indicated textually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same manner as the following example: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auto"/>
        </w:rPr>
        <w:t xml:space="preserve">)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158" w:lineRule="exact"/>
        <w:rPr>
          <w:rFonts w:ascii="Times New Roman" w:cs="Times New Roman" w:eastAsia="Times New Roman" w:hAnsi="Times New Roman"/>
          <w:sz w:val="18"/>
          <w:szCs w:val="18"/>
          <w:color w:val="auto"/>
        </w:rPr>
      </w:pPr>
    </w:p>
    <w:p>
      <w:pPr>
        <w:jc w:val="both"/>
        <w:ind w:firstLine="712"/>
        <w:spacing w:after="0" w:line="267" w:lineRule="auto"/>
        <w:tabs>
          <w:tab w:leader="none" w:pos="101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Replacement Warrant. </w:t>
      </w:r>
      <w:r>
        <w:rPr>
          <w:rFonts w:ascii="Times New Roman" w:cs="Times New Roman" w:eastAsia="Times New Roman" w:hAnsi="Times New Roman"/>
          <w:sz w:val="18"/>
          <w:szCs w:val="18"/>
          <w:color w:val="auto"/>
        </w:rPr>
        <w:t>As soon as reasonably practicable following delivery of the original Warrant to the principal office of the Company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4200 Marathon Blvd., Suite 200, Austin, TX 78756, the Company shall execute and deliver to the Holder a new Warrant in exchange for the original Warrant.</w:t>
      </w:r>
    </w:p>
    <w:p>
      <w:pPr>
        <w:spacing w:after="0" w:line="173" w:lineRule="exact"/>
        <w:rPr>
          <w:rFonts w:ascii="Times New Roman" w:cs="Times New Roman" w:eastAsia="Times New Roman" w:hAnsi="Times New Roman"/>
          <w:sz w:val="18"/>
          <w:szCs w:val="18"/>
          <w:color w:val="auto"/>
        </w:rPr>
      </w:pPr>
    </w:p>
    <w:p>
      <w:pPr>
        <w:ind w:left="1020" w:hanging="308"/>
        <w:spacing w:after="0"/>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1408"/>
        <w:spacing w:after="0" w:line="282" w:lineRule="auto"/>
        <w:rPr>
          <w:sz w:val="20"/>
          <w:szCs w:val="20"/>
          <w:color w:val="auto"/>
        </w:rPr>
      </w:pPr>
      <w:r>
        <w:rPr>
          <w:rFonts w:ascii="Times New Roman" w:cs="Times New Roman" w:eastAsia="Times New Roman" w:hAnsi="Times New Roman"/>
          <w:sz w:val="18"/>
          <w:szCs w:val="18"/>
          <w:u w:val="single" w:color="auto"/>
          <w:color w:val="auto"/>
        </w:rPr>
        <w:t>a.Governing Law</w:t>
      </w:r>
      <w:r>
        <w:rPr>
          <w:rFonts w:ascii="Times New Roman" w:cs="Times New Roman" w:eastAsia="Times New Roman" w:hAnsi="Times New Roman"/>
          <w:sz w:val="18"/>
          <w:szCs w:val="18"/>
          <w:color w:val="auto"/>
        </w:rPr>
        <w:t>. This Amendment shall be governed by, and construed in accordance with, the laws of the State of New York applicable to contracts executed in and to be performed in that state, without reference to conflict of laws principles thereof.</w:t>
      </w:r>
    </w:p>
    <w:p>
      <w:pPr>
        <w:spacing w:after="0" w:line="162" w:lineRule="exact"/>
        <w:rPr>
          <w:sz w:val="20"/>
          <w:szCs w:val="20"/>
          <w:color w:val="auto"/>
        </w:rPr>
      </w:pPr>
    </w:p>
    <w:p>
      <w:pPr>
        <w:jc w:val="both"/>
        <w:ind w:firstLine="1408"/>
        <w:spacing w:after="0" w:line="266" w:lineRule="auto"/>
        <w:rPr>
          <w:sz w:val="20"/>
          <w:szCs w:val="20"/>
          <w:color w:val="auto"/>
        </w:rPr>
      </w:pPr>
      <w:r>
        <w:rPr>
          <w:rFonts w:ascii="Times New Roman" w:cs="Times New Roman" w:eastAsia="Times New Roman" w:hAnsi="Times New Roman"/>
          <w:sz w:val="18"/>
          <w:szCs w:val="18"/>
          <w:u w:val="single" w:color="auto"/>
          <w:color w:val="auto"/>
        </w:rPr>
        <w:t>b.Counterparts</w:t>
      </w:r>
      <w:r>
        <w:rPr>
          <w:rFonts w:ascii="Times New Roman" w:cs="Times New Roman" w:eastAsia="Times New Roman" w:hAnsi="Times New Roman"/>
          <w:sz w:val="18"/>
          <w:szCs w:val="18"/>
          <w:color w:val="auto"/>
        </w:rPr>
        <w:t>. This Amendment may be executed and delivered (including by electronic transmission) in any number of counterparts, and by the different parties hereto in separate counterparts, each of which when executed (including by the affixing of signatures electronically) and delivered shall be deemed to be an original but all of which taken together shall constitute one and the same agreement.</w:t>
      </w:r>
    </w:p>
    <w:p>
      <w:pPr>
        <w:spacing w:after="0" w:line="176" w:lineRule="exact"/>
        <w:rPr>
          <w:sz w:val="20"/>
          <w:szCs w:val="20"/>
          <w:color w:val="auto"/>
        </w:rPr>
      </w:pPr>
    </w:p>
    <w:p>
      <w:pPr>
        <w:jc w:val="both"/>
        <w:ind w:firstLine="1413"/>
        <w:spacing w:after="0" w:line="266" w:lineRule="auto"/>
        <w:tabs>
          <w:tab w:leader="none" w:pos="176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Continuation of the Warrant</w:t>
      </w:r>
      <w:r>
        <w:rPr>
          <w:rFonts w:ascii="Times New Roman" w:cs="Times New Roman" w:eastAsia="Times New Roman" w:hAnsi="Times New Roman"/>
          <w:sz w:val="18"/>
          <w:szCs w:val="18"/>
          <w:color w:val="auto"/>
        </w:rPr>
        <w:t>. Except as expressly modified by this Amendment, the Warrant shall continue to be and remain in full force and effect in accordance with its terms. Any future reference to the Warrant shall be deemed to be a reference to the Warrant as modified by this Amendment.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0" w:lineRule="exact"/>
        <w:rPr>
          <w:sz w:val="20"/>
          <w:szCs w:val="20"/>
          <w:color w:val="auto"/>
        </w:rPr>
      </w:pPr>
    </w:p>
    <w:p>
      <w:pPr>
        <w:spacing w:after="0" w:line="3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MACROBUTTON DocID \\4156-3030-8434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4.8</w:t>
      </w:r>
    </w:p>
    <w:p>
      <w:pPr>
        <w:spacing w:after="0" w:line="200" w:lineRule="exact"/>
        <w:rPr>
          <w:sz w:val="20"/>
          <w:szCs w:val="20"/>
          <w:color w:val="auto"/>
        </w:rPr>
      </w:pPr>
    </w:p>
    <w:p>
      <w:pPr>
        <w:spacing w:after="0" w:line="2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WITNESS WHEREOF, the undersigned has executed this Amendment as of the date first written above.</w:t>
      </w:r>
    </w:p>
    <w:p>
      <w:pPr>
        <w:spacing w:after="0" w:line="200" w:lineRule="exact"/>
        <w:rPr>
          <w:sz w:val="20"/>
          <w:szCs w:val="20"/>
          <w:color w:val="auto"/>
        </w:rPr>
      </w:pP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229" w:lineRule="exact"/>
        <w:rPr>
          <w:sz w:val="20"/>
          <w:szCs w:val="20"/>
          <w:color w:val="auto"/>
        </w:rPr>
      </w:pPr>
    </w:p>
    <w:p>
      <w:pPr>
        <w:ind w:left="4500"/>
        <w:spacing w:after="0"/>
        <w:tabs>
          <w:tab w:leader="none" w:pos="10600" w:val="left"/>
        </w:tabs>
        <w:rPr>
          <w:sz w:val="20"/>
          <w:szCs w:val="20"/>
          <w:color w:val="auto"/>
        </w:rPr>
      </w:pPr>
      <w:r>
        <w:rPr>
          <w:rFonts w:ascii="Times New Roman" w:cs="Times New Roman" w:eastAsia="Times New Roman" w:hAnsi="Times New Roman"/>
          <w:sz w:val="18"/>
          <w:szCs w:val="18"/>
          <w:color w:val="auto"/>
        </w:rPr>
        <w:t>By:________________________________</w:t>
      </w:r>
      <w:r>
        <w:rPr>
          <w:sz w:val="20"/>
          <w:szCs w:val="20"/>
          <w:color w:val="auto"/>
        </w:rPr>
        <w:tab/>
      </w: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Sims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3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MACROBUTTON DocID \\4156-3030-8434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3" w:name="page74"/>
    <w:bookmarkEnd w:id="73"/>
    <w:p>
      <w:pPr>
        <w:ind w:left="10160"/>
        <w:spacing w:after="0"/>
        <w:rPr>
          <w:sz w:val="20"/>
          <w:szCs w:val="20"/>
          <w:color w:val="auto"/>
        </w:rPr>
      </w:pPr>
      <w:r>
        <w:rPr>
          <w:rFonts w:ascii="Times New Roman" w:cs="Times New Roman" w:eastAsia="Times New Roman" w:hAnsi="Times New Roman"/>
          <w:sz w:val="17"/>
          <w:szCs w:val="17"/>
          <w:b w:val="1"/>
          <w:bCs w:val="1"/>
          <w:color w:val="auto"/>
        </w:rPr>
        <w:t>EXHIBIT 4.8</w:t>
      </w:r>
    </w:p>
    <w:p>
      <w:pPr>
        <w:spacing w:after="0" w:line="200" w:lineRule="exact"/>
        <w:rPr>
          <w:sz w:val="20"/>
          <w:szCs w:val="20"/>
          <w:color w:val="auto"/>
        </w:rPr>
      </w:pP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 WITNESS WHEREOF, the undersigned has executed this Amendment as of the date first written above.</w:t>
      </w:r>
    </w:p>
    <w:p>
      <w:pPr>
        <w:spacing w:after="0" w:line="200" w:lineRule="exact"/>
        <w:rPr>
          <w:sz w:val="20"/>
          <w:szCs w:val="20"/>
          <w:color w:val="auto"/>
        </w:rPr>
      </w:pPr>
    </w:p>
    <w:p>
      <w:pPr>
        <w:spacing w:after="0" w:line="23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212529"/>
        </w:rPr>
        <w:t>H</w:t>
      </w:r>
      <w:r>
        <w:rPr>
          <w:rFonts w:ascii="Times New Roman" w:cs="Times New Roman" w:eastAsia="Times New Roman" w:hAnsi="Times New Roman"/>
          <w:sz w:val="12"/>
          <w:szCs w:val="12"/>
          <w:b w:val="1"/>
          <w:bCs w:val="1"/>
          <w:color w:val="212529"/>
        </w:rPr>
        <w:t>older</w:t>
      </w:r>
      <w:r>
        <w:rPr>
          <w:rFonts w:ascii="Times New Roman" w:cs="Times New Roman" w:eastAsia="Times New Roman" w:hAnsi="Times New Roman"/>
          <w:sz w:val="18"/>
          <w:szCs w:val="18"/>
          <w:b w:val="1"/>
          <w:bCs w:val="1"/>
          <w:color w:val="212529"/>
        </w:rPr>
        <w:t xml:space="preserve"> N</w:t>
      </w:r>
      <w:r>
        <w:rPr>
          <w:rFonts w:ascii="Times New Roman" w:cs="Times New Roman" w:eastAsia="Times New Roman" w:hAnsi="Times New Roman"/>
          <w:sz w:val="12"/>
          <w:szCs w:val="12"/>
          <w:b w:val="1"/>
          <w:bCs w:val="1"/>
          <w:color w:val="212529"/>
        </w:rPr>
        <w:t>ame</w:t>
      </w:r>
    </w:p>
    <w:p>
      <w:pPr>
        <w:sectPr>
          <w:pgSz w:w="11900" w:h="16838" w:orient="portrait"/>
          <w:cols w:equalWidth="0" w:num="1">
            <w:col w:w="11200"/>
          </w:cols>
          <w:pgMar w:left="360" w:top="765" w:right="339" w:bottom="1440" w:gutter="0" w:footer="0" w:header="0"/>
        </w:sectPr>
      </w:pPr>
    </w:p>
    <w:p>
      <w:pPr>
        <w:spacing w:after="0" w:line="22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By:________________________________</w:t>
      </w:r>
    </w:p>
    <w:p>
      <w:pPr>
        <w:spacing w:after="0" w:line="3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434" w:lineRule="exact"/>
        <w:rPr>
          <w:sz w:val="20"/>
          <w:szCs w:val="20"/>
          <w:color w:val="auto"/>
        </w:rPr>
      </w:pPr>
    </w:p>
    <w:p>
      <w:pPr>
        <w:sectPr>
          <w:pgSz w:w="11900" w:h="16838" w:orient="portrait"/>
          <w:cols w:equalWidth="0" w:num="2">
            <w:col w:w="9500" w:space="720"/>
            <w:col w:w="980"/>
          </w:cols>
          <w:pgMar w:left="360" w:top="76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MACROBUTTON DocID \\4156-3030-8434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497205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765" w:right="339" w:bottom="1440" w:gutter="0" w:footer="0" w:header="0"/>
          <w:type w:val="continuous"/>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4.8</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of Series B Common Stock Purchase Warrant, as Amended and Restated</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attached)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MACROBUTTON DocID \\4156-3030-8434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490220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765"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Rule 13a-14(a),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Marc H. Hedrick, certify that:</w:t>
      </w:r>
    </w:p>
    <w:p>
      <w:pPr>
        <w:spacing w:after="0" w:line="144" w:lineRule="exact"/>
        <w:rPr>
          <w:sz w:val="20"/>
          <w:szCs w:val="20"/>
          <w:color w:val="auto"/>
        </w:rPr>
      </w:pPr>
    </w:p>
    <w:p>
      <w:pPr>
        <w:ind w:left="440" w:hanging="432"/>
        <w:spacing w:after="0"/>
        <w:tabs>
          <w:tab w:leader="none" w:pos="4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Plus Therapeutics, Inc.;</w:t>
      </w:r>
    </w:p>
    <w:p>
      <w:pPr>
        <w:spacing w:after="0" w:line="252"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44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520" w:right="380" w:hanging="512"/>
        <w:spacing w:after="0" w:line="282" w:lineRule="auto"/>
        <w:tabs>
          <w:tab w:leader="none" w:pos="44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44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Times New Roman" w:cs="Times New Roman" w:eastAsia="Times New Roman" w:hAnsi="Times New Roman"/>
          <w:sz w:val="18"/>
          <w:szCs w:val="18"/>
          <w:color w:val="auto"/>
        </w:rPr>
      </w:pPr>
    </w:p>
    <w:p>
      <w:pPr>
        <w:jc w:val="both"/>
        <w:ind w:left="1020" w:right="80" w:hanging="479"/>
        <w:spacing w:after="0" w:line="266" w:lineRule="auto"/>
        <w:tabs>
          <w:tab w:leader="none" w:pos="967"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967"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967"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0"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967"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44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1020" w:hanging="479"/>
        <w:spacing w:after="0" w:line="282" w:lineRule="auto"/>
        <w:tabs>
          <w:tab w:leader="none" w:pos="967"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1020" w:right="520" w:hanging="479"/>
        <w:spacing w:after="0" w:line="282" w:lineRule="auto"/>
        <w:tabs>
          <w:tab w:leader="none" w:pos="967"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14, 2024</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Marc H. Hedrick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 H. Hedrick,</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President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906145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Rule 13a-14(a),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Sims, certify that:</w:t>
      </w:r>
    </w:p>
    <w:p>
      <w:pPr>
        <w:spacing w:after="0" w:line="117" w:lineRule="exact"/>
        <w:rPr>
          <w:sz w:val="20"/>
          <w:szCs w:val="20"/>
          <w:color w:val="auto"/>
        </w:rPr>
      </w:pPr>
    </w:p>
    <w:p>
      <w:pPr>
        <w:ind w:left="360" w:hanging="352"/>
        <w:spacing w:after="0"/>
        <w:tabs>
          <w:tab w:leader="none" w:pos="3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Plus Therapeutics, Inc.;</w:t>
      </w:r>
    </w:p>
    <w:p>
      <w:pPr>
        <w:spacing w:after="0" w:line="225"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460" w:hanging="512"/>
        <w:spacing w:after="0" w:line="282" w:lineRule="auto"/>
        <w:tabs>
          <w:tab w:leader="none" w:pos="37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60" w:hanging="479"/>
        <w:spacing w:after="0" w:line="266" w:lineRule="auto"/>
        <w:tabs>
          <w:tab w:leader="none" w:pos="89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300" w:hanging="512"/>
        <w:spacing w:after="0" w:line="282" w:lineRule="auto"/>
        <w:tabs>
          <w:tab w:leader="none" w:pos="37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80" w:hanging="479"/>
        <w:spacing w:after="0" w:line="282" w:lineRule="auto"/>
        <w:tabs>
          <w:tab w:leader="none" w:pos="89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14, 2024</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Andrew Sims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Andrew Sims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906145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7" w:name="page78"/>
    <w:bookmarkEnd w:id="77"/>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SECURITIES EXCHANGE ACT RULE 13a-14(b), AS ADOPTED PURSUANT TO SECTION 906 OF THE SARBANES-OXLEY ACT OF 2002</w:t>
      </w:r>
    </w:p>
    <w:p>
      <w:pPr>
        <w:spacing w:after="0" w:line="15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Plus Therapeutics, Inc. for the quarterly period ended June 30, 2024 as filed with the Securities and Exchange Commission on the date hereof, Marc H. Hedrick, as President &amp; Chief Executive Officer of Plus Therapeutics, Inc., and Andrew Sims, as VP of Finance and Chief Financial Officer of Plus Therapeutics, Inc., each hereby certifies, respectively, that:</w:t>
      </w:r>
    </w:p>
    <w:p>
      <w:pPr>
        <w:spacing w:after="0" w:line="95" w:lineRule="exact"/>
        <w:rPr>
          <w:sz w:val="20"/>
          <w:szCs w:val="20"/>
          <w:color w:val="auto"/>
        </w:rPr>
      </w:pPr>
    </w:p>
    <w:p>
      <w:pPr>
        <w:ind w:left="520" w:right="440" w:hanging="512"/>
        <w:spacing w:after="0" w:line="282" w:lineRule="auto"/>
        <w:tabs>
          <w:tab w:leader="none" w:pos="44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report of Plus Therapeutics, Inc. that this certification accompanies fully complies with the requirements of Section 13(a) of the Securities Exchange Act of 1934.</w:t>
      </w:r>
    </w:p>
    <w:p>
      <w:pPr>
        <w:spacing w:after="0" w:line="80" w:lineRule="exact"/>
        <w:rPr>
          <w:rFonts w:ascii="Times New Roman" w:cs="Times New Roman" w:eastAsia="Times New Roman" w:hAnsi="Times New Roman"/>
          <w:sz w:val="18"/>
          <w:szCs w:val="18"/>
          <w:color w:val="auto"/>
        </w:rPr>
      </w:pPr>
    </w:p>
    <w:p>
      <w:pPr>
        <w:ind w:left="520" w:right="560" w:hanging="512"/>
        <w:spacing w:after="0" w:line="282" w:lineRule="auto"/>
        <w:tabs>
          <w:tab w:leader="none" w:pos="44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report of Plus Therapeutics, Inc. that this certification accompanies fairly presents, in all material respects, the financial condition and results of operations of Plus Therapeutics, Inc.</w:t>
      </w:r>
    </w:p>
    <w:p>
      <w:pPr>
        <w:spacing w:after="0" w:line="20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16" w:lineRule="exact"/>
        <w:rPr>
          <w:sz w:val="20"/>
          <w:szCs w:val="20"/>
          <w:color w:val="auto"/>
        </w:rPr>
      </w:pPr>
    </w:p>
    <w:p>
      <w:pPr>
        <w:ind w:left="6740"/>
        <w:spacing w:after="0"/>
        <w:tabs>
          <w:tab w:leader="none" w:pos="71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/s/ Marc H. Hedrick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13335</wp:posOffset>
            </wp:positionV>
            <wp:extent cx="262318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1">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10" w:lineRule="exact"/>
        <w:rPr>
          <w:sz w:val="20"/>
          <w:szCs w:val="20"/>
          <w:color w:val="auto"/>
        </w:rPr>
      </w:pPr>
    </w:p>
    <w:p>
      <w:pPr>
        <w:ind w:left="20"/>
        <w:spacing w:after="0"/>
        <w:tabs>
          <w:tab w:leader="none" w:pos="7100" w:val="left"/>
        </w:tabs>
        <w:rPr>
          <w:sz w:val="20"/>
          <w:szCs w:val="20"/>
          <w:color w:val="auto"/>
        </w:rPr>
      </w:pPr>
      <w:r>
        <w:rPr>
          <w:rFonts w:ascii="Times New Roman" w:cs="Times New Roman" w:eastAsia="Times New Roman" w:hAnsi="Times New Roman"/>
          <w:sz w:val="18"/>
          <w:szCs w:val="18"/>
          <w:color w:val="auto"/>
        </w:rPr>
        <w:t>Dated: August 14, 2024</w:t>
      </w:r>
      <w:r>
        <w:rPr>
          <w:sz w:val="20"/>
          <w:szCs w:val="20"/>
          <w:color w:val="auto"/>
        </w:rPr>
        <w:tab/>
      </w:r>
      <w:r>
        <w:rPr>
          <w:rFonts w:ascii="Times New Roman" w:cs="Times New Roman" w:eastAsia="Times New Roman" w:hAnsi="Times New Roman"/>
          <w:sz w:val="17"/>
          <w:szCs w:val="17"/>
          <w:color w:val="auto"/>
        </w:rPr>
        <w:t>Marc H. Hedrick</w:t>
      </w:r>
    </w:p>
    <w:p>
      <w:pPr>
        <w:spacing w:after="0" w:line="34"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President &amp; Chief Executive Officer</w:t>
      </w:r>
    </w:p>
    <w:p>
      <w:pPr>
        <w:spacing w:after="0" w:line="30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16" w:lineRule="exact"/>
        <w:rPr>
          <w:sz w:val="20"/>
          <w:szCs w:val="20"/>
          <w:color w:val="auto"/>
        </w:rPr>
      </w:pPr>
    </w:p>
    <w:p>
      <w:pPr>
        <w:ind w:left="6740"/>
        <w:spacing w:after="0"/>
        <w:tabs>
          <w:tab w:leader="none" w:pos="71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/s/ Andrew Sims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13335</wp:posOffset>
            </wp:positionV>
            <wp:extent cx="262318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2">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10" w:lineRule="exact"/>
        <w:rPr>
          <w:sz w:val="20"/>
          <w:szCs w:val="20"/>
          <w:color w:val="auto"/>
        </w:rPr>
      </w:pPr>
    </w:p>
    <w:p>
      <w:pPr>
        <w:ind w:left="20"/>
        <w:spacing w:after="0"/>
        <w:tabs>
          <w:tab w:leader="none" w:pos="7100" w:val="left"/>
        </w:tabs>
        <w:rPr>
          <w:sz w:val="20"/>
          <w:szCs w:val="20"/>
          <w:color w:val="auto"/>
        </w:rPr>
      </w:pPr>
      <w:r>
        <w:rPr>
          <w:rFonts w:ascii="Times New Roman" w:cs="Times New Roman" w:eastAsia="Times New Roman" w:hAnsi="Times New Roman"/>
          <w:sz w:val="18"/>
          <w:szCs w:val="18"/>
          <w:color w:val="auto"/>
        </w:rPr>
        <w:t>Dated: August 14, 2024</w:t>
      </w:r>
      <w:r>
        <w:rPr>
          <w:sz w:val="20"/>
          <w:szCs w:val="20"/>
          <w:color w:val="auto"/>
        </w:rPr>
        <w:tab/>
      </w:r>
      <w:r>
        <w:rPr>
          <w:rFonts w:ascii="Times New Roman" w:cs="Times New Roman" w:eastAsia="Times New Roman" w:hAnsi="Times New Roman"/>
          <w:sz w:val="17"/>
          <w:szCs w:val="17"/>
          <w:color w:val="auto"/>
        </w:rPr>
        <w:t>Andrew Sims</w:t>
      </w:r>
    </w:p>
    <w:p>
      <w:pPr>
        <w:spacing w:after="0" w:line="34"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Chief Financial Officer &amp; VP of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906145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8" w:name="page79"/>
    <w:bookmarkEnd w:id="7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1."/>
      <w:numFmt w:val="decimal"/>
      <w:start w:val="1"/>
    </w:lvl>
  </w:abstractNum>
  <w:abstractNum w:abstractNumId="2">
    <w:nsid w:val="51EAD36B"/>
    <w:multiLevelType w:val="hybridMultilevel"/>
    <w:lvl w:ilvl="0">
      <w:lvlJc w:val="left"/>
      <w:lvlText w:val="%1."/>
      <w:numFmt w:val="decimal"/>
      <w:start w:val="2"/>
    </w:lvl>
  </w:abstractNum>
  <w:abstractNum w:abstractNumId="3">
    <w:nsid w:val="2D517796"/>
    <w:multiLevelType w:val="hybridMultilevel"/>
    <w:lvl w:ilvl="0">
      <w:lvlJc w:val="left"/>
      <w:lvlText w:val="%1."/>
      <w:numFmt w:val="decimal"/>
      <w:start w:val="3"/>
    </w:lvl>
  </w:abstractNum>
  <w:abstractNum w:abstractNumId="4">
    <w:nsid w:val="580BD78F"/>
    <w:multiLevelType w:val="hybridMultilevel"/>
    <w:lvl w:ilvl="0">
      <w:lvlJc w:val="left"/>
      <w:lvlText w:val="%1."/>
      <w:numFmt w:val="decimal"/>
      <w:start w:val="4"/>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1."/>
      <w:numFmt w:val="decimal"/>
      <w:start w:val="5"/>
    </w:lvl>
  </w:abstractNum>
  <w:abstractNum w:abstractNumId="7">
    <w:nsid w:val="70A64E2A"/>
    <w:multiLevelType w:val="hybridMultilevel"/>
    <w:lvl w:ilvl="0">
      <w:lvlJc w:val="left"/>
      <w:lvlText w:val="%1."/>
      <w:numFmt w:val="decimal"/>
      <w:start w:val="6"/>
    </w:lvl>
  </w:abstractNum>
  <w:abstractNum w:abstractNumId="8">
    <w:nsid w:val="6A2342EC"/>
    <w:multiLevelType w:val="hybridMultilevel"/>
    <w:lvl w:ilvl="0">
      <w:lvlJc w:val="left"/>
      <w:lvlText w:val="%1."/>
      <w:numFmt w:val="decimal"/>
      <w:start w:val="7"/>
    </w:lvl>
  </w:abstractNum>
  <w:abstractNum w:abstractNumId="9">
    <w:nsid w:val="2A487CB0"/>
    <w:multiLevelType w:val="hybridMultilevel"/>
    <w:lvl w:ilvl="0">
      <w:lvlJc w:val="left"/>
      <w:lvlText w:val="%1."/>
      <w:numFmt w:val="decimal"/>
      <w:start w:val="8"/>
    </w:lvl>
  </w:abstractNum>
  <w:abstractNum w:abstractNumId="10">
    <w:nsid w:val="1D4ED43B"/>
    <w:multiLevelType w:val="hybridMultilevel"/>
    <w:lvl w:ilvl="0">
      <w:lvlJc w:val="left"/>
      <w:lvlText w:val="%1."/>
      <w:numFmt w:val="decimal"/>
      <w:start w:val="9"/>
    </w:lvl>
  </w:abstractNum>
  <w:abstractNum w:abstractNumId="11">
    <w:nsid w:val="725A06FB"/>
    <w:multiLevelType w:val="hybridMultilevel"/>
    <w:lvl w:ilvl="0">
      <w:lvlJc w:val="left"/>
      <w:lvlText w:val="%1."/>
      <w:numFmt w:val="decimal"/>
      <w:start w:val="10"/>
    </w:lvl>
  </w:abstractNum>
  <w:abstractNum w:abstractNumId="12">
    <w:nsid w:val="2CD89A32"/>
    <w:multiLevelType w:val="hybridMultilevel"/>
    <w:lvl w:ilvl="0">
      <w:lvlJc w:val="left"/>
      <w:lvlText w:val="%1."/>
      <w:numFmt w:val="decimal"/>
      <w:start w:val="11"/>
    </w:lvl>
  </w:abstractNum>
  <w:abstractNum w:abstractNumId="13">
    <w:nsid w:val="57E4CCAF"/>
    <w:multiLevelType w:val="hybridMultilevel"/>
    <w:lvl w:ilvl="0">
      <w:lvlJc w:val="left"/>
      <w:lvlText w:val="%1."/>
      <w:numFmt w:val="decimal"/>
      <w:start w:val="12"/>
    </w:lvl>
  </w:abstractNum>
  <w:abstractNum w:abstractNumId="14">
    <w:nsid w:val="7A6D8D3C"/>
    <w:multiLevelType w:val="hybridMultilevel"/>
    <w:lvl w:ilvl="0">
      <w:lvlJc w:val="left"/>
      <w:lvlText w:val=" "/>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1)"/>
      <w:numFmt w:val="decimal"/>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1"/>
      <w:numFmt w:val="lowerRoman"/>
      <w:start w:val="1"/>
    </w:lvl>
    <w:lvl w:ilvl="1">
      <w:lvlJc w:val="left"/>
      <w:lvlText w:val="%2)"/>
      <w:numFmt w:val="lowerLetter"/>
      <w:start w:val="1"/>
    </w:lvl>
  </w:abstractNum>
  <w:abstractNum w:abstractNumId="22">
    <w:nsid w:val="579478FE"/>
    <w:multiLevelType w:val="hybridMultilevel"/>
    <w:lvl w:ilvl="0">
      <w:lvlJc w:val="left"/>
      <w:lvlText w:val="(%1)"/>
      <w:numFmt w:val="lowerRoman"/>
      <w:start w:val="1"/>
    </w:lvl>
    <w:lvl w:ilvl="1">
      <w:lvlJc w:val="left"/>
      <w:lvlText w:val="%2"/>
      <w:numFmt w:val="lowerLetter"/>
      <w:start w:val="1"/>
    </w:lvl>
  </w:abstractNum>
  <w:abstractNum w:abstractNumId="23">
    <w:nsid w:val="749ABB43"/>
    <w:multiLevelType w:val="hybridMultilevel"/>
    <w:lvl w:ilvl="0">
      <w:lvlJc w:val="left"/>
      <w:lvlText w:val="%1)"/>
      <w:numFmt w:val="lowerLetter"/>
      <w:start w:val="2"/>
    </w:lvl>
    <w:lvl w:ilvl="1">
      <w:lvlJc w:val="left"/>
      <w:lvlText w:val="(%2)"/>
      <w:numFmt w:val="upperLetter"/>
      <w:start w:val="1"/>
    </w:lvl>
  </w:abstractNum>
  <w:abstractNum w:abstractNumId="24">
    <w:nsid w:val="3DC240FB"/>
    <w:multiLevelType w:val="hybridMultilevel"/>
    <w:lvl w:ilvl="0">
      <w:lvlJc w:val="left"/>
      <w:lvlText w:val="(%1)"/>
      <w:numFmt w:val="upperLetter"/>
      <w:start w:val="24"/>
    </w:lvl>
  </w:abstractNum>
  <w:abstractNum w:abstractNumId="25">
    <w:nsid w:val="1BA026FA"/>
    <w:multiLevelType w:val="hybridMultilevel"/>
    <w:lvl w:ilvl="0">
      <w:lvlJc w:val="left"/>
      <w:lvlText w:val="%1)"/>
      <w:numFmt w:val="lowerLetter"/>
      <w:start w:val="4"/>
    </w:lvl>
  </w:abstractNum>
  <w:abstractNum w:abstractNumId="26">
    <w:nsid w:val="79A1DEAA"/>
    <w:multiLevelType w:val="hybridMultilevel"/>
    <w:lvl w:ilvl="0">
      <w:lvlJc w:val="left"/>
      <w:lvlText w:val="%1."/>
      <w:numFmt w:val="lowerRoman"/>
      <w:start w:val="1"/>
    </w:lvl>
  </w:abstractNum>
  <w:abstractNum w:abstractNumId="27">
    <w:nsid w:val="75C6C33A"/>
    <w:multiLevelType w:val="hybridMultilevel"/>
    <w:lvl w:ilvl="0">
      <w:lvlJc w:val="left"/>
      <w:lvlText w:val="%1."/>
      <w:numFmt w:val="lowerRoman"/>
      <w:start w:val="2"/>
    </w:lvl>
    <w:lvl w:ilvl="1">
      <w:lvlJc w:val="left"/>
      <w:lvlText w:val="%2."/>
      <w:numFmt w:val="lowerRoman"/>
      <w:start w:val="3"/>
    </w:lvl>
  </w:abstractNum>
  <w:abstractNum w:abstractNumId="28">
    <w:nsid w:val="12E685FB"/>
    <w:multiLevelType w:val="hybridMultilevel"/>
    <w:lvl w:ilvl="0">
      <w:lvlJc w:val="left"/>
      <w:lvlText w:val="%1."/>
      <w:numFmt w:val="lowerRoman"/>
      <w:start w:val="4"/>
    </w:lvl>
  </w:abstractNum>
  <w:abstractNum w:abstractNumId="29">
    <w:nsid w:val="70C6A529"/>
    <w:multiLevelType w:val="hybridMultilevel"/>
    <w:lvl w:ilvl="0">
      <w:lvlJc w:val="left"/>
      <w:lvlText w:val="%1"/>
      <w:numFmt w:val="lowerLetter"/>
      <w:start w:val="1"/>
    </w:lvl>
    <w:lvl w:ilvl="1">
      <w:lvlJc w:val="left"/>
      <w:lvlText w:val="%2."/>
      <w:numFmt w:val="lowerRoman"/>
      <w:start w:val="5"/>
    </w:lvl>
  </w:abstractNum>
  <w:abstractNum w:abstractNumId="30">
    <w:nsid w:val="520EEDD1"/>
    <w:multiLevelType w:val="hybridMultilevel"/>
    <w:lvl w:ilvl="0">
      <w:lvlJc w:val="left"/>
      <w:lvlText w:val="%1)"/>
      <w:numFmt w:val="lowerLetter"/>
      <w:start w:val="5"/>
    </w:lvl>
    <w:lvl w:ilvl="1">
      <w:lvlJc w:val="left"/>
      <w:lvlText w:val="%2"/>
      <w:numFmt w:val="lowerRoman"/>
      <w:start w:val="1"/>
    </w:lvl>
  </w:abstractNum>
  <w:abstractNum w:abstractNumId="31">
    <w:nsid w:val="374A3FE6"/>
    <w:multiLevelType w:val="hybridMultilevel"/>
    <w:lvl w:ilvl="0">
      <w:lvlJc w:val="left"/>
      <w:lvlText w:val="%1"/>
      <w:numFmt w:val="lowerRoman"/>
      <w:start w:val="1"/>
    </w:lvl>
    <w:lvl w:ilvl="1">
      <w:lvlJc w:val="left"/>
      <w:lvlText w:val="%2)"/>
      <w:numFmt w:val="lowerLetter"/>
      <w:start w:val="1"/>
    </w:lvl>
  </w:abstractNum>
  <w:abstractNum w:abstractNumId="32">
    <w:nsid w:val="4F4EF005"/>
    <w:multiLevelType w:val="hybridMultilevel"/>
    <w:lvl w:ilvl="0">
      <w:lvlJc w:val="left"/>
      <w:lvlText w:val="(%1)"/>
      <w:numFmt w:val="lowerRoman"/>
      <w:start w:val="2"/>
    </w:lvl>
    <w:lvl w:ilvl="1">
      <w:lvlJc w:val="left"/>
      <w:lvlText w:val="%2)"/>
      <w:numFmt w:val="lowerLetter"/>
      <w:start w:val="2"/>
    </w:lvl>
  </w:abstractNum>
  <w:abstractNum w:abstractNumId="33">
    <w:nsid w:val="23F9C13C"/>
    <w:multiLevelType w:val="hybridMultilevel"/>
    <w:lvl w:ilvl="0">
      <w:lvlJc w:val="left"/>
      <w:lvlText w:val="%1)"/>
      <w:numFmt w:val="lowerLetter"/>
      <w:start w:val="3"/>
    </w:lvl>
  </w:abstractNum>
  <w:abstractNum w:abstractNumId="34">
    <w:nsid w:val="649BB77C"/>
    <w:multiLevelType w:val="hybridMultilevel"/>
    <w:lvl w:ilvl="0">
      <w:lvlJc w:val="left"/>
      <w:lvlText w:val="%1)"/>
      <w:numFmt w:val="lowerLetter"/>
      <w:start w:val="5"/>
    </w:lvl>
    <w:lvl w:ilvl="1">
      <w:lvlJc w:val="left"/>
      <w:lvlText w:val="%2."/>
      <w:numFmt w:val="lowerRoman"/>
      <w:start w:val="1"/>
    </w:lvl>
  </w:abstractNum>
  <w:abstractNum w:abstractNumId="35">
    <w:nsid w:val="275AC794"/>
    <w:multiLevelType w:val="hybridMultilevel"/>
    <w:lvl w:ilvl="0">
      <w:lvlJc w:val="left"/>
      <w:lvlText w:val="%1)"/>
      <w:numFmt w:val="lowerLetter"/>
      <w:start w:val="7"/>
    </w:lvl>
  </w:abstractNum>
  <w:abstractNum w:abstractNumId="36">
    <w:nsid w:val="39386575"/>
    <w:multiLevelType w:val="hybridMultilevel"/>
    <w:lvl w:ilvl="0">
      <w:lvlJc w:val="left"/>
      <w:lvlText w:val="%1)"/>
      <w:numFmt w:val="lowerLetter"/>
      <w:start w:val="1"/>
    </w:lvl>
  </w:abstractNum>
  <w:abstractNum w:abstractNumId="37">
    <w:nsid w:val="1CF10FD8"/>
    <w:multiLevelType w:val="hybridMultilevel"/>
    <w:lvl w:ilvl="0">
      <w:lvlJc w:val="left"/>
      <w:lvlText w:val="%1)"/>
      <w:numFmt w:val="lowerLetter"/>
      <w:start w:val="5"/>
    </w:lvl>
  </w:abstractNum>
  <w:abstractNum w:abstractNumId="38">
    <w:nsid w:val="180115BE"/>
    <w:multiLevelType w:val="hybridMultilevel"/>
    <w:lvl w:ilvl="0">
      <w:lvlJc w:val="left"/>
      <w:lvlText w:val="%1)"/>
      <w:numFmt w:val="lowerLetter"/>
      <w:start w:val="1"/>
    </w:lvl>
  </w:abstractNum>
  <w:abstractNum w:abstractNumId="39">
    <w:nsid w:val="235BA861"/>
    <w:multiLevelType w:val="hybridMultilevel"/>
    <w:lvl w:ilvl="0">
      <w:lvlJc w:val="left"/>
      <w:lvlText w:val="%1)"/>
      <w:numFmt w:val="lowerLetter"/>
      <w:start w:val="5"/>
    </w:lvl>
  </w:abstractNum>
  <w:abstractNum w:abstractNumId="40">
    <w:nsid w:val="47398C89"/>
    <w:multiLevelType w:val="hybridMultilevel"/>
    <w:lvl w:ilvl="0">
      <w:lvlJc w:val="left"/>
      <w:lvlText w:val="%1)"/>
      <w:numFmt w:val="lowerLetter"/>
      <w:start w:val="12"/>
    </w:lvl>
  </w:abstractNum>
  <w:abstractNum w:abstractNumId="41">
    <w:nsid w:val="354FE9F9"/>
    <w:multiLevelType w:val="hybridMultilevel"/>
    <w:lvl w:ilvl="0">
      <w:lvlJc w:val="left"/>
      <w:lvlText w:val="%1)"/>
      <w:numFmt w:val="lowerLetter"/>
      <w:start w:val="13"/>
    </w:lvl>
  </w:abstractNum>
  <w:abstractNum w:abstractNumId="42">
    <w:nsid w:val="15B5AF5C"/>
    <w:multiLevelType w:val="hybridMultilevel"/>
    <w:lvl w:ilvl="0">
      <w:lvlJc w:val="left"/>
      <w:lvlText w:val="(%1)"/>
      <w:numFmt w:val="decimal"/>
      <w:start w:val="2"/>
    </w:lvl>
    <w:lvl w:ilvl="1">
      <w:lvlJc w:val="left"/>
      <w:lvlText w:val="(%2)"/>
      <w:numFmt w:val="decimal"/>
      <w:start w:val="4"/>
    </w:lvl>
    <w:lvl w:ilvl="2">
      <w:lvlJc w:val="left"/>
      <w:lvlText w:val="☐"/>
      <w:numFmt w:val="bullet"/>
      <w:start w:val="1"/>
    </w:lvl>
  </w:abstractNum>
  <w:abstractNum w:abstractNumId="43">
    <w:nsid w:val="741226BB"/>
    <w:multiLevelType w:val="hybridMultilevel"/>
    <w:lvl w:ilvl="0">
      <w:lvlJc w:val="left"/>
      <w:lvlText w:val="%1"/>
      <w:numFmt w:val="lowerRoman"/>
      <w:start w:val="1"/>
    </w:lvl>
    <w:lvl w:ilvl="1">
      <w:lvlJc w:val="left"/>
      <w:lvlText w:val="%2)"/>
      <w:numFmt w:val="lowerLetter"/>
      <w:start w:val="1"/>
    </w:lvl>
  </w:abstractNum>
  <w:abstractNum w:abstractNumId="44">
    <w:nsid w:val="D34B6A8"/>
    <w:multiLevelType w:val="hybridMultilevel"/>
    <w:lvl w:ilvl="0">
      <w:lvlJc w:val="left"/>
      <w:lvlText w:val="(%1)"/>
      <w:numFmt w:val="lowerRoman"/>
      <w:start w:val="1"/>
    </w:lvl>
    <w:lvl w:ilvl="1">
      <w:lvlJc w:val="left"/>
      <w:lvlText w:val="%2"/>
      <w:numFmt w:val="lowerLetter"/>
      <w:start w:val="1"/>
    </w:lvl>
  </w:abstractNum>
  <w:abstractNum w:abstractNumId="45">
    <w:nsid w:val="10233C99"/>
    <w:multiLevelType w:val="hybridMultilevel"/>
    <w:lvl w:ilvl="0">
      <w:lvlJc w:val="left"/>
      <w:lvlText w:val="%1"/>
      <w:numFmt w:val="lowerLetter"/>
      <w:start w:val="1"/>
    </w:lvl>
    <w:lvl w:ilvl="1">
      <w:lvlJc w:val="left"/>
      <w:lvlText w:val="%2)"/>
      <w:numFmt w:val="lowerLetter"/>
      <w:start w:val="2"/>
    </w:lvl>
    <w:lvl w:ilvl="2">
      <w:lvlJc w:val="left"/>
      <w:lvlText w:val="%3"/>
      <w:numFmt w:val="upperLetter"/>
      <w:start w:val="1"/>
    </w:lvl>
  </w:abstractNum>
  <w:abstractNum w:abstractNumId="46">
    <w:nsid w:val="3F6AB60F"/>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47">
    <w:nsid w:val="61574095"/>
    <w:multiLevelType w:val="hybridMultilevel"/>
    <w:lvl w:ilvl="0">
      <w:lvlJc w:val="left"/>
      <w:lvlText w:val="(%1)"/>
      <w:numFmt w:val="upperLetter"/>
      <w:start w:val="24"/>
    </w:lvl>
  </w:abstractNum>
  <w:abstractNum w:abstractNumId="48">
    <w:nsid w:val="7E0C57B1"/>
    <w:multiLevelType w:val="hybridMultilevel"/>
    <w:lvl w:ilvl="0">
      <w:lvlJc w:val="left"/>
      <w:lvlText w:val="%1)"/>
      <w:numFmt w:val="lowerLetter"/>
      <w:start w:val="4"/>
    </w:lvl>
  </w:abstractNum>
  <w:abstractNum w:abstractNumId="49">
    <w:nsid w:val="77AE35EB"/>
    <w:multiLevelType w:val="hybridMultilevel"/>
    <w:lvl w:ilvl="0">
      <w:lvlJc w:val="left"/>
      <w:lvlText w:val="%1."/>
      <w:numFmt w:val="lowerRoman"/>
      <w:start w:val="1"/>
    </w:lvl>
  </w:abstractNum>
  <w:abstractNum w:abstractNumId="50">
    <w:nsid w:val="579BE4F1"/>
    <w:multiLevelType w:val="hybridMultilevel"/>
    <w:lvl w:ilvl="0">
      <w:lvlJc w:val="left"/>
      <w:lvlText w:val="%1."/>
      <w:numFmt w:val="lowerRoman"/>
      <w:start w:val="2"/>
    </w:lvl>
    <w:lvl w:ilvl="1">
      <w:lvlJc w:val="left"/>
      <w:lvlText w:val="%2."/>
      <w:numFmt w:val="lowerRoman"/>
      <w:start w:val="3"/>
    </w:lvl>
  </w:abstractNum>
  <w:abstractNum w:abstractNumId="51">
    <w:nsid w:val="310C50B3"/>
    <w:multiLevelType w:val="hybridMultilevel"/>
    <w:lvl w:ilvl="0">
      <w:lvlJc w:val="left"/>
      <w:lvlText w:val="%1."/>
      <w:numFmt w:val="lowerRoman"/>
      <w:start w:val="4"/>
    </w:lvl>
  </w:abstractNum>
  <w:abstractNum w:abstractNumId="52">
    <w:nsid w:val="5FF87E05"/>
    <w:multiLevelType w:val="hybridMultilevel"/>
    <w:lvl w:ilvl="0">
      <w:lvlJc w:val="left"/>
      <w:lvlText w:val="%1"/>
      <w:numFmt w:val="lowerLetter"/>
      <w:start w:val="1"/>
    </w:lvl>
    <w:lvl w:ilvl="1">
      <w:lvlJc w:val="left"/>
      <w:lvlText w:val="%2."/>
      <w:numFmt w:val="lowerRoman"/>
      <w:start w:val="6"/>
    </w:lvl>
  </w:abstractNum>
  <w:abstractNum w:abstractNumId="53">
    <w:nsid w:val="2F305DEF"/>
    <w:multiLevelType w:val="hybridMultilevel"/>
    <w:lvl w:ilvl="0">
      <w:lvlJc w:val="left"/>
      <w:lvlText w:val="%1)"/>
      <w:numFmt w:val="lowerLetter"/>
      <w:start w:val="5"/>
    </w:lvl>
    <w:lvl w:ilvl="1">
      <w:lvlJc w:val="left"/>
      <w:lvlText w:val="%2"/>
      <w:numFmt w:val="lowerRoman"/>
      <w:start w:val="1"/>
    </w:lvl>
  </w:abstractNum>
  <w:abstractNum w:abstractNumId="54">
    <w:nsid w:val="25A70BF7"/>
    <w:multiLevelType w:val="hybridMultilevel"/>
    <w:lvl w:ilvl="0">
      <w:lvlJc w:val="left"/>
      <w:lvlText w:val="%1"/>
      <w:numFmt w:val="lowerRoman"/>
      <w:start w:val="1"/>
    </w:lvl>
    <w:lvl w:ilvl="1">
      <w:lvlJc w:val="left"/>
      <w:lvlText w:val="%2)"/>
      <w:numFmt w:val="lowerLetter"/>
      <w:start w:val="1"/>
    </w:lvl>
  </w:abstractNum>
  <w:abstractNum w:abstractNumId="55">
    <w:nsid w:val="1DBABF00"/>
    <w:multiLevelType w:val="hybridMultilevel"/>
    <w:lvl w:ilvl="0">
      <w:lvlJc w:val="left"/>
      <w:lvlText w:val="(%1)"/>
      <w:numFmt w:val="lowerRoman"/>
      <w:start w:val="2"/>
    </w:lvl>
    <w:lvl w:ilvl="1">
      <w:lvlJc w:val="left"/>
      <w:lvlText w:val="%2)"/>
      <w:numFmt w:val="lowerLetter"/>
      <w:start w:val="2"/>
    </w:lvl>
  </w:abstractNum>
  <w:abstractNum w:abstractNumId="56">
    <w:nsid w:val="4AD084E9"/>
    <w:multiLevelType w:val="hybridMultilevel"/>
    <w:lvl w:ilvl="0">
      <w:lvlJc w:val="left"/>
      <w:lvlText w:val="%1)"/>
      <w:numFmt w:val="lowerLetter"/>
      <w:start w:val="3"/>
    </w:lvl>
  </w:abstractNum>
  <w:abstractNum w:abstractNumId="57">
    <w:nsid w:val="1F48EAA1"/>
    <w:multiLevelType w:val="hybridMultilevel"/>
    <w:lvl w:ilvl="0">
      <w:lvlJc w:val="left"/>
      <w:lvlText w:val="%1)"/>
      <w:numFmt w:val="lowerLetter"/>
      <w:start w:val="6"/>
    </w:lvl>
  </w:abstractNum>
  <w:abstractNum w:abstractNumId="58">
    <w:nsid w:val="1381823A"/>
    <w:multiLevelType w:val="hybridMultilevel"/>
    <w:lvl w:ilvl="0">
      <w:lvlJc w:val="left"/>
      <w:lvlText w:val="%1"/>
      <w:numFmt w:val="lowerLetter"/>
      <w:start w:val="1"/>
    </w:lvl>
    <w:lvl w:ilvl="1">
      <w:lvlJc w:val="left"/>
      <w:lvlText w:val="%2."/>
      <w:numFmt w:val="lowerRoman"/>
      <w:start w:val="1"/>
    </w:lvl>
  </w:abstractNum>
  <w:abstractNum w:abstractNumId="59">
    <w:nsid w:val="5DB70AE5"/>
    <w:multiLevelType w:val="hybridMultilevel"/>
    <w:lvl w:ilvl="0">
      <w:lvlJc w:val="left"/>
      <w:lvlText w:val="%1)"/>
      <w:numFmt w:val="lowerLetter"/>
      <w:start w:val="7"/>
    </w:lvl>
    <w:lvl w:ilvl="1">
      <w:lvlJc w:val="left"/>
      <w:lvlText w:val="%2"/>
      <w:numFmt w:val="lowerRoman"/>
      <w:start w:val="1"/>
    </w:lvl>
  </w:abstractNum>
  <w:abstractNum w:abstractNumId="60">
    <w:nsid w:val="100F8FCA"/>
    <w:multiLevelType w:val="hybridMultilevel"/>
    <w:lvl w:ilvl="0">
      <w:lvlJc w:val="left"/>
      <w:lvlText w:val="%1)"/>
      <w:numFmt w:val="lowerLetter"/>
      <w:start w:val="1"/>
    </w:lvl>
  </w:abstractNum>
  <w:abstractNum w:abstractNumId="61">
    <w:nsid w:val="6590700B"/>
    <w:multiLevelType w:val="hybridMultilevel"/>
    <w:lvl w:ilvl="0">
      <w:lvlJc w:val="left"/>
      <w:lvlText w:val="%1)"/>
      <w:numFmt w:val="lowerLetter"/>
      <w:start w:val="1"/>
    </w:lvl>
  </w:abstractNum>
  <w:abstractNum w:abstractNumId="62">
    <w:nsid w:val="15014ACB"/>
    <w:multiLevelType w:val="hybridMultilevel"/>
    <w:lvl w:ilvl="0">
      <w:lvlJc w:val="left"/>
      <w:lvlText w:val="%1)"/>
      <w:numFmt w:val="lowerLetter"/>
      <w:start w:val="2"/>
    </w:lvl>
  </w:abstractNum>
  <w:abstractNum w:abstractNumId="63">
    <w:nsid w:val="5F5E7FD0"/>
    <w:multiLevelType w:val="hybridMultilevel"/>
    <w:lvl w:ilvl="0">
      <w:lvlJc w:val="left"/>
      <w:lvlText w:val="%1)"/>
      <w:numFmt w:val="lowerLetter"/>
      <w:start w:val="5"/>
    </w:lvl>
  </w:abstractNum>
  <w:abstractNum w:abstractNumId="64">
    <w:nsid w:val="98A3148"/>
    <w:multiLevelType w:val="hybridMultilevel"/>
    <w:lvl w:ilvl="0">
      <w:lvlJc w:val="left"/>
      <w:lvlText w:val="%1)"/>
      <w:numFmt w:val="lowerLetter"/>
      <w:start w:val="6"/>
    </w:lvl>
  </w:abstractNum>
  <w:abstractNum w:abstractNumId="65">
    <w:nsid w:val="799D0247"/>
    <w:multiLevelType w:val="hybridMultilevel"/>
    <w:lvl w:ilvl="0">
      <w:lvlJc w:val="left"/>
      <w:lvlText w:val="%1)"/>
      <w:numFmt w:val="lowerLetter"/>
      <w:start w:val="12"/>
    </w:lvl>
  </w:abstractNum>
  <w:abstractNum w:abstractNumId="66">
    <w:nsid w:val="6B94764"/>
    <w:multiLevelType w:val="hybridMultilevel"/>
    <w:lvl w:ilvl="0">
      <w:lvlJc w:val="left"/>
      <w:lvlText w:val="%1)"/>
      <w:numFmt w:val="lowerLetter"/>
      <w:start w:val="13"/>
    </w:lvl>
  </w:abstractNum>
  <w:abstractNum w:abstractNumId="67">
    <w:nsid w:val="42C296BD"/>
    <w:multiLevelType w:val="hybridMultilevel"/>
    <w:lvl w:ilvl="0">
      <w:lvlJc w:val="left"/>
      <w:lvlText w:val="(%1)"/>
      <w:numFmt w:val="decimal"/>
      <w:start w:val="2"/>
    </w:lvl>
    <w:lvl w:ilvl="1">
      <w:lvlJc w:val="left"/>
      <w:lvlText w:val="☐"/>
      <w:numFmt w:val="bullet"/>
      <w:start w:val="1"/>
    </w:lvl>
  </w:abstractNum>
  <w:abstractNum w:abstractNumId="68">
    <w:nsid w:val="168E121F"/>
    <w:multiLevelType w:val="hybridMultilevel"/>
    <w:lvl w:ilvl="0">
      <w:lvlJc w:val="left"/>
      <w:lvlText w:val="(%1)"/>
      <w:numFmt w:val="decimal"/>
      <w:start w:val="4"/>
    </w:lvl>
  </w:abstractNum>
  <w:abstractNum w:abstractNumId="69">
    <w:nsid w:val="1EBA5D23"/>
    <w:multiLevelType w:val="hybridMultilevel"/>
    <w:lvl w:ilvl="0">
      <w:lvlJc w:val="left"/>
      <w:lvlText w:val="%1."/>
      <w:numFmt w:val="decimal"/>
      <w:start w:val="1"/>
    </w:lvl>
  </w:abstractNum>
  <w:abstractNum w:abstractNumId="70">
    <w:nsid w:val="661E3F1E"/>
    <w:multiLevelType w:val="hybridMultilevel"/>
    <w:lvl w:ilvl="0">
      <w:lvlJc w:val="left"/>
      <w:lvlText w:val="%1."/>
      <w:numFmt w:val="lowerLetter"/>
      <w:start w:val="3"/>
    </w:lvl>
  </w:abstractNum>
  <w:abstractNum w:abstractNumId="71">
    <w:nsid w:val="5DC79EA8"/>
    <w:multiLevelType w:val="hybridMultilevel"/>
    <w:lvl w:ilvl="0">
      <w:lvlJc w:val="left"/>
      <w:lvlText w:val="%1."/>
      <w:numFmt w:val="decimal"/>
      <w:start w:val="1"/>
    </w:lvl>
  </w:abstractNum>
  <w:abstractNum w:abstractNumId="72">
    <w:nsid w:val="540A471C"/>
    <w:multiLevelType w:val="hybridMultilevel"/>
    <w:lvl w:ilvl="0">
      <w:lvlJc w:val="left"/>
      <w:lvlText w:val="%1."/>
      <w:numFmt w:val="lowerLetter"/>
      <w:start w:val="3"/>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lvl w:ilvl="1">
      <w:lvlJc w:val="left"/>
      <w:lvlText w:val="(%2)"/>
      <w:numFmt w:val="lowerLetter"/>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27" Type="http://schemas.openxmlformats.org/officeDocument/2006/relationships/image" Target="media/image206.png"/><Relationship Id="rId228" Type="http://schemas.openxmlformats.org/officeDocument/2006/relationships/image" Target="media/image207.png"/><Relationship Id="rId236" Type="http://schemas.openxmlformats.org/officeDocument/2006/relationships/image" Target="media/image208.png"/><Relationship Id="rId237" Type="http://schemas.openxmlformats.org/officeDocument/2006/relationships/image" Target="media/image209.png"/><Relationship Id="rId238" Type="http://schemas.openxmlformats.org/officeDocument/2006/relationships/image" Target="media/image210.png"/><Relationship Id="rId239" Type="http://schemas.openxmlformats.org/officeDocument/2006/relationships/image" Target="media/image211.png"/><Relationship Id="rId240" Type="http://schemas.openxmlformats.org/officeDocument/2006/relationships/image" Target="media/image212.png"/><Relationship Id="rId241" Type="http://schemas.openxmlformats.org/officeDocument/2006/relationships/image" Target="media/image213.png"/><Relationship Id="rId242" Type="http://schemas.openxmlformats.org/officeDocument/2006/relationships/image" Target="media/image214.png"/><Relationship Id="rId243" Type="http://schemas.openxmlformats.org/officeDocument/2006/relationships/image" Target="media/image215.png"/><Relationship Id="rId244" Type="http://schemas.openxmlformats.org/officeDocument/2006/relationships/image" Target="media/image216.png"/><Relationship Id="rId245" Type="http://schemas.openxmlformats.org/officeDocument/2006/relationships/image" Target="media/image217.png"/><Relationship Id="rId246" Type="http://schemas.openxmlformats.org/officeDocument/2006/relationships/image" Target="media/image218.png"/><Relationship Id="rId247" Type="http://schemas.openxmlformats.org/officeDocument/2006/relationships/image" Target="media/image219.png"/><Relationship Id="rId248" Type="http://schemas.openxmlformats.org/officeDocument/2006/relationships/image" Target="media/image220.png"/><Relationship Id="rId249" Type="http://schemas.openxmlformats.org/officeDocument/2006/relationships/image" Target="media/image221.png"/><Relationship Id="rId250" Type="http://schemas.openxmlformats.org/officeDocument/2006/relationships/image" Target="media/image222.png"/><Relationship Id="rId251" Type="http://schemas.openxmlformats.org/officeDocument/2006/relationships/image" Target="media/image223.png"/><Relationship Id="rId252" Type="http://schemas.openxmlformats.org/officeDocument/2006/relationships/image" Target="media/image224.png"/><Relationship Id="rId253" Type="http://schemas.openxmlformats.org/officeDocument/2006/relationships/image" Target="media/image225.png"/><Relationship Id="rId254" Type="http://schemas.openxmlformats.org/officeDocument/2006/relationships/image" Target="media/image226.png"/><Relationship Id="rId255" Type="http://schemas.openxmlformats.org/officeDocument/2006/relationships/image" Target="media/image227.png"/><Relationship Id="rId256" Type="http://schemas.openxmlformats.org/officeDocument/2006/relationships/image" Target="media/image228.png"/><Relationship Id="rId257" Type="http://schemas.openxmlformats.org/officeDocument/2006/relationships/image" Target="media/image229.png"/><Relationship Id="rId258" Type="http://schemas.openxmlformats.org/officeDocument/2006/relationships/image" Target="media/image230.png"/><Relationship Id="rId259" Type="http://schemas.openxmlformats.org/officeDocument/2006/relationships/image" Target="media/image231.png"/><Relationship Id="rId260" Type="http://schemas.openxmlformats.org/officeDocument/2006/relationships/image" Target="media/image232.png"/><Relationship Id="rId261" Type="http://schemas.openxmlformats.org/officeDocument/2006/relationships/image" Target="media/image233.png"/><Relationship Id="rId262" Type="http://schemas.openxmlformats.org/officeDocument/2006/relationships/image" Target="media/image234.png"/><Relationship Id="rId263" Type="http://schemas.openxmlformats.org/officeDocument/2006/relationships/image" Target="media/image235.png"/><Relationship Id="rId264" Type="http://schemas.openxmlformats.org/officeDocument/2006/relationships/image" Target="media/image236.png"/><Relationship Id="rId265" Type="http://schemas.openxmlformats.org/officeDocument/2006/relationships/image" Target="media/image237.png"/><Relationship Id="rId266" Type="http://schemas.openxmlformats.org/officeDocument/2006/relationships/image" Target="media/image238.png"/><Relationship Id="rId267" Type="http://schemas.openxmlformats.org/officeDocument/2006/relationships/image" Target="media/image239.png"/><Relationship Id="rId268" Type="http://schemas.openxmlformats.org/officeDocument/2006/relationships/image" Target="media/image240.png"/><Relationship Id="rId269" Type="http://schemas.openxmlformats.org/officeDocument/2006/relationships/image" Target="media/image241.png"/><Relationship Id="rId270" Type="http://schemas.openxmlformats.org/officeDocument/2006/relationships/image" Target="media/image242.png"/><Relationship Id="rId271" Type="http://schemas.openxmlformats.org/officeDocument/2006/relationships/image" Target="media/image243.png"/><Relationship Id="rId272" Type="http://schemas.openxmlformats.org/officeDocument/2006/relationships/image" Target="media/image244.png"/><Relationship Id="rId273" Type="http://schemas.openxmlformats.org/officeDocument/2006/relationships/image" Target="media/image245.png"/><Relationship Id="rId274" Type="http://schemas.openxmlformats.org/officeDocument/2006/relationships/image" Target="media/image246.png"/><Relationship Id="rId275" Type="http://schemas.openxmlformats.org/officeDocument/2006/relationships/image" Target="media/image247.png"/><Relationship Id="rId276" Type="http://schemas.openxmlformats.org/officeDocument/2006/relationships/image" Target="media/image248.png"/><Relationship Id="rId277" Type="http://schemas.openxmlformats.org/officeDocument/2006/relationships/image" Target="media/image249.png"/><Relationship Id="rId278" Type="http://schemas.openxmlformats.org/officeDocument/2006/relationships/image" Target="media/image250.png"/><Relationship Id="rId279" Type="http://schemas.openxmlformats.org/officeDocument/2006/relationships/image" Target="media/image251.png"/><Relationship Id="rId280" Type="http://schemas.openxmlformats.org/officeDocument/2006/relationships/image" Target="media/image252.png"/><Relationship Id="rId281" Type="http://schemas.openxmlformats.org/officeDocument/2006/relationships/image" Target="media/image253.png"/><Relationship Id="rId282" Type="http://schemas.openxmlformats.org/officeDocument/2006/relationships/image" Target="media/image254.png"/><Relationship Id="rId283" Type="http://schemas.openxmlformats.org/officeDocument/2006/relationships/image" Target="media/image255.png"/><Relationship Id="rId284" Type="http://schemas.openxmlformats.org/officeDocument/2006/relationships/image" Target="media/image256.png"/><Relationship Id="rId285" Type="http://schemas.openxmlformats.org/officeDocument/2006/relationships/image" Target="media/image257.png"/><Relationship Id="rId286" Type="http://schemas.openxmlformats.org/officeDocument/2006/relationships/image" Target="media/image258.png"/><Relationship Id="rId287" Type="http://schemas.openxmlformats.org/officeDocument/2006/relationships/image" Target="media/image259.png"/><Relationship Id="rId288" Type="http://schemas.openxmlformats.org/officeDocument/2006/relationships/image" Target="media/image260.png"/><Relationship Id="rId289" Type="http://schemas.openxmlformats.org/officeDocument/2006/relationships/image" Target="media/image261.png"/><Relationship Id="rId290" Type="http://schemas.openxmlformats.org/officeDocument/2006/relationships/image" Target="media/image262.png"/><Relationship Id="rId291" Type="http://schemas.openxmlformats.org/officeDocument/2006/relationships/image" Target="media/image263.png"/><Relationship Id="rId292" Type="http://schemas.openxmlformats.org/officeDocument/2006/relationships/image" Target="media/image264.png"/><Relationship Id="rId293" Type="http://schemas.openxmlformats.org/officeDocument/2006/relationships/image" Target="media/image265.png"/><Relationship Id="rId294" Type="http://schemas.openxmlformats.org/officeDocument/2006/relationships/image" Target="media/image266.png"/><Relationship Id="rId295" Type="http://schemas.openxmlformats.org/officeDocument/2006/relationships/image" Target="media/image267.png"/><Relationship Id="rId296" Type="http://schemas.openxmlformats.org/officeDocument/2006/relationships/image" Target="media/image268.png"/><Relationship Id="rId297" Type="http://schemas.openxmlformats.org/officeDocument/2006/relationships/image" Target="media/image269.png"/><Relationship Id="rId298" Type="http://schemas.openxmlformats.org/officeDocument/2006/relationships/image" Target="media/image270.png"/><Relationship Id="rId299" Type="http://schemas.openxmlformats.org/officeDocument/2006/relationships/image" Target="media/image271.png"/><Relationship Id="rId300" Type="http://schemas.openxmlformats.org/officeDocument/2006/relationships/image" Target="media/image272.png"/><Relationship Id="rId301" Type="http://schemas.openxmlformats.org/officeDocument/2006/relationships/image" Target="media/image273.png"/><Relationship Id="rId302" Type="http://schemas.openxmlformats.org/officeDocument/2006/relationships/image" Target="media/image274.png"/><Relationship Id="rId303" Type="http://schemas.openxmlformats.org/officeDocument/2006/relationships/image" Target="media/image275.png"/><Relationship Id="rId213" Type="http://schemas.openxmlformats.org/officeDocument/2006/relationships/hyperlink" Target="https://www.sec.gov/Archives/edgar/data/0001095981/000114036116057505/ex3_1.htm" TargetMode="External"/><Relationship Id="rId214" Type="http://schemas.openxmlformats.org/officeDocument/2006/relationships/hyperlink" Target="https://www.sec.gov/Archives/edgar/data/0001095981/000109598116000063/ex3_1.htm" TargetMode="External"/><Relationship Id="rId215" Type="http://schemas.openxmlformats.org/officeDocument/2006/relationships/hyperlink" Target="https://www.sec.gov/Archives/edgar/data/0001095981/000156459018014245/cytx-ex31_6.htm" TargetMode="External"/><Relationship Id="rId216" Type="http://schemas.openxmlformats.org/officeDocument/2006/relationships/hyperlink" Target="https://www.sec.gov/Archives/edgar/data/1095981/000156459019026454/cytx-ex31_6.htm" TargetMode="External"/><Relationship Id="rId217" Type="http://schemas.openxmlformats.org/officeDocument/2006/relationships/hyperlink" Target="https://www.sec.gov/Archives/edgar/data/0001095981/000156459019028996/pstv-ex31_18.htm" TargetMode="External"/><Relationship Id="rId218" Type="http://schemas.openxmlformats.org/officeDocument/2006/relationships/hyperlink" Target="https://www.sec.gov/Archives/edgar/data/0001095981/000119312523127227/d475493dex31.htm" TargetMode="External"/><Relationship Id="rId219" Type="http://schemas.openxmlformats.org/officeDocument/2006/relationships/hyperlink" Target="https://www.sec.gov/Archives/edgar/data/0001095981/000119312521277718/d164672dex31.htm" TargetMode="External"/><Relationship Id="rId220" Type="http://schemas.openxmlformats.org/officeDocument/2006/relationships/hyperlink" Target="https://www.sec.gov/Archives/edgar/data/1095981/000156459017024297/cytx-ex31_6.htm" TargetMode="External"/><Relationship Id="rId221" Type="http://schemas.openxmlformats.org/officeDocument/2006/relationships/hyperlink" Target="https://www.sec.gov/Archives/edgar/data/1095981/000156459018017443/cytx-ex31_7.htm" TargetMode="External"/><Relationship Id="rId222" Type="http://schemas.openxmlformats.org/officeDocument/2006/relationships/hyperlink" Target="https://www.sec.gov/Archives/edgar/data/1095981/000119312523060090/d449434dex31.htm" TargetMode="External"/><Relationship Id="rId223" Type="http://schemas.openxmlformats.org/officeDocument/2006/relationships/hyperlink" Target="https://www.sec.gov/Archives/edgar/data/1095981/000156459019034798/pstv-ex437_7.htm" TargetMode="External"/><Relationship Id="rId224" Type="http://schemas.openxmlformats.org/officeDocument/2006/relationships/hyperlink" Target="https://www.sec.gov/Archives/edgar/data/1095981/000156459020018034/pstv-ex41_6.htm" TargetMode="External"/><Relationship Id="rId225" Type="http://schemas.openxmlformats.org/officeDocument/2006/relationships/hyperlink" Target="https://www.sec.gov/Archives/edgar/data/1095981/000156459020045822/pstv-ex41_6.htm" TargetMode="External"/><Relationship Id="rId226" Type="http://schemas.openxmlformats.org/officeDocument/2006/relationships/hyperlink" Target="https://www.sec.gov/Archives/edgar/data/1095981/000119312524135399/d827838dex41.htm" TargetMode="External"/><Relationship Id="rId229" Type="http://schemas.openxmlformats.org/officeDocument/2006/relationships/hyperlink" Target="https://www.sec.gov/Archives/edgar/data/1095981/000119312524135399/d827838dex101.htm" TargetMode="External"/><Relationship Id="rId230" Type="http://schemas.openxmlformats.org/officeDocument/2006/relationships/hyperlink" Target="https://www.sec.gov/Archives/edgar/data/1095981/000119312524135399/d827838dex102.htm" TargetMode="External"/><Relationship Id="rId231" Type="http://schemas.openxmlformats.org/officeDocument/2006/relationships/hyperlink" Target="https://www.sec.gov/Archives/edgar/data/1095981/000119312524135399/d827838dex103.htm" TargetMode="External"/><Relationship Id="rId232" Type="http://schemas.openxmlformats.org/officeDocument/2006/relationships/hyperlink" Target="https://www.sec.gov/Archives/edgar/data/1095981/000119312524157500/d840996dex1015.htm" TargetMode="External"/><Relationship Id="rId233" Type="http://schemas.openxmlformats.org/officeDocument/2006/relationships/hyperlink" Target="https://www.sec.gov/Archives/edgar/data/1095981/000119312524154380/d840235dex101.htm" TargetMode="External"/><Relationship Id="rId234" Type="http://schemas.openxmlformats.org/officeDocument/2006/relationships/hyperlink" Target="https://www.sec.gov/Archives/edgar/data/1095981/000119312524154380/d840235dex102.htm" TargetMode="External"/><Relationship Id="rId235" Type="http://schemas.openxmlformats.org/officeDocument/2006/relationships/hyperlink" Target="https://www.sec.gov/Archives/edgar/data/1095981/000119312524154380/d840235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2024-08-14T16:06:55Z</dcterms:created>
  <dcterms:modified xsi:type="dcterms:W3CDTF">2024-08-14T16:06:55Z</dcterms:modified>
</cp:coreProperties>
</file>